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bookmarkStart w:id="0" w:name="_Hlk49503345"/>
    </w:p>
    <w:p/>
    <w:p/>
    <w:p/>
    <w:p>
      <w:pPr>
        <w:adjustRightInd w:val="0"/>
        <w:jc w:val="center"/>
        <w:rPr>
          <w:rFonts w:hint="eastAsia" w:cs="Times New Roman" w:asciiTheme="minorEastAsia" w:hAnsiTheme="minorEastAsia" w:eastAsiaTheme="minorEastAsia"/>
          <w:b/>
          <w:sz w:val="56"/>
          <w:szCs w:val="24"/>
        </w:rPr>
      </w:pPr>
      <w:r>
        <w:rPr>
          <w:rFonts w:hint="eastAsia" w:cs="Times New Roman" w:asciiTheme="minorEastAsia" w:hAnsiTheme="minorEastAsia" w:eastAsiaTheme="minorEastAsia"/>
          <w:b/>
          <w:sz w:val="56"/>
          <w:szCs w:val="24"/>
        </w:rPr>
        <w:t>建设项目环境影响报告表</w:t>
      </w:r>
    </w:p>
    <w:p>
      <w:pPr>
        <w:rPr>
          <w:b/>
        </w:rPr>
      </w:pPr>
    </w:p>
    <w:p>
      <w:pPr>
        <w:rPr>
          <w:b/>
        </w:rPr>
      </w:pPr>
    </w:p>
    <w:p>
      <w:pPr>
        <w:rPr>
          <w:b/>
        </w:rPr>
      </w:pPr>
    </w:p>
    <w:p>
      <w:pPr>
        <w:rPr>
          <w:b/>
        </w:rPr>
      </w:pPr>
    </w:p>
    <w:p>
      <w:pPr>
        <w:rPr>
          <w:b/>
        </w:rPr>
      </w:pPr>
    </w:p>
    <w:p>
      <w:pPr>
        <w:rPr>
          <w:b/>
        </w:rPr>
      </w:pPr>
    </w:p>
    <w:p>
      <w:pPr>
        <w:rPr>
          <w:b/>
        </w:rPr>
      </w:pPr>
    </w:p>
    <w:p>
      <w:pPr>
        <w:rPr>
          <w:color w:val="FF0000"/>
        </w:rPr>
      </w:pPr>
    </w:p>
    <w:tbl>
      <w:tblPr>
        <w:tblStyle w:val="87"/>
        <w:tblW w:w="8597" w:type="dxa"/>
        <w:jc w:val="center"/>
        <w:tblLayout w:type="autofit"/>
        <w:tblCellMar>
          <w:top w:w="0" w:type="dxa"/>
          <w:left w:w="108" w:type="dxa"/>
          <w:bottom w:w="0" w:type="dxa"/>
          <w:right w:w="108" w:type="dxa"/>
        </w:tblCellMar>
      </w:tblPr>
      <w:tblGrid>
        <w:gridCol w:w="2043"/>
        <w:gridCol w:w="6554"/>
      </w:tblGrid>
      <w:tr>
        <w:tblPrEx>
          <w:tblCellMar>
            <w:top w:w="0" w:type="dxa"/>
            <w:left w:w="108" w:type="dxa"/>
            <w:bottom w:w="0" w:type="dxa"/>
            <w:right w:w="108" w:type="dxa"/>
          </w:tblCellMar>
        </w:tblPrEx>
        <w:trPr>
          <w:trHeight w:val="689" w:hRule="atLeast"/>
          <w:jc w:val="center"/>
        </w:trPr>
        <w:tc>
          <w:tcPr>
            <w:tcW w:w="2043" w:type="dxa"/>
            <w:vAlign w:val="bottom"/>
          </w:tcPr>
          <w:p>
            <w:pPr>
              <w:adjustRightInd w:val="0"/>
              <w:snapToGrid w:val="0"/>
              <w:jc w:val="center"/>
              <w:rPr>
                <w:rFonts w:ascii="Times New Roman" w:hAnsi="Times New Roman" w:cs="Times New Roman" w:eastAsiaTheme="minorEastAsia"/>
                <w:b/>
                <w:bCs/>
                <w:sz w:val="32"/>
                <w:szCs w:val="32"/>
              </w:rPr>
            </w:pPr>
            <w:r>
              <w:rPr>
                <w:rFonts w:hint="eastAsia" w:ascii="Times New Roman" w:hAnsi="Times New Roman" w:cs="Times New Roman" w:eastAsiaTheme="minorEastAsia"/>
                <w:b/>
                <w:bCs/>
                <w:sz w:val="32"/>
                <w:szCs w:val="32"/>
              </w:rPr>
              <w:t>项目名称：</w:t>
            </w:r>
          </w:p>
        </w:tc>
        <w:tc>
          <w:tcPr>
            <w:tcW w:w="6554" w:type="dxa"/>
            <w:tcBorders>
              <w:bottom w:val="single" w:color="auto" w:sz="8" w:space="0"/>
            </w:tcBorders>
            <w:vAlign w:val="bottom"/>
          </w:tcPr>
          <w:p>
            <w:pPr>
              <w:adjustRightInd w:val="0"/>
              <w:snapToGrid w:val="0"/>
              <w:jc w:val="center"/>
              <w:rPr>
                <w:rFonts w:ascii="Times New Roman" w:hAnsi="Times New Roman" w:cs="Times New Roman" w:eastAsiaTheme="minorEastAsia"/>
                <w:b/>
                <w:bCs/>
                <w:sz w:val="32"/>
                <w:szCs w:val="32"/>
              </w:rPr>
            </w:pPr>
            <w:r>
              <w:rPr>
                <w:rFonts w:hint="eastAsia" w:ascii="Times New Roman" w:hAnsi="Times New Roman" w:cs="Times New Roman" w:eastAsiaTheme="minorEastAsia"/>
                <w:b/>
                <w:bCs/>
                <w:sz w:val="32"/>
                <w:szCs w:val="32"/>
              </w:rPr>
              <w:t>2020-320543-39-03-673335</w:t>
            </w:r>
          </w:p>
          <w:p>
            <w:pPr>
              <w:adjustRightInd w:val="0"/>
              <w:snapToGrid w:val="0"/>
              <w:jc w:val="center"/>
              <w:rPr>
                <w:rFonts w:ascii="Times New Roman" w:hAnsi="Times New Roman" w:cs="Times New Roman" w:eastAsiaTheme="minorEastAsia"/>
                <w:b/>
                <w:bCs/>
                <w:sz w:val="32"/>
                <w:szCs w:val="32"/>
              </w:rPr>
            </w:pPr>
            <w:r>
              <w:rPr>
                <w:rFonts w:hint="eastAsia" w:ascii="Times New Roman" w:hAnsi="Times New Roman" w:cs="Times New Roman" w:eastAsiaTheme="minorEastAsia"/>
                <w:b/>
                <w:bCs/>
                <w:sz w:val="32"/>
                <w:szCs w:val="32"/>
              </w:rPr>
              <w:t>公司整体搬迁改造项目</w:t>
            </w:r>
          </w:p>
        </w:tc>
      </w:tr>
      <w:tr>
        <w:tblPrEx>
          <w:tblCellMar>
            <w:top w:w="0" w:type="dxa"/>
            <w:left w:w="108" w:type="dxa"/>
            <w:bottom w:w="0" w:type="dxa"/>
            <w:right w:w="108" w:type="dxa"/>
          </w:tblCellMar>
        </w:tblPrEx>
        <w:trPr>
          <w:trHeight w:val="758" w:hRule="atLeast"/>
          <w:jc w:val="center"/>
        </w:trPr>
        <w:tc>
          <w:tcPr>
            <w:tcW w:w="2043" w:type="dxa"/>
            <w:vAlign w:val="bottom"/>
          </w:tcPr>
          <w:p>
            <w:pPr>
              <w:adjustRightInd w:val="0"/>
              <w:snapToGrid w:val="0"/>
              <w:jc w:val="center"/>
              <w:rPr>
                <w:rFonts w:ascii="Times New Roman" w:hAnsi="Times New Roman" w:cs="Times New Roman" w:eastAsiaTheme="minorEastAsia"/>
                <w:b/>
                <w:bCs/>
                <w:sz w:val="32"/>
                <w:szCs w:val="32"/>
              </w:rPr>
            </w:pPr>
            <w:r>
              <w:rPr>
                <w:rFonts w:hint="eastAsia" w:ascii="Times New Roman" w:hAnsi="Times New Roman" w:cs="Times New Roman" w:eastAsiaTheme="minorEastAsia"/>
                <w:b/>
                <w:bCs/>
                <w:sz w:val="32"/>
                <w:szCs w:val="32"/>
              </w:rPr>
              <w:t>建设单位：</w:t>
            </w:r>
          </w:p>
        </w:tc>
        <w:tc>
          <w:tcPr>
            <w:tcW w:w="6554" w:type="dxa"/>
            <w:tcBorders>
              <w:top w:val="single" w:color="auto" w:sz="8" w:space="0"/>
              <w:bottom w:val="single" w:color="auto" w:sz="8" w:space="0"/>
            </w:tcBorders>
            <w:vAlign w:val="bottom"/>
          </w:tcPr>
          <w:p>
            <w:pPr>
              <w:adjustRightInd w:val="0"/>
              <w:snapToGrid w:val="0"/>
              <w:jc w:val="center"/>
              <w:rPr>
                <w:rFonts w:ascii="Times New Roman" w:hAnsi="Times New Roman" w:cs="Times New Roman" w:eastAsiaTheme="minorEastAsia"/>
                <w:b/>
                <w:bCs/>
                <w:sz w:val="32"/>
                <w:szCs w:val="32"/>
              </w:rPr>
            </w:pPr>
            <w:r>
              <w:rPr>
                <w:rFonts w:hint="eastAsia" w:ascii="Times New Roman" w:hAnsi="Times New Roman" w:cs="Times New Roman" w:eastAsiaTheme="minorEastAsia"/>
                <w:b/>
                <w:bCs/>
                <w:sz w:val="32"/>
                <w:szCs w:val="32"/>
              </w:rPr>
              <w:t>吴江高利用橡塑制品有限公司</w:t>
            </w:r>
          </w:p>
        </w:tc>
      </w:tr>
    </w:tbl>
    <w:p>
      <w:pPr>
        <w:rPr>
          <w:b/>
          <w:color w:val="FF0000"/>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tbl>
      <w:tblPr>
        <w:tblStyle w:val="87"/>
        <w:tblW w:w="8927" w:type="dxa"/>
        <w:jc w:val="center"/>
        <w:tblLayout w:type="autofit"/>
        <w:tblCellMar>
          <w:top w:w="0" w:type="dxa"/>
          <w:left w:w="108" w:type="dxa"/>
          <w:bottom w:w="0" w:type="dxa"/>
          <w:right w:w="108" w:type="dxa"/>
        </w:tblCellMar>
      </w:tblPr>
      <w:tblGrid>
        <w:gridCol w:w="8927"/>
      </w:tblGrid>
      <w:tr>
        <w:trPr>
          <w:trHeight w:val="204" w:hRule="atLeast"/>
          <w:jc w:val="center"/>
        </w:trPr>
        <w:tc>
          <w:tcPr>
            <w:tcW w:w="8927" w:type="dxa"/>
            <w:vAlign w:val="center"/>
          </w:tcPr>
          <w:p>
            <w:pPr>
              <w:jc w:val="center"/>
              <w:rPr>
                <w:b/>
              </w:rPr>
            </w:pPr>
            <w:r>
              <w:rPr>
                <w:rFonts w:hint="eastAsia"/>
                <w:b/>
              </w:rPr>
              <w:t>编制日期：二〇二〇年十二月</w:t>
            </w:r>
          </w:p>
        </w:tc>
      </w:tr>
      <w:tr>
        <w:trPr>
          <w:trHeight w:val="204" w:hRule="atLeast"/>
          <w:jc w:val="center"/>
        </w:trPr>
        <w:tc>
          <w:tcPr>
            <w:tcW w:w="8927" w:type="dxa"/>
            <w:vAlign w:val="center"/>
          </w:tcPr>
          <w:p>
            <w:pPr>
              <w:jc w:val="center"/>
              <w:rPr>
                <w:b/>
                <w:sz w:val="11"/>
                <w:szCs w:val="8"/>
              </w:rPr>
            </w:pPr>
          </w:p>
        </w:tc>
      </w:tr>
      <w:tr>
        <w:tblPrEx>
          <w:tblCellMar>
            <w:top w:w="0" w:type="dxa"/>
            <w:left w:w="108" w:type="dxa"/>
            <w:bottom w:w="0" w:type="dxa"/>
            <w:right w:w="108" w:type="dxa"/>
          </w:tblCellMar>
        </w:tblPrEx>
        <w:trPr>
          <w:trHeight w:val="154" w:hRule="atLeast"/>
          <w:jc w:val="center"/>
        </w:trPr>
        <w:tc>
          <w:tcPr>
            <w:tcW w:w="8927" w:type="dxa"/>
            <w:vAlign w:val="center"/>
          </w:tcPr>
          <w:p>
            <w:pPr>
              <w:jc w:val="center"/>
              <w:rPr>
                <w:b/>
              </w:rPr>
            </w:pPr>
            <w:r>
              <w:rPr>
                <w:rFonts w:hint="eastAsia"/>
                <w:b/>
              </w:rPr>
              <w:t>江苏省环境保护厅制</w:t>
            </w:r>
          </w:p>
        </w:tc>
      </w:tr>
    </w:tbl>
    <w:p>
      <w:pPr>
        <w:sectPr>
          <w:footerReference r:id="rId3" w:type="default"/>
          <w:footerReference r:id="rId4" w:type="even"/>
          <w:pgSz w:w="11906" w:h="16838"/>
          <w:pgMar w:top="1440" w:right="1797" w:bottom="1440" w:left="1797" w:header="851" w:footer="992" w:gutter="0"/>
          <w:pgNumType w:fmt="numberInDash" w:start="0"/>
          <w:cols w:space="425" w:num="1"/>
          <w:titlePg/>
          <w:docGrid w:linePitch="312" w:charSpace="0"/>
        </w:sectPr>
      </w:pPr>
    </w:p>
    <w:p/>
    <w:p>
      <w:pPr>
        <w:jc w:val="center"/>
        <w:rPr>
          <w:rFonts w:ascii="Times New Roman" w:hAnsi="Times New Roman" w:cs="Times New Roman"/>
          <w:b/>
          <w:sz w:val="32"/>
          <w:szCs w:val="24"/>
        </w:rPr>
      </w:pPr>
      <w:r>
        <w:rPr>
          <w:rFonts w:hint="eastAsia" w:ascii="Times New Roman" w:hAnsi="Times New Roman" w:cs="Times New Roman"/>
          <w:b/>
          <w:sz w:val="32"/>
          <w:szCs w:val="24"/>
        </w:rPr>
        <w:t>《建设项目环境影响报告表》编制说明</w:t>
      </w:r>
    </w:p>
    <w:p>
      <w:pPr>
        <w:pStyle w:val="103"/>
      </w:pPr>
    </w:p>
    <w:p>
      <w:pPr>
        <w:pStyle w:val="103"/>
        <w:bidi w:val="0"/>
      </w:pPr>
      <w:r>
        <w:t>《建设项目环境影响报告表》由具有从事环境影响评价工作资质的单位编制。</w:t>
      </w:r>
    </w:p>
    <w:p>
      <w:pPr>
        <w:pStyle w:val="103"/>
        <w:bidi w:val="0"/>
      </w:pPr>
      <w:r>
        <w:t>1、项目名称——指项目立项批复时的名称，应不超过30个字（两个英文字段作一个汉字）。</w:t>
      </w:r>
    </w:p>
    <w:p>
      <w:pPr>
        <w:pStyle w:val="103"/>
        <w:bidi w:val="0"/>
      </w:pPr>
      <w:r>
        <w:t>2、建设地点——指项目所在地的名称，公路、铁路应填写起止地点。</w:t>
      </w:r>
    </w:p>
    <w:p>
      <w:pPr>
        <w:pStyle w:val="103"/>
        <w:bidi w:val="0"/>
      </w:pPr>
      <w:r>
        <w:t>3、行业类别——按国标填写</w:t>
      </w:r>
    </w:p>
    <w:p>
      <w:pPr>
        <w:pStyle w:val="103"/>
        <w:bidi w:val="0"/>
      </w:pPr>
      <w:r>
        <w:t>4、总投资——指项目投资总额。</w:t>
      </w:r>
    </w:p>
    <w:p>
      <w:pPr>
        <w:pStyle w:val="103"/>
        <w:bidi w:val="0"/>
      </w:pPr>
      <w:r>
        <w:t>5、主要环境保护目标——指项目区周围一定范围内集中居民住宅区、学校、医院、保护文物、风景名胜区、水源地和生态敏感点等，应尽可能给出保护目标、性质、规模和距厂界距离等。</w:t>
      </w:r>
    </w:p>
    <w:p>
      <w:pPr>
        <w:pStyle w:val="103"/>
        <w:bidi w:val="0"/>
      </w:pPr>
      <w: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103"/>
        <w:bidi w:val="0"/>
      </w:pPr>
      <w:r>
        <w:t>7、预审意见——由行业主管部门填写答复意见，无主管部门项目，可不填。</w:t>
      </w:r>
    </w:p>
    <w:p>
      <w:pPr>
        <w:pStyle w:val="103"/>
        <w:bidi w:val="0"/>
      </w:pPr>
      <w:r>
        <w:t>8、审批意见——由负责审批该项目的环境保护行政主管部门批复。</w:t>
      </w:r>
    </w:p>
    <w:p/>
    <w:p>
      <w:pPr>
        <w:sectPr>
          <w:pgSz w:w="11906" w:h="16838"/>
          <w:pgMar w:top="1440" w:right="1797" w:bottom="1440" w:left="1797" w:header="851" w:footer="992" w:gutter="0"/>
          <w:pgNumType w:fmt="numberInDash"/>
          <w:cols w:space="425" w:num="1"/>
          <w:docGrid w:linePitch="312" w:charSpace="0"/>
        </w:sectPr>
      </w:pPr>
    </w:p>
    <w:tbl>
      <w:tblPr>
        <w:tblStyle w:val="88"/>
        <w:tblW w:w="8512" w:type="dxa"/>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133"/>
        <w:gridCol w:w="442"/>
        <w:gridCol w:w="732"/>
        <w:gridCol w:w="669"/>
        <w:gridCol w:w="111"/>
        <w:gridCol w:w="727"/>
        <w:gridCol w:w="79"/>
        <w:gridCol w:w="921"/>
        <w:gridCol w:w="8"/>
        <w:gridCol w:w="563"/>
        <w:gridCol w:w="481"/>
        <w:gridCol w:w="876"/>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770" w:type="dxa"/>
          </w:tcPr>
          <w:p>
            <w:pPr>
              <w:pStyle w:val="100"/>
              <w:bidi w:val="0"/>
            </w:pPr>
            <w:r>
              <mc:AlternateContent>
                <mc:Choice Requires="wps">
                  <w:drawing>
                    <wp:anchor distT="0" distB="0" distL="114300" distR="114300" simplePos="0" relativeHeight="251665408" behindDoc="0" locked="0" layoutInCell="1" allowOverlap="1">
                      <wp:simplePos x="0" y="0"/>
                      <wp:positionH relativeFrom="column">
                        <wp:posOffset>-139065</wp:posOffset>
                      </wp:positionH>
                      <wp:positionV relativeFrom="page">
                        <wp:posOffset>-353695</wp:posOffset>
                      </wp:positionV>
                      <wp:extent cx="5422900" cy="423545"/>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5422900" cy="423545"/>
                              </a:xfrm>
                              <a:prstGeom prst="rect">
                                <a:avLst/>
                              </a:prstGeom>
                              <a:solidFill>
                                <a:srgbClr val="FFFFFF">
                                  <a:alpha val="0"/>
                                </a:srgbClr>
                              </a:solidFill>
                              <a:ln>
                                <a:noFill/>
                              </a:ln>
                            </wps:spPr>
                            <wps:txbx>
                              <w:txbxContent>
                                <w:p>
                                  <w:pPr>
                                    <w:pStyle w:val="345"/>
                                  </w:pPr>
                                  <w:bookmarkStart w:id="95" w:name="_Toc307515777"/>
                                  <w:r>
                                    <w:rPr>
                                      <w:rFonts w:hint="eastAsia"/>
                                    </w:rPr>
                                    <w:t>一、</w:t>
                                  </w:r>
                                  <w:r>
                                    <w:t>建设项目基本情况</w:t>
                                  </w:r>
                                  <w:bookmarkEnd w:id="95"/>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95pt;margin-top:-27.85pt;height:33.35pt;width:427pt;mso-position-vertical-relative:page;z-index:251665408;mso-width-relative:page;mso-height-relative:page;" fillcolor="#FFFFFF" filled="t" stroked="f" coordsize="21600,21600" o:gfxdata="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hWMus2AAAAAoBAAAPAAAAAAAAAAEAIAAAACIAAABkcnMvZG93&#10;bnJldi54bWxQSwECFAAUAAAACACHTuJA4vE8STkCAABdBAAADgAAAAAAAAABACAAAAAnAQAAZHJz&#10;L2Uyb0RvYy54bWxQSwUGAAAAAAYABgBZAQAA0gUAAAAA&#10;">
                      <v:fill on="t" opacity="0f" focussize="0,0"/>
                      <v:stroke on="f"/>
                      <v:imagedata o:title=""/>
                      <o:lock v:ext="edit" aspectratio="f"/>
                      <v:textbox>
                        <w:txbxContent>
                          <w:p>
                            <w:pPr>
                              <w:pStyle w:val="345"/>
                            </w:pPr>
                            <w:bookmarkStart w:id="95" w:name="_Toc307515777"/>
                            <w:r>
                              <w:rPr>
                                <w:rFonts w:hint="eastAsia"/>
                              </w:rPr>
                              <w:t>一、</w:t>
                            </w:r>
                            <w:r>
                              <w:t>建设项目基本情况</w:t>
                            </w:r>
                            <w:bookmarkEnd w:id="95"/>
                          </w:p>
                        </w:txbxContent>
                      </v:textbox>
                    </v:shape>
                  </w:pict>
                </mc:Fallback>
              </mc:AlternateContent>
            </w:r>
            <w:r>
              <w:t>项目名称</w:t>
            </w:r>
          </w:p>
        </w:tc>
        <w:tc>
          <w:tcPr>
            <w:tcW w:w="6742" w:type="dxa"/>
            <w:gridSpan w:val="12"/>
          </w:tcPr>
          <w:p>
            <w:pPr>
              <w:pStyle w:val="100"/>
              <w:bidi w:val="0"/>
            </w:pPr>
            <w:bookmarkStart w:id="1" w:name="xmmc_1"/>
            <w:bookmarkEnd w:id="1"/>
            <w:r>
              <w:rPr>
                <w:rFonts w:hint="eastAsia"/>
              </w:rPr>
              <w:t>2020-320509-21-03-625289公司整体搬迁改造项目</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770" w:type="dxa"/>
          </w:tcPr>
          <w:p>
            <w:pPr>
              <w:pStyle w:val="100"/>
              <w:bidi w:val="0"/>
            </w:pPr>
            <w:r>
              <w:t>建设单位</w:t>
            </w:r>
          </w:p>
        </w:tc>
        <w:tc>
          <w:tcPr>
            <w:tcW w:w="6742" w:type="dxa"/>
            <w:gridSpan w:val="12"/>
          </w:tcPr>
          <w:p>
            <w:pPr>
              <w:pStyle w:val="100"/>
              <w:bidi w:val="0"/>
            </w:pPr>
            <w:r>
              <w:rPr>
                <w:rFonts w:hint="eastAsia"/>
              </w:rPr>
              <w:t>吴江高利橡塑制品有限公司</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770" w:type="dxa"/>
          </w:tcPr>
          <w:p>
            <w:pPr>
              <w:pStyle w:val="100"/>
              <w:bidi w:val="0"/>
            </w:pPr>
            <w:r>
              <w:t>法人代表</w:t>
            </w:r>
          </w:p>
        </w:tc>
        <w:tc>
          <w:tcPr>
            <w:tcW w:w="3087" w:type="dxa"/>
            <w:gridSpan w:val="5"/>
          </w:tcPr>
          <w:p>
            <w:pPr>
              <w:pStyle w:val="100"/>
              <w:bidi w:val="0"/>
            </w:pPr>
            <w:r>
              <w:rPr>
                <w:rFonts w:hint="eastAsia"/>
              </w:rPr>
              <w:t>宋祖志</w:t>
            </w:r>
          </w:p>
        </w:tc>
        <w:tc>
          <w:tcPr>
            <w:tcW w:w="1735" w:type="dxa"/>
            <w:gridSpan w:val="4"/>
          </w:tcPr>
          <w:p>
            <w:pPr>
              <w:pStyle w:val="100"/>
              <w:bidi w:val="0"/>
            </w:pPr>
            <w:r>
              <w:t>联系人</w:t>
            </w:r>
          </w:p>
        </w:tc>
        <w:tc>
          <w:tcPr>
            <w:tcW w:w="1920" w:type="dxa"/>
            <w:gridSpan w:val="3"/>
          </w:tcPr>
          <w:p>
            <w:pPr>
              <w:pStyle w:val="100"/>
              <w:bidi w:val="0"/>
            </w:pPr>
            <w:bookmarkStart w:id="2" w:name="lxr"/>
            <w:bookmarkEnd w:id="2"/>
            <w:r>
              <w:rPr>
                <w:rFonts w:hint="eastAsia"/>
              </w:rPr>
              <w:t>邬先雄</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70" w:type="dxa"/>
          </w:tcPr>
          <w:p>
            <w:pPr>
              <w:pStyle w:val="100"/>
              <w:bidi w:val="0"/>
            </w:pPr>
            <w:r>
              <w:t>通讯地址</w:t>
            </w:r>
          </w:p>
        </w:tc>
        <w:tc>
          <w:tcPr>
            <w:tcW w:w="6742" w:type="dxa"/>
            <w:gridSpan w:val="12"/>
          </w:tcPr>
          <w:p>
            <w:pPr>
              <w:pStyle w:val="100"/>
              <w:bidi w:val="0"/>
            </w:pPr>
            <w:bookmarkStart w:id="3" w:name="lxdz"/>
            <w:bookmarkEnd w:id="3"/>
            <w:r>
              <w:rPr>
                <w:rFonts w:hint="eastAsia"/>
              </w:rPr>
              <w:t>吴江区柳胥路359号</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1770" w:type="dxa"/>
          </w:tcPr>
          <w:p>
            <w:pPr>
              <w:pStyle w:val="100"/>
              <w:bidi w:val="0"/>
            </w:pPr>
            <w:r>
              <w:t>联系电话</w:t>
            </w:r>
          </w:p>
        </w:tc>
        <w:tc>
          <w:tcPr>
            <w:tcW w:w="1575" w:type="dxa"/>
            <w:gridSpan w:val="2"/>
          </w:tcPr>
          <w:p>
            <w:pPr>
              <w:pStyle w:val="100"/>
              <w:bidi w:val="0"/>
            </w:pPr>
            <w:bookmarkStart w:id="4" w:name="lxdh"/>
            <w:bookmarkEnd w:id="4"/>
            <w:r>
              <w:rPr>
                <w:rFonts w:hint="eastAsia"/>
              </w:rPr>
              <w:t>18001550018</w:t>
            </w:r>
          </w:p>
        </w:tc>
        <w:tc>
          <w:tcPr>
            <w:tcW w:w="732" w:type="dxa"/>
          </w:tcPr>
          <w:p>
            <w:pPr>
              <w:pStyle w:val="100"/>
              <w:bidi w:val="0"/>
            </w:pPr>
            <w:r>
              <w:rPr>
                <w:rFonts w:hint="eastAsia"/>
              </w:rPr>
              <w:t>传真</w:t>
            </w:r>
          </w:p>
        </w:tc>
        <w:tc>
          <w:tcPr>
            <w:tcW w:w="1586" w:type="dxa"/>
            <w:gridSpan w:val="4"/>
          </w:tcPr>
          <w:p>
            <w:pPr>
              <w:pStyle w:val="100"/>
              <w:bidi w:val="0"/>
            </w:pPr>
            <w:r>
              <w:rPr>
                <w:rFonts w:hint="eastAsia"/>
              </w:rPr>
              <w:t>/</w:t>
            </w:r>
          </w:p>
        </w:tc>
        <w:tc>
          <w:tcPr>
            <w:tcW w:w="1492" w:type="dxa"/>
            <w:gridSpan w:val="3"/>
          </w:tcPr>
          <w:p>
            <w:pPr>
              <w:pStyle w:val="100"/>
              <w:bidi w:val="0"/>
            </w:pPr>
            <w:r>
              <w:rPr>
                <w:rFonts w:hint="eastAsia"/>
              </w:rPr>
              <w:t>邮政编码</w:t>
            </w:r>
          </w:p>
        </w:tc>
        <w:tc>
          <w:tcPr>
            <w:tcW w:w="1357" w:type="dxa"/>
            <w:gridSpan w:val="2"/>
          </w:tcPr>
          <w:p>
            <w:pPr>
              <w:pStyle w:val="100"/>
              <w:bidi w:val="0"/>
            </w:pPr>
            <w:r>
              <w:t>215200</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1770" w:type="dxa"/>
          </w:tcPr>
          <w:p>
            <w:pPr>
              <w:pStyle w:val="100"/>
              <w:bidi w:val="0"/>
            </w:pPr>
            <w:r>
              <w:t>建设地点</w:t>
            </w:r>
          </w:p>
        </w:tc>
        <w:tc>
          <w:tcPr>
            <w:tcW w:w="6742" w:type="dxa"/>
            <w:gridSpan w:val="12"/>
          </w:tcPr>
          <w:p>
            <w:pPr>
              <w:pStyle w:val="100"/>
              <w:bidi w:val="0"/>
            </w:pPr>
            <w:r>
              <w:rPr>
                <w:rFonts w:hint="eastAsia"/>
              </w:rPr>
              <w:t>吴江经济技术开发区吉市东路217号</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770" w:type="dxa"/>
            <w:vAlign w:val="center"/>
          </w:tcPr>
          <w:p>
            <w:pPr>
              <w:pStyle w:val="100"/>
              <w:bidi w:val="0"/>
            </w:pPr>
            <w:r>
              <w:t>立项审批部门</w:t>
            </w:r>
          </w:p>
        </w:tc>
        <w:tc>
          <w:tcPr>
            <w:tcW w:w="2976" w:type="dxa"/>
            <w:gridSpan w:val="4"/>
            <w:vAlign w:val="center"/>
          </w:tcPr>
          <w:p>
            <w:pPr>
              <w:pStyle w:val="100"/>
              <w:bidi w:val="0"/>
            </w:pPr>
            <w:bookmarkStart w:id="5" w:name="lxspbm"/>
            <w:bookmarkEnd w:id="5"/>
            <w:r>
              <w:rPr>
                <w:rFonts w:hint="eastAsia"/>
              </w:rPr>
              <w:t>吴江经济技术开发区管理委员会</w:t>
            </w:r>
          </w:p>
        </w:tc>
        <w:tc>
          <w:tcPr>
            <w:tcW w:w="1838" w:type="dxa"/>
            <w:gridSpan w:val="4"/>
            <w:vAlign w:val="center"/>
          </w:tcPr>
          <w:p>
            <w:pPr>
              <w:pStyle w:val="100"/>
              <w:bidi w:val="0"/>
            </w:pPr>
            <w:r>
              <w:t>批准文号</w:t>
            </w:r>
          </w:p>
        </w:tc>
        <w:tc>
          <w:tcPr>
            <w:tcW w:w="1928" w:type="dxa"/>
            <w:gridSpan w:val="4"/>
            <w:vAlign w:val="center"/>
          </w:tcPr>
          <w:p>
            <w:pPr>
              <w:pStyle w:val="100"/>
              <w:bidi w:val="0"/>
            </w:pPr>
            <w:bookmarkStart w:id="6" w:name="pzwh"/>
            <w:bookmarkEnd w:id="6"/>
            <w:r>
              <w:rPr>
                <w:rFonts w:hint="eastAsia"/>
              </w:rPr>
              <w:t>吴开审备〔2020〕193号</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1770" w:type="dxa"/>
            <w:vAlign w:val="center"/>
          </w:tcPr>
          <w:p>
            <w:pPr>
              <w:pStyle w:val="100"/>
              <w:bidi w:val="0"/>
            </w:pPr>
            <w:r>
              <w:t>建设性质</w:t>
            </w:r>
          </w:p>
        </w:tc>
        <w:tc>
          <w:tcPr>
            <w:tcW w:w="2976" w:type="dxa"/>
            <w:gridSpan w:val="4"/>
            <w:vAlign w:val="center"/>
          </w:tcPr>
          <w:p>
            <w:pPr>
              <w:pStyle w:val="100"/>
              <w:bidi w:val="0"/>
              <w:rPr>
                <w:rFonts w:hint="eastAsia"/>
                <w:lang w:val="en-US" w:eastAsia="zh-CN"/>
              </w:rPr>
            </w:pPr>
            <w:r>
              <w:rPr>
                <w:rFonts w:hint="eastAsia"/>
                <w:lang w:val="en-US" w:eastAsia="zh-CN"/>
              </w:rPr>
              <w:t>搬迁</w:t>
            </w:r>
          </w:p>
        </w:tc>
        <w:tc>
          <w:tcPr>
            <w:tcW w:w="1838" w:type="dxa"/>
            <w:gridSpan w:val="4"/>
            <w:vAlign w:val="center"/>
          </w:tcPr>
          <w:p>
            <w:pPr>
              <w:pStyle w:val="100"/>
              <w:bidi w:val="0"/>
              <w:rPr>
                <w:rFonts w:hint="eastAsia"/>
              </w:rPr>
            </w:pPr>
            <w:r>
              <w:rPr>
                <w:rFonts w:hint="eastAsia"/>
              </w:rPr>
              <w:t>行业类别及代码</w:t>
            </w:r>
          </w:p>
        </w:tc>
        <w:tc>
          <w:tcPr>
            <w:tcW w:w="1928" w:type="dxa"/>
            <w:gridSpan w:val="4"/>
            <w:vAlign w:val="center"/>
          </w:tcPr>
          <w:p>
            <w:pPr>
              <w:pStyle w:val="100"/>
              <w:bidi w:val="0"/>
              <w:rPr>
                <w:rFonts w:hint="eastAsia"/>
              </w:rPr>
            </w:pPr>
            <w:bookmarkStart w:id="7" w:name="hylx"/>
            <w:bookmarkEnd w:id="7"/>
            <w:r>
              <w:rPr>
                <w:rFonts w:hint="eastAsia"/>
              </w:rPr>
              <w:t>C3985电子专用材料制造</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770" w:type="dxa"/>
            <w:vAlign w:val="center"/>
          </w:tcPr>
          <w:p>
            <w:pPr>
              <w:pStyle w:val="100"/>
              <w:bidi w:val="0"/>
            </w:pPr>
            <w:r>
              <w:t>占地面积</w:t>
            </w:r>
          </w:p>
          <w:p>
            <w:pPr>
              <w:pStyle w:val="100"/>
              <w:bidi w:val="0"/>
            </w:pPr>
            <w:r>
              <w:t>（平方米）</w:t>
            </w:r>
          </w:p>
        </w:tc>
        <w:tc>
          <w:tcPr>
            <w:tcW w:w="2976" w:type="dxa"/>
            <w:gridSpan w:val="4"/>
            <w:vAlign w:val="center"/>
          </w:tcPr>
          <w:p>
            <w:pPr>
              <w:pStyle w:val="100"/>
              <w:bidi w:val="0"/>
              <w:rPr>
                <w:rFonts w:hint="eastAsia"/>
              </w:rPr>
            </w:pPr>
            <w:r>
              <w:rPr>
                <w:rFonts w:hint="eastAsia"/>
              </w:rPr>
              <w:t>2938</w:t>
            </w:r>
          </w:p>
        </w:tc>
        <w:tc>
          <w:tcPr>
            <w:tcW w:w="1838" w:type="dxa"/>
            <w:gridSpan w:val="4"/>
            <w:vAlign w:val="center"/>
          </w:tcPr>
          <w:p>
            <w:pPr>
              <w:pStyle w:val="100"/>
              <w:bidi w:val="0"/>
              <w:rPr>
                <w:rFonts w:hint="eastAsia"/>
              </w:rPr>
            </w:pPr>
            <w:r>
              <w:rPr>
                <w:rFonts w:hint="eastAsia"/>
              </w:rPr>
              <w:t>绿化面积</w:t>
            </w:r>
          </w:p>
          <w:p>
            <w:pPr>
              <w:pStyle w:val="100"/>
              <w:bidi w:val="0"/>
              <w:rPr>
                <w:rFonts w:hint="eastAsia"/>
              </w:rPr>
            </w:pPr>
            <w:r>
              <w:rPr>
                <w:rFonts w:hint="eastAsia"/>
              </w:rPr>
              <w:t>（平方米）</w:t>
            </w:r>
          </w:p>
        </w:tc>
        <w:tc>
          <w:tcPr>
            <w:tcW w:w="1928" w:type="dxa"/>
            <w:gridSpan w:val="4"/>
            <w:vAlign w:val="center"/>
          </w:tcPr>
          <w:p>
            <w:pPr>
              <w:pStyle w:val="100"/>
              <w:bidi w:val="0"/>
              <w:rPr>
                <w:rFonts w:hint="eastAsia"/>
              </w:rPr>
            </w:pPr>
            <w:bookmarkStart w:id="8" w:name="lhmj"/>
            <w:bookmarkEnd w:id="8"/>
            <w:r>
              <w:rPr>
                <w:rFonts w:hint="eastAsia"/>
              </w:rPr>
              <w:t>50</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70" w:type="dxa"/>
            <w:vAlign w:val="center"/>
          </w:tcPr>
          <w:p>
            <w:pPr>
              <w:pStyle w:val="100"/>
              <w:bidi w:val="0"/>
            </w:pPr>
            <w:r>
              <w:t>总投资</w:t>
            </w:r>
          </w:p>
          <w:p>
            <w:pPr>
              <w:pStyle w:val="100"/>
              <w:bidi w:val="0"/>
            </w:pPr>
            <w:r>
              <w:t>（</w:t>
            </w:r>
            <w:bookmarkStart w:id="9" w:name="tzze_bz"/>
            <w:bookmarkEnd w:id="9"/>
            <w:r>
              <w:t>万元）</w:t>
            </w:r>
          </w:p>
        </w:tc>
        <w:tc>
          <w:tcPr>
            <w:tcW w:w="1133" w:type="dxa"/>
            <w:vAlign w:val="center"/>
          </w:tcPr>
          <w:p>
            <w:pPr>
              <w:pStyle w:val="100"/>
              <w:bidi w:val="0"/>
              <w:rPr>
                <w:rFonts w:hint="eastAsia"/>
              </w:rPr>
            </w:pPr>
            <w:r>
              <w:rPr>
                <w:rFonts w:hint="eastAsia"/>
              </w:rPr>
              <w:t>1450</w:t>
            </w:r>
          </w:p>
        </w:tc>
        <w:tc>
          <w:tcPr>
            <w:tcW w:w="1843" w:type="dxa"/>
            <w:gridSpan w:val="3"/>
            <w:vAlign w:val="center"/>
          </w:tcPr>
          <w:p>
            <w:pPr>
              <w:pStyle w:val="100"/>
              <w:bidi w:val="0"/>
              <w:rPr>
                <w:rFonts w:hint="eastAsia"/>
              </w:rPr>
            </w:pPr>
            <w:r>
              <w:rPr>
                <w:rFonts w:hint="eastAsia"/>
              </w:rPr>
              <w:t>其中环保投资</w:t>
            </w:r>
          </w:p>
          <w:p>
            <w:pPr>
              <w:pStyle w:val="100"/>
              <w:bidi w:val="0"/>
              <w:rPr>
                <w:rFonts w:hint="eastAsia"/>
              </w:rPr>
            </w:pPr>
            <w:r>
              <w:rPr>
                <w:rFonts w:hint="eastAsia"/>
              </w:rPr>
              <w:t>（</w:t>
            </w:r>
            <w:bookmarkStart w:id="10" w:name="hbtz_bz"/>
            <w:bookmarkEnd w:id="10"/>
            <w:r>
              <w:rPr>
                <w:rFonts w:hint="eastAsia"/>
              </w:rPr>
              <w:t>万元）</w:t>
            </w:r>
          </w:p>
        </w:tc>
        <w:tc>
          <w:tcPr>
            <w:tcW w:w="838" w:type="dxa"/>
            <w:gridSpan w:val="2"/>
            <w:vAlign w:val="center"/>
          </w:tcPr>
          <w:p>
            <w:pPr>
              <w:pStyle w:val="100"/>
              <w:bidi w:val="0"/>
              <w:rPr>
                <w:rFonts w:hint="eastAsia"/>
              </w:rPr>
            </w:pPr>
            <w:bookmarkStart w:id="11" w:name="hbtz"/>
            <w:bookmarkEnd w:id="11"/>
            <w:r>
              <w:rPr>
                <w:rFonts w:hint="eastAsia"/>
              </w:rPr>
              <w:t>22.8</w:t>
            </w:r>
          </w:p>
        </w:tc>
        <w:tc>
          <w:tcPr>
            <w:tcW w:w="2052" w:type="dxa"/>
            <w:gridSpan w:val="5"/>
            <w:vAlign w:val="center"/>
          </w:tcPr>
          <w:p>
            <w:pPr>
              <w:pStyle w:val="100"/>
              <w:bidi w:val="0"/>
              <w:rPr>
                <w:rFonts w:hint="eastAsia"/>
              </w:rPr>
            </w:pPr>
            <w:r>
              <w:rPr>
                <w:rFonts w:hint="eastAsia"/>
              </w:rPr>
              <w:t>环保投资占总投资比例%</w:t>
            </w:r>
          </w:p>
        </w:tc>
        <w:tc>
          <w:tcPr>
            <w:tcW w:w="876" w:type="dxa"/>
            <w:vAlign w:val="center"/>
          </w:tcPr>
          <w:p>
            <w:pPr>
              <w:pStyle w:val="100"/>
              <w:bidi w:val="0"/>
              <w:rPr>
                <w:rFonts w:hint="eastAsia"/>
              </w:rPr>
            </w:pPr>
            <w:bookmarkStart w:id="12" w:name="tzbl"/>
            <w:bookmarkEnd w:id="12"/>
            <w:r>
              <w:rPr>
                <w:rFonts w:hint="eastAsia"/>
              </w:rPr>
              <w:t>1.57</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770" w:type="dxa"/>
            <w:vAlign w:val="center"/>
          </w:tcPr>
          <w:p>
            <w:pPr>
              <w:pStyle w:val="100"/>
              <w:bidi w:val="0"/>
            </w:pPr>
            <w:r>
              <w:t>评价经费</w:t>
            </w:r>
          </w:p>
          <w:p>
            <w:pPr>
              <w:pStyle w:val="100"/>
              <w:bidi w:val="0"/>
            </w:pPr>
            <w:r>
              <w:t>（万元）</w:t>
            </w:r>
          </w:p>
        </w:tc>
        <w:tc>
          <w:tcPr>
            <w:tcW w:w="1133" w:type="dxa"/>
            <w:vAlign w:val="center"/>
          </w:tcPr>
          <w:p>
            <w:pPr>
              <w:pStyle w:val="100"/>
              <w:bidi w:val="0"/>
              <w:rPr>
                <w:rFonts w:hint="eastAsia" w:eastAsia="宋体"/>
                <w:lang w:val="en-US" w:eastAsia="zh-CN"/>
              </w:rPr>
            </w:pPr>
            <w:bookmarkStart w:id="13" w:name="hpjf"/>
            <w:bookmarkEnd w:id="13"/>
            <w:r>
              <w:rPr>
                <w:rFonts w:hint="eastAsia"/>
                <w:lang w:val="en-US" w:eastAsia="zh-CN"/>
              </w:rPr>
              <w:t>3</w:t>
            </w:r>
          </w:p>
        </w:tc>
        <w:tc>
          <w:tcPr>
            <w:tcW w:w="1843" w:type="dxa"/>
            <w:gridSpan w:val="3"/>
            <w:vAlign w:val="center"/>
          </w:tcPr>
          <w:p>
            <w:pPr>
              <w:pStyle w:val="100"/>
              <w:bidi w:val="0"/>
              <w:rPr>
                <w:rFonts w:hint="eastAsia"/>
              </w:rPr>
            </w:pPr>
            <w:r>
              <w:rPr>
                <w:rFonts w:hint="eastAsia"/>
              </w:rPr>
              <w:t>预期投产日期</w:t>
            </w:r>
          </w:p>
        </w:tc>
        <w:tc>
          <w:tcPr>
            <w:tcW w:w="3766" w:type="dxa"/>
            <w:gridSpan w:val="8"/>
            <w:vAlign w:val="center"/>
          </w:tcPr>
          <w:p>
            <w:pPr>
              <w:pStyle w:val="100"/>
              <w:bidi w:val="0"/>
              <w:rPr>
                <w:rFonts w:hint="eastAsia"/>
              </w:rPr>
            </w:pPr>
            <w:bookmarkStart w:id="14" w:name="ntcrq"/>
            <w:bookmarkEnd w:id="14"/>
            <w:r>
              <w:rPr>
                <w:rFonts w:hint="eastAsia"/>
              </w:rPr>
              <w:t>202</w:t>
            </w:r>
            <w:r>
              <w:rPr>
                <w:rFonts w:hint="eastAsia"/>
                <w:lang w:val="en-US" w:eastAsia="zh-CN"/>
              </w:rPr>
              <w:t>1</w:t>
            </w:r>
            <w:r>
              <w:rPr>
                <w:rFonts w:hint="eastAsia"/>
              </w:rPr>
              <w:t>年</w:t>
            </w:r>
            <w:r>
              <w:rPr>
                <w:rFonts w:hint="eastAsia"/>
                <w:lang w:val="en-US" w:eastAsia="zh-CN"/>
              </w:rPr>
              <w:t>3</w:t>
            </w:r>
            <w:r>
              <w:rPr>
                <w:rFonts w:hint="eastAsia"/>
              </w:rPr>
              <w:t>月</w:t>
            </w:r>
          </w:p>
        </w:tc>
      </w:tr>
    </w:tbl>
    <w:p>
      <w:pPr>
        <w:rPr>
          <w:b/>
          <w:bCs/>
          <w:sz w:val="24"/>
          <w:szCs w:val="21"/>
        </w:rPr>
      </w:pPr>
      <w:bookmarkStart w:id="15" w:name="_Toc307515778"/>
      <w:r>
        <w:rPr>
          <w:b/>
          <w:bCs/>
          <w:sz w:val="24"/>
          <w:szCs w:val="21"/>
        </w:rPr>
        <w:t>原辅材料（包括名称、用量）及主要设施规格、数量（包括锅炉、发电机等）</w:t>
      </w:r>
      <w:bookmarkEnd w:id="15"/>
    </w:p>
    <w:p>
      <w:pPr>
        <w:pStyle w:val="103"/>
        <w:bidi w:val="0"/>
      </w:pPr>
      <w:r>
        <w:rPr>
          <w:rFonts w:hint="eastAsia"/>
        </w:rPr>
        <w:t>拟建</w:t>
      </w:r>
      <w:r>
        <w:t>项目原辅材料见表1-1、设备情况见表1-</w:t>
      </w:r>
      <w:r>
        <w:rPr>
          <w:rFonts w:hint="eastAsia"/>
        </w:rPr>
        <w:t>3。</w:t>
      </w:r>
    </w:p>
    <w:p>
      <w:pPr>
        <w:pStyle w:val="273"/>
        <w:bidi w:val="0"/>
      </w:pPr>
      <w:r>
        <w:t xml:space="preserve">表1-1  </w:t>
      </w:r>
      <w:r>
        <w:rPr>
          <w:rFonts w:hint="eastAsia"/>
          <w:lang w:val="en-US" w:eastAsia="zh-CN"/>
        </w:rPr>
        <w:t>原有</w:t>
      </w:r>
      <w:r>
        <w:rPr>
          <w:rFonts w:hint="eastAsia"/>
        </w:rPr>
        <w:t>项目</w:t>
      </w:r>
      <w:r>
        <w:t>原辅材料使用情况一览表</w:t>
      </w:r>
    </w:p>
    <w:tbl>
      <w:tblPr>
        <w:tblStyle w:val="260"/>
        <w:tblW w:w="84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290"/>
        <w:gridCol w:w="1545"/>
        <w:gridCol w:w="851"/>
        <w:gridCol w:w="864"/>
        <w:gridCol w:w="907"/>
        <w:gridCol w:w="755"/>
        <w:gridCol w:w="889"/>
        <w:gridCol w:w="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02" w:hRule="atLeast"/>
          <w:jc w:val="center"/>
        </w:trPr>
        <w:tc>
          <w:tcPr>
            <w:tcW w:w="553" w:type="dxa"/>
            <w:vAlign w:val="center"/>
          </w:tcPr>
          <w:p>
            <w:pPr>
              <w:pStyle w:val="100"/>
              <w:widowControl w:val="0"/>
              <w:bidi w:val="0"/>
              <w:adjustRightInd w:val="0"/>
              <w:snapToGrid w:val="0"/>
            </w:pPr>
            <w:r>
              <w:t>序号</w:t>
            </w:r>
          </w:p>
        </w:tc>
        <w:tc>
          <w:tcPr>
            <w:tcW w:w="1290" w:type="dxa"/>
            <w:vAlign w:val="center"/>
          </w:tcPr>
          <w:p>
            <w:pPr>
              <w:pStyle w:val="100"/>
              <w:widowControl w:val="0"/>
              <w:bidi w:val="0"/>
              <w:adjustRightInd w:val="0"/>
              <w:snapToGrid w:val="0"/>
            </w:pPr>
            <w:r>
              <w:t>原辅材料名称</w:t>
            </w:r>
          </w:p>
        </w:tc>
        <w:tc>
          <w:tcPr>
            <w:tcW w:w="1545" w:type="dxa"/>
            <w:vAlign w:val="center"/>
          </w:tcPr>
          <w:p>
            <w:pPr>
              <w:pStyle w:val="100"/>
              <w:widowControl w:val="0"/>
              <w:bidi w:val="0"/>
              <w:adjustRightInd w:val="0"/>
              <w:snapToGrid w:val="0"/>
            </w:pPr>
            <w:r>
              <w:t>重要组分及规格指标</w:t>
            </w:r>
          </w:p>
        </w:tc>
        <w:tc>
          <w:tcPr>
            <w:tcW w:w="851" w:type="dxa"/>
            <w:vAlign w:val="center"/>
          </w:tcPr>
          <w:p>
            <w:pPr>
              <w:pStyle w:val="100"/>
              <w:widowControl w:val="0"/>
              <w:bidi w:val="0"/>
              <w:adjustRightInd w:val="0"/>
              <w:snapToGrid w:val="0"/>
            </w:pPr>
            <w:r>
              <w:rPr>
                <w:rFonts w:hint="eastAsia"/>
              </w:rPr>
              <w:t>形态</w:t>
            </w:r>
          </w:p>
        </w:tc>
        <w:tc>
          <w:tcPr>
            <w:tcW w:w="864" w:type="dxa"/>
            <w:vAlign w:val="center"/>
          </w:tcPr>
          <w:p>
            <w:pPr>
              <w:pStyle w:val="100"/>
              <w:widowControl w:val="0"/>
              <w:bidi w:val="0"/>
              <w:adjustRightInd w:val="0"/>
              <w:snapToGrid w:val="0"/>
            </w:pPr>
            <w:r>
              <w:t>年用量</w:t>
            </w:r>
          </w:p>
        </w:tc>
        <w:tc>
          <w:tcPr>
            <w:tcW w:w="907" w:type="dxa"/>
            <w:vAlign w:val="center"/>
          </w:tcPr>
          <w:p>
            <w:pPr>
              <w:pStyle w:val="100"/>
              <w:widowControl w:val="0"/>
              <w:bidi w:val="0"/>
              <w:adjustRightInd w:val="0"/>
              <w:snapToGrid w:val="0"/>
            </w:pPr>
            <w:r>
              <w:t>储存</w:t>
            </w:r>
            <w:r>
              <w:rPr>
                <w:rFonts w:hint="eastAsia"/>
              </w:rPr>
              <w:t>地点</w:t>
            </w:r>
          </w:p>
        </w:tc>
        <w:tc>
          <w:tcPr>
            <w:tcW w:w="755" w:type="dxa"/>
            <w:vAlign w:val="center"/>
          </w:tcPr>
          <w:p>
            <w:pPr>
              <w:pStyle w:val="100"/>
              <w:widowControl w:val="0"/>
              <w:bidi w:val="0"/>
              <w:adjustRightInd w:val="0"/>
              <w:snapToGrid w:val="0"/>
            </w:pPr>
            <w:r>
              <w:rPr>
                <w:rFonts w:hint="eastAsia"/>
              </w:rPr>
              <w:t>包装</w:t>
            </w:r>
            <w:r>
              <w:t>方式</w:t>
            </w:r>
          </w:p>
        </w:tc>
        <w:tc>
          <w:tcPr>
            <w:tcW w:w="889" w:type="dxa"/>
            <w:vAlign w:val="center"/>
          </w:tcPr>
          <w:p>
            <w:pPr>
              <w:pStyle w:val="100"/>
              <w:widowControl w:val="0"/>
              <w:bidi w:val="0"/>
              <w:adjustRightInd w:val="0"/>
              <w:snapToGrid w:val="0"/>
            </w:pPr>
            <w:r>
              <w:rPr>
                <w:rFonts w:hint="eastAsia"/>
              </w:rPr>
              <w:t>最大储存量</w:t>
            </w:r>
            <w:r>
              <w:t>（t）</w:t>
            </w:r>
          </w:p>
        </w:tc>
        <w:tc>
          <w:tcPr>
            <w:tcW w:w="810" w:type="dxa"/>
            <w:vAlign w:val="center"/>
          </w:tcPr>
          <w:p>
            <w:pPr>
              <w:pStyle w:val="100"/>
              <w:widowControl w:val="0"/>
              <w:bidi w:val="0"/>
              <w:adjustRightInd w:val="0"/>
              <w:snapToGrid w:val="0"/>
            </w:pPr>
            <w:r>
              <w:rPr>
                <w:rFonts w:hint="eastAsia"/>
              </w:rPr>
              <w:t>投加工序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53" w:type="dxa"/>
            <w:vAlign w:val="center"/>
          </w:tcPr>
          <w:p>
            <w:pPr>
              <w:pStyle w:val="100"/>
              <w:widowControl w:val="0"/>
              <w:bidi w:val="0"/>
              <w:adjustRightInd w:val="0"/>
              <w:snapToGrid w:val="0"/>
            </w:pPr>
            <w:r>
              <w:rPr>
                <w:rFonts w:hint="eastAsia"/>
              </w:rPr>
              <w:t>1</w:t>
            </w:r>
          </w:p>
        </w:tc>
        <w:tc>
          <w:tcPr>
            <w:tcW w:w="1290" w:type="dxa"/>
            <w:vAlign w:val="center"/>
          </w:tcPr>
          <w:p>
            <w:pPr>
              <w:pStyle w:val="100"/>
              <w:widowControl w:val="0"/>
              <w:bidi w:val="0"/>
              <w:adjustRightInd w:val="0"/>
              <w:snapToGrid w:val="0"/>
              <w:rPr>
                <w:rFonts w:hint="eastAsia"/>
                <w:lang w:val="en-US" w:eastAsia="zh-CN"/>
              </w:rPr>
            </w:pPr>
            <w:r>
              <w:rPr>
                <w:rFonts w:hint="eastAsia"/>
                <w:lang w:val="en-US" w:eastAsia="zh-CN"/>
              </w:rPr>
              <w:t>电脑键盘开关按键（半成品）</w:t>
            </w:r>
          </w:p>
        </w:tc>
        <w:tc>
          <w:tcPr>
            <w:tcW w:w="1545" w:type="dxa"/>
            <w:vAlign w:val="center"/>
          </w:tcPr>
          <w:p>
            <w:pPr>
              <w:pStyle w:val="100"/>
              <w:widowControl w:val="0"/>
              <w:bidi w:val="0"/>
              <w:adjustRightInd w:val="0"/>
              <w:snapToGrid w:val="0"/>
            </w:pPr>
            <w:r>
              <w:rPr>
                <w:rFonts w:hint="eastAsia"/>
              </w:rPr>
              <w:t>聚对苯二甲酸乙二醇酯100%</w:t>
            </w:r>
          </w:p>
        </w:tc>
        <w:tc>
          <w:tcPr>
            <w:tcW w:w="851" w:type="dxa"/>
            <w:vAlign w:val="center"/>
          </w:tcPr>
          <w:p>
            <w:pPr>
              <w:pStyle w:val="100"/>
              <w:widowControl w:val="0"/>
              <w:bidi w:val="0"/>
              <w:adjustRightInd w:val="0"/>
              <w:snapToGrid w:val="0"/>
            </w:pPr>
            <w:r>
              <w:rPr>
                <w:rFonts w:hint="eastAsia"/>
                <w:lang w:val="en-US" w:eastAsia="zh-CN"/>
              </w:rPr>
              <w:t>固</w:t>
            </w:r>
            <w:r>
              <w:rPr>
                <w:rFonts w:hint="eastAsia"/>
              </w:rPr>
              <w:t>态</w:t>
            </w:r>
          </w:p>
        </w:tc>
        <w:tc>
          <w:tcPr>
            <w:tcW w:w="864" w:type="dxa"/>
            <w:vAlign w:val="center"/>
          </w:tcPr>
          <w:p>
            <w:pPr>
              <w:pStyle w:val="100"/>
              <w:widowControl w:val="0"/>
              <w:bidi w:val="0"/>
              <w:adjustRightInd w:val="0"/>
              <w:snapToGrid w:val="0"/>
              <w:rPr>
                <w:rFonts w:hint="default"/>
                <w:lang w:val="en-US" w:eastAsia="zh-CN"/>
              </w:rPr>
            </w:pPr>
            <w:r>
              <w:rPr>
                <w:rFonts w:hint="eastAsia"/>
                <w:lang w:val="en-US" w:eastAsia="zh-CN"/>
              </w:rPr>
              <w:t>2700万个/年</w:t>
            </w:r>
          </w:p>
        </w:tc>
        <w:tc>
          <w:tcPr>
            <w:tcW w:w="907" w:type="dxa"/>
            <w:vAlign w:val="center"/>
          </w:tcPr>
          <w:p>
            <w:pPr>
              <w:pStyle w:val="100"/>
              <w:widowControl w:val="0"/>
              <w:bidi w:val="0"/>
              <w:adjustRightInd w:val="0"/>
              <w:snapToGrid w:val="0"/>
            </w:pPr>
            <w:r>
              <w:rPr>
                <w:rFonts w:hint="eastAsia"/>
              </w:rPr>
              <w:t>原料仓库</w:t>
            </w:r>
          </w:p>
        </w:tc>
        <w:tc>
          <w:tcPr>
            <w:tcW w:w="755" w:type="dxa"/>
            <w:vAlign w:val="center"/>
          </w:tcPr>
          <w:p>
            <w:pPr>
              <w:pStyle w:val="100"/>
              <w:widowControl w:val="0"/>
              <w:bidi w:val="0"/>
              <w:adjustRightInd w:val="0"/>
              <w:snapToGrid w:val="0"/>
              <w:rPr>
                <w:rFonts w:hint="eastAsia"/>
                <w:lang w:val="en-US" w:eastAsia="zh-CN"/>
              </w:rPr>
            </w:pPr>
            <w:r>
              <w:rPr>
                <w:rFonts w:hint="eastAsia"/>
                <w:lang w:val="en-US" w:eastAsia="zh-CN"/>
              </w:rPr>
              <w:t>堆放</w:t>
            </w:r>
          </w:p>
        </w:tc>
        <w:tc>
          <w:tcPr>
            <w:tcW w:w="889" w:type="dxa"/>
            <w:vAlign w:val="center"/>
          </w:tcPr>
          <w:p>
            <w:pPr>
              <w:pStyle w:val="100"/>
              <w:widowControl w:val="0"/>
              <w:bidi w:val="0"/>
              <w:adjustRightInd w:val="0"/>
              <w:snapToGrid w:val="0"/>
              <w:rPr>
                <w:rFonts w:hint="default"/>
                <w:lang w:val="en-US" w:eastAsia="zh-CN"/>
              </w:rPr>
            </w:pPr>
            <w:r>
              <w:rPr>
                <w:rFonts w:hint="eastAsia"/>
                <w:lang w:val="en-US" w:eastAsia="zh-CN"/>
              </w:rPr>
              <w:t>0.2</w:t>
            </w:r>
          </w:p>
        </w:tc>
        <w:tc>
          <w:tcPr>
            <w:tcW w:w="810" w:type="dxa"/>
            <w:vAlign w:val="center"/>
          </w:tcPr>
          <w:p>
            <w:pPr>
              <w:pStyle w:val="100"/>
              <w:widowControl w:val="0"/>
              <w:bidi w:val="0"/>
              <w:adjustRightInd w:val="0"/>
              <w:snapToGrid w:val="0"/>
              <w:rPr>
                <w:rFonts w:hint="eastAsia"/>
                <w:lang w:val="en-US" w:eastAsia="zh-CN"/>
              </w:rPr>
            </w:pPr>
            <w:r>
              <w:rPr>
                <w:rFonts w:hint="eastAsia"/>
                <w:lang w:val="en-US" w:eastAsia="zh-CN"/>
              </w:rPr>
              <w:t>冲压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53" w:type="dxa"/>
            <w:vAlign w:val="center"/>
          </w:tcPr>
          <w:p>
            <w:pPr>
              <w:pStyle w:val="100"/>
              <w:widowControl w:val="0"/>
              <w:bidi w:val="0"/>
              <w:adjustRightInd w:val="0"/>
              <w:snapToGrid w:val="0"/>
            </w:pPr>
            <w:r>
              <w:rPr>
                <w:rFonts w:hint="eastAsia"/>
              </w:rPr>
              <w:t>2</w:t>
            </w:r>
          </w:p>
        </w:tc>
        <w:tc>
          <w:tcPr>
            <w:tcW w:w="1290" w:type="dxa"/>
            <w:vAlign w:val="center"/>
          </w:tcPr>
          <w:p>
            <w:pPr>
              <w:pStyle w:val="100"/>
              <w:widowControl w:val="0"/>
              <w:bidi w:val="0"/>
              <w:adjustRightInd w:val="0"/>
              <w:snapToGrid w:val="0"/>
              <w:rPr>
                <w:rFonts w:hint="eastAsia"/>
                <w:lang w:val="en-US" w:eastAsia="zh-CN"/>
              </w:rPr>
            </w:pPr>
            <w:r>
              <w:rPr>
                <w:rFonts w:hint="eastAsia"/>
                <w:lang w:val="en-US" w:eastAsia="zh-CN"/>
              </w:rPr>
              <w:t>软性线路板（半成品）</w:t>
            </w:r>
          </w:p>
        </w:tc>
        <w:tc>
          <w:tcPr>
            <w:tcW w:w="1545" w:type="dxa"/>
            <w:vAlign w:val="center"/>
          </w:tcPr>
          <w:p>
            <w:pPr>
              <w:pStyle w:val="100"/>
              <w:widowControl w:val="0"/>
              <w:bidi w:val="0"/>
              <w:adjustRightInd w:val="0"/>
              <w:snapToGrid w:val="0"/>
              <w:rPr>
                <w:rFonts w:hint="default"/>
                <w:lang w:val="en-US" w:eastAsia="zh-CN"/>
              </w:rPr>
            </w:pPr>
            <w:r>
              <w:rPr>
                <w:rFonts w:hint="eastAsia"/>
                <w:lang w:val="en-US" w:eastAsia="zh-CN"/>
              </w:rPr>
              <w:t>软性线路板</w:t>
            </w:r>
          </w:p>
        </w:tc>
        <w:tc>
          <w:tcPr>
            <w:tcW w:w="851" w:type="dxa"/>
            <w:vAlign w:val="center"/>
          </w:tcPr>
          <w:p>
            <w:pPr>
              <w:pStyle w:val="100"/>
              <w:widowControl w:val="0"/>
              <w:bidi w:val="0"/>
              <w:adjustRightInd w:val="0"/>
              <w:snapToGrid w:val="0"/>
            </w:pPr>
            <w:r>
              <w:rPr>
                <w:rFonts w:hint="eastAsia"/>
                <w:lang w:val="en-US" w:eastAsia="zh-CN"/>
              </w:rPr>
              <w:t>固</w:t>
            </w:r>
            <w:r>
              <w:t>态</w:t>
            </w:r>
          </w:p>
        </w:tc>
        <w:tc>
          <w:tcPr>
            <w:tcW w:w="864" w:type="dxa"/>
            <w:vAlign w:val="center"/>
          </w:tcPr>
          <w:p>
            <w:pPr>
              <w:pStyle w:val="100"/>
              <w:widowControl w:val="0"/>
              <w:bidi w:val="0"/>
              <w:adjustRightInd w:val="0"/>
              <w:snapToGrid w:val="0"/>
              <w:rPr>
                <w:rFonts w:hint="default"/>
                <w:lang w:val="en-US" w:eastAsia="zh-CN"/>
              </w:rPr>
            </w:pPr>
            <w:r>
              <w:rPr>
                <w:rFonts w:hint="eastAsia"/>
                <w:lang w:val="en-US" w:eastAsia="zh-CN"/>
              </w:rPr>
              <w:t>3000万片/年</w:t>
            </w:r>
          </w:p>
        </w:tc>
        <w:tc>
          <w:tcPr>
            <w:tcW w:w="907" w:type="dxa"/>
            <w:vAlign w:val="center"/>
          </w:tcPr>
          <w:p>
            <w:pPr>
              <w:pStyle w:val="100"/>
              <w:widowControl w:val="0"/>
              <w:bidi w:val="0"/>
              <w:adjustRightInd w:val="0"/>
              <w:snapToGrid w:val="0"/>
            </w:pPr>
            <w:r>
              <w:rPr>
                <w:rFonts w:hint="eastAsia"/>
              </w:rPr>
              <w:t>原料仓库</w:t>
            </w:r>
          </w:p>
        </w:tc>
        <w:tc>
          <w:tcPr>
            <w:tcW w:w="755" w:type="dxa"/>
            <w:vAlign w:val="center"/>
          </w:tcPr>
          <w:p>
            <w:pPr>
              <w:pStyle w:val="100"/>
              <w:widowControl w:val="0"/>
              <w:bidi w:val="0"/>
              <w:adjustRightInd w:val="0"/>
              <w:snapToGrid w:val="0"/>
              <w:rPr>
                <w:rFonts w:hint="eastAsia"/>
                <w:lang w:val="en-US" w:eastAsia="zh-CN"/>
              </w:rPr>
            </w:pPr>
            <w:r>
              <w:rPr>
                <w:rFonts w:hint="eastAsia"/>
                <w:lang w:val="en-US" w:eastAsia="zh-CN"/>
              </w:rPr>
              <w:t>堆放</w:t>
            </w:r>
          </w:p>
        </w:tc>
        <w:tc>
          <w:tcPr>
            <w:tcW w:w="889" w:type="dxa"/>
            <w:vAlign w:val="center"/>
          </w:tcPr>
          <w:p>
            <w:pPr>
              <w:pStyle w:val="100"/>
              <w:widowControl w:val="0"/>
              <w:bidi w:val="0"/>
              <w:adjustRightInd w:val="0"/>
              <w:snapToGrid w:val="0"/>
              <w:rPr>
                <w:rFonts w:hint="eastAsia"/>
                <w:lang w:val="en-US" w:eastAsia="zh-CN"/>
              </w:rPr>
            </w:pPr>
            <w:r>
              <w:rPr>
                <w:rFonts w:hint="eastAsia"/>
                <w:lang w:val="en-US" w:eastAsia="zh-CN"/>
              </w:rPr>
              <w:t>0</w:t>
            </w:r>
          </w:p>
        </w:tc>
        <w:tc>
          <w:tcPr>
            <w:tcW w:w="810" w:type="dxa"/>
            <w:vAlign w:val="center"/>
          </w:tcPr>
          <w:p>
            <w:pPr>
              <w:pStyle w:val="100"/>
              <w:widowControl w:val="0"/>
              <w:bidi w:val="0"/>
              <w:adjustRightInd w:val="0"/>
              <w:snapToGrid w:val="0"/>
              <w:rPr>
                <w:rFonts w:hint="eastAsia"/>
                <w:lang w:eastAsia="zh-CN"/>
              </w:rPr>
            </w:pPr>
            <w:r>
              <w:rPr>
                <w:rFonts w:hint="eastAsia"/>
                <w:lang w:val="en-US" w:eastAsia="zh-CN"/>
              </w:rPr>
              <w:t>未投产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53" w:type="dxa"/>
            <w:vAlign w:val="center"/>
          </w:tcPr>
          <w:p>
            <w:pPr>
              <w:pStyle w:val="100"/>
              <w:widowControl w:val="0"/>
              <w:bidi w:val="0"/>
              <w:adjustRightInd w:val="0"/>
              <w:snapToGrid w:val="0"/>
            </w:pPr>
            <w:r>
              <w:rPr>
                <w:rFonts w:hint="eastAsia"/>
              </w:rPr>
              <w:t>3</w:t>
            </w:r>
          </w:p>
        </w:tc>
        <w:tc>
          <w:tcPr>
            <w:tcW w:w="1290" w:type="dxa"/>
            <w:vAlign w:val="center"/>
          </w:tcPr>
          <w:p>
            <w:pPr>
              <w:pStyle w:val="100"/>
              <w:widowControl w:val="0"/>
              <w:bidi w:val="0"/>
              <w:adjustRightInd w:val="0"/>
              <w:snapToGrid w:val="0"/>
            </w:pPr>
            <w:r>
              <w:rPr>
                <w:rFonts w:hint="eastAsia"/>
              </w:rPr>
              <w:t>PET</w:t>
            </w:r>
          </w:p>
        </w:tc>
        <w:tc>
          <w:tcPr>
            <w:tcW w:w="1545" w:type="dxa"/>
            <w:vAlign w:val="center"/>
          </w:tcPr>
          <w:p>
            <w:pPr>
              <w:pStyle w:val="100"/>
              <w:widowControl w:val="0"/>
              <w:bidi w:val="0"/>
              <w:adjustRightInd w:val="0"/>
              <w:snapToGrid w:val="0"/>
            </w:pPr>
            <w:r>
              <w:rPr>
                <w:rFonts w:hint="eastAsia"/>
              </w:rPr>
              <w:t>聚对苯二甲酸乙二醇酯100%</w:t>
            </w:r>
          </w:p>
        </w:tc>
        <w:tc>
          <w:tcPr>
            <w:tcW w:w="851" w:type="dxa"/>
            <w:vAlign w:val="center"/>
          </w:tcPr>
          <w:p>
            <w:pPr>
              <w:pStyle w:val="100"/>
              <w:widowControl w:val="0"/>
              <w:bidi w:val="0"/>
              <w:adjustRightInd w:val="0"/>
              <w:snapToGrid w:val="0"/>
            </w:pPr>
            <w:r>
              <w:rPr>
                <w:rFonts w:hint="eastAsia"/>
              </w:rPr>
              <w:t>固态</w:t>
            </w:r>
          </w:p>
        </w:tc>
        <w:tc>
          <w:tcPr>
            <w:tcW w:w="864" w:type="dxa"/>
            <w:vAlign w:val="center"/>
          </w:tcPr>
          <w:p>
            <w:pPr>
              <w:pStyle w:val="100"/>
              <w:widowControl w:val="0"/>
              <w:bidi w:val="0"/>
              <w:adjustRightInd w:val="0"/>
              <w:snapToGrid w:val="0"/>
              <w:rPr>
                <w:rFonts w:hint="default"/>
                <w:lang w:val="en-US" w:eastAsia="zh-CN"/>
              </w:rPr>
            </w:pPr>
            <w:r>
              <w:rPr>
                <w:rFonts w:hint="eastAsia"/>
                <w:lang w:val="en-US" w:eastAsia="zh-CN"/>
              </w:rPr>
              <w:t>270吨/年</w:t>
            </w:r>
          </w:p>
        </w:tc>
        <w:tc>
          <w:tcPr>
            <w:tcW w:w="907" w:type="dxa"/>
            <w:vAlign w:val="center"/>
          </w:tcPr>
          <w:p>
            <w:pPr>
              <w:pStyle w:val="100"/>
              <w:widowControl w:val="0"/>
              <w:bidi w:val="0"/>
              <w:adjustRightInd w:val="0"/>
              <w:snapToGrid w:val="0"/>
            </w:pPr>
            <w:r>
              <w:rPr>
                <w:rFonts w:hint="eastAsia"/>
              </w:rPr>
              <w:t>原料仓库</w:t>
            </w:r>
          </w:p>
        </w:tc>
        <w:tc>
          <w:tcPr>
            <w:tcW w:w="755" w:type="dxa"/>
            <w:vAlign w:val="center"/>
          </w:tcPr>
          <w:p>
            <w:pPr>
              <w:pStyle w:val="100"/>
              <w:widowControl w:val="0"/>
              <w:bidi w:val="0"/>
              <w:adjustRightInd w:val="0"/>
              <w:snapToGrid w:val="0"/>
            </w:pPr>
            <w:r>
              <w:rPr>
                <w:rFonts w:hint="eastAsia"/>
              </w:rPr>
              <w:t>卷材</w:t>
            </w:r>
          </w:p>
        </w:tc>
        <w:tc>
          <w:tcPr>
            <w:tcW w:w="889" w:type="dxa"/>
            <w:vAlign w:val="center"/>
          </w:tcPr>
          <w:p>
            <w:pPr>
              <w:pStyle w:val="100"/>
              <w:widowControl w:val="0"/>
              <w:bidi w:val="0"/>
              <w:adjustRightInd w:val="0"/>
              <w:snapToGrid w:val="0"/>
              <w:rPr>
                <w:rFonts w:hint="default"/>
                <w:lang w:val="en-US" w:eastAsia="zh-CN"/>
              </w:rPr>
            </w:pPr>
            <w:r>
              <w:rPr>
                <w:rFonts w:hint="eastAsia"/>
                <w:lang w:val="en-US" w:eastAsia="zh-CN"/>
              </w:rPr>
              <w:t>0.2</w:t>
            </w:r>
          </w:p>
        </w:tc>
        <w:tc>
          <w:tcPr>
            <w:tcW w:w="810" w:type="dxa"/>
            <w:vAlign w:val="center"/>
          </w:tcPr>
          <w:p>
            <w:pPr>
              <w:pStyle w:val="100"/>
              <w:widowControl w:val="0"/>
              <w:bidi w:val="0"/>
              <w:adjustRightInd w:val="0"/>
              <w:snapToGrid w:val="0"/>
            </w:pPr>
            <w:r>
              <w:rPr>
                <w:rFonts w:hint="eastAsia"/>
                <w:lang w:val="en-US" w:eastAsia="zh-CN"/>
              </w:rPr>
              <w:t>打孔</w:t>
            </w:r>
            <w:r>
              <w:rPr>
                <w:rFonts w:hint="eastAsia"/>
              </w:rPr>
              <w:t>、冲压</w:t>
            </w:r>
          </w:p>
        </w:tc>
      </w:tr>
    </w:tbl>
    <w:p>
      <w:pPr>
        <w:pStyle w:val="273"/>
        <w:bidi w:val="0"/>
      </w:pPr>
      <w:r>
        <w:t xml:space="preserve">表1-2  </w:t>
      </w:r>
      <w:r>
        <w:rPr>
          <w:rFonts w:hint="eastAsia"/>
          <w:lang w:val="en-US" w:eastAsia="zh-CN"/>
        </w:rPr>
        <w:t>搬迁</w:t>
      </w:r>
      <w:r>
        <w:rPr>
          <w:rFonts w:hint="eastAsia"/>
        </w:rPr>
        <w:t>后全厂</w:t>
      </w:r>
      <w:r>
        <w:t>原辅材料使用情况一览表</w:t>
      </w:r>
    </w:p>
    <w:tbl>
      <w:tblPr>
        <w:tblStyle w:val="260"/>
        <w:tblW w:w="84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19"/>
        <w:gridCol w:w="1276"/>
        <w:gridCol w:w="647"/>
        <w:gridCol w:w="715"/>
        <w:gridCol w:w="704"/>
        <w:gridCol w:w="704"/>
        <w:gridCol w:w="704"/>
        <w:gridCol w:w="703"/>
        <w:gridCol w:w="704"/>
        <w:gridCol w:w="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88" w:type="dxa"/>
            <w:vMerge w:val="restart"/>
            <w:vAlign w:val="center"/>
          </w:tcPr>
          <w:p>
            <w:pPr>
              <w:pStyle w:val="100"/>
              <w:widowControl w:val="0"/>
              <w:bidi w:val="0"/>
              <w:adjustRightInd w:val="0"/>
              <w:snapToGrid w:val="0"/>
            </w:pPr>
            <w:r>
              <w:t>序号</w:t>
            </w:r>
          </w:p>
        </w:tc>
        <w:tc>
          <w:tcPr>
            <w:tcW w:w="919" w:type="dxa"/>
            <w:vMerge w:val="restart"/>
            <w:vAlign w:val="center"/>
          </w:tcPr>
          <w:p>
            <w:pPr>
              <w:pStyle w:val="100"/>
              <w:widowControl w:val="0"/>
              <w:bidi w:val="0"/>
              <w:adjustRightInd w:val="0"/>
              <w:snapToGrid w:val="0"/>
            </w:pPr>
            <w:r>
              <w:t>原辅材料名称</w:t>
            </w:r>
          </w:p>
        </w:tc>
        <w:tc>
          <w:tcPr>
            <w:tcW w:w="1276" w:type="dxa"/>
            <w:vMerge w:val="restart"/>
            <w:vAlign w:val="center"/>
          </w:tcPr>
          <w:p>
            <w:pPr>
              <w:pStyle w:val="100"/>
              <w:widowControl w:val="0"/>
              <w:bidi w:val="0"/>
              <w:adjustRightInd w:val="0"/>
              <w:snapToGrid w:val="0"/>
            </w:pPr>
            <w:r>
              <w:t>重要组分及规格指标</w:t>
            </w:r>
          </w:p>
        </w:tc>
        <w:tc>
          <w:tcPr>
            <w:tcW w:w="647" w:type="dxa"/>
            <w:vMerge w:val="restart"/>
            <w:vAlign w:val="center"/>
          </w:tcPr>
          <w:p>
            <w:pPr>
              <w:pStyle w:val="100"/>
              <w:widowControl w:val="0"/>
              <w:bidi w:val="0"/>
              <w:adjustRightInd w:val="0"/>
              <w:snapToGrid w:val="0"/>
            </w:pPr>
            <w:r>
              <w:rPr>
                <w:rFonts w:hint="eastAsia"/>
              </w:rPr>
              <w:t>形态</w:t>
            </w:r>
          </w:p>
        </w:tc>
        <w:tc>
          <w:tcPr>
            <w:tcW w:w="2123" w:type="dxa"/>
            <w:gridSpan w:val="3"/>
            <w:vAlign w:val="center"/>
          </w:tcPr>
          <w:p>
            <w:pPr>
              <w:pStyle w:val="100"/>
              <w:widowControl w:val="0"/>
              <w:bidi w:val="0"/>
              <w:adjustRightInd w:val="0"/>
              <w:snapToGrid w:val="0"/>
            </w:pPr>
            <w:r>
              <w:t>年用量（t/a）</w:t>
            </w:r>
          </w:p>
        </w:tc>
        <w:tc>
          <w:tcPr>
            <w:tcW w:w="704" w:type="dxa"/>
            <w:vMerge w:val="restart"/>
            <w:vAlign w:val="center"/>
          </w:tcPr>
          <w:p>
            <w:pPr>
              <w:pStyle w:val="100"/>
              <w:widowControl w:val="0"/>
              <w:bidi w:val="0"/>
              <w:adjustRightInd w:val="0"/>
              <w:snapToGrid w:val="0"/>
            </w:pPr>
            <w:r>
              <w:t>储存</w:t>
            </w:r>
            <w:r>
              <w:rPr>
                <w:rFonts w:hint="eastAsia"/>
              </w:rPr>
              <w:t>地点</w:t>
            </w:r>
          </w:p>
        </w:tc>
        <w:tc>
          <w:tcPr>
            <w:tcW w:w="703" w:type="dxa"/>
            <w:vMerge w:val="restart"/>
            <w:vAlign w:val="center"/>
          </w:tcPr>
          <w:p>
            <w:pPr>
              <w:pStyle w:val="100"/>
              <w:widowControl w:val="0"/>
              <w:bidi w:val="0"/>
              <w:adjustRightInd w:val="0"/>
              <w:snapToGrid w:val="0"/>
            </w:pPr>
            <w:r>
              <w:rPr>
                <w:rFonts w:hint="eastAsia"/>
              </w:rPr>
              <w:t>包装</w:t>
            </w:r>
            <w:r>
              <w:t>方式</w:t>
            </w:r>
          </w:p>
        </w:tc>
        <w:tc>
          <w:tcPr>
            <w:tcW w:w="704" w:type="dxa"/>
            <w:vMerge w:val="restart"/>
            <w:vAlign w:val="center"/>
          </w:tcPr>
          <w:p>
            <w:pPr>
              <w:pStyle w:val="100"/>
              <w:widowControl w:val="0"/>
              <w:bidi w:val="0"/>
              <w:adjustRightInd w:val="0"/>
              <w:snapToGrid w:val="0"/>
            </w:pPr>
            <w:r>
              <w:rPr>
                <w:rFonts w:hint="eastAsia"/>
              </w:rPr>
              <w:t>最大储存量</w:t>
            </w:r>
            <w:r>
              <w:t>（t）</w:t>
            </w:r>
          </w:p>
        </w:tc>
        <w:tc>
          <w:tcPr>
            <w:tcW w:w="900" w:type="dxa"/>
            <w:vMerge w:val="restart"/>
            <w:vAlign w:val="center"/>
          </w:tcPr>
          <w:p>
            <w:pPr>
              <w:pStyle w:val="100"/>
              <w:widowControl w:val="0"/>
              <w:bidi w:val="0"/>
              <w:adjustRightInd w:val="0"/>
              <w:snapToGrid w:val="0"/>
            </w:pPr>
            <w:r>
              <w:rPr>
                <w:rFonts w:hint="eastAsia"/>
              </w:rPr>
              <w:t>投加工序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88" w:type="dxa"/>
            <w:vMerge w:val="continue"/>
            <w:vAlign w:val="center"/>
          </w:tcPr>
          <w:p>
            <w:pPr>
              <w:pStyle w:val="100"/>
              <w:widowControl w:val="0"/>
              <w:bidi w:val="0"/>
              <w:adjustRightInd w:val="0"/>
              <w:snapToGrid w:val="0"/>
            </w:pPr>
          </w:p>
        </w:tc>
        <w:tc>
          <w:tcPr>
            <w:tcW w:w="919" w:type="dxa"/>
            <w:vMerge w:val="continue"/>
            <w:vAlign w:val="center"/>
          </w:tcPr>
          <w:p>
            <w:pPr>
              <w:pStyle w:val="100"/>
              <w:widowControl w:val="0"/>
              <w:bidi w:val="0"/>
              <w:adjustRightInd w:val="0"/>
              <w:snapToGrid w:val="0"/>
            </w:pPr>
          </w:p>
        </w:tc>
        <w:tc>
          <w:tcPr>
            <w:tcW w:w="1276" w:type="dxa"/>
            <w:vMerge w:val="continue"/>
            <w:vAlign w:val="center"/>
          </w:tcPr>
          <w:p>
            <w:pPr>
              <w:pStyle w:val="100"/>
              <w:widowControl w:val="0"/>
              <w:bidi w:val="0"/>
              <w:adjustRightInd w:val="0"/>
              <w:snapToGrid w:val="0"/>
            </w:pPr>
          </w:p>
        </w:tc>
        <w:tc>
          <w:tcPr>
            <w:tcW w:w="647" w:type="dxa"/>
            <w:vMerge w:val="continue"/>
            <w:vAlign w:val="center"/>
          </w:tcPr>
          <w:p>
            <w:pPr>
              <w:pStyle w:val="100"/>
              <w:widowControl w:val="0"/>
              <w:bidi w:val="0"/>
              <w:adjustRightInd w:val="0"/>
              <w:snapToGrid w:val="0"/>
            </w:pPr>
          </w:p>
        </w:tc>
        <w:tc>
          <w:tcPr>
            <w:tcW w:w="715" w:type="dxa"/>
            <w:vAlign w:val="center"/>
          </w:tcPr>
          <w:p>
            <w:pPr>
              <w:pStyle w:val="100"/>
              <w:widowControl w:val="0"/>
              <w:bidi w:val="0"/>
              <w:adjustRightInd w:val="0"/>
              <w:snapToGrid w:val="0"/>
            </w:pPr>
            <w:r>
              <w:rPr>
                <w:rFonts w:hint="eastAsia"/>
                <w:lang w:val="en-US" w:eastAsia="zh-CN"/>
              </w:rPr>
              <w:t>搬迁</w:t>
            </w:r>
            <w:r>
              <w:t>前</w:t>
            </w:r>
          </w:p>
        </w:tc>
        <w:tc>
          <w:tcPr>
            <w:tcW w:w="704" w:type="dxa"/>
            <w:vAlign w:val="center"/>
          </w:tcPr>
          <w:p>
            <w:pPr>
              <w:pStyle w:val="100"/>
              <w:widowControl w:val="0"/>
              <w:bidi w:val="0"/>
              <w:adjustRightInd w:val="0"/>
              <w:snapToGrid w:val="0"/>
            </w:pPr>
            <w:r>
              <w:rPr>
                <w:rFonts w:hint="eastAsia"/>
                <w:lang w:val="en-US" w:eastAsia="zh-CN"/>
              </w:rPr>
              <w:t>搬迁</w:t>
            </w:r>
            <w:r>
              <w:t>后</w:t>
            </w:r>
          </w:p>
        </w:tc>
        <w:tc>
          <w:tcPr>
            <w:tcW w:w="704" w:type="dxa"/>
            <w:vAlign w:val="center"/>
          </w:tcPr>
          <w:p>
            <w:pPr>
              <w:pStyle w:val="100"/>
              <w:widowControl w:val="0"/>
              <w:bidi w:val="0"/>
              <w:adjustRightInd w:val="0"/>
              <w:snapToGrid w:val="0"/>
            </w:pPr>
            <w:r>
              <w:rPr>
                <w:rFonts w:hint="eastAsia"/>
              </w:rPr>
              <w:t>变化量</w:t>
            </w:r>
          </w:p>
        </w:tc>
        <w:tc>
          <w:tcPr>
            <w:tcW w:w="704" w:type="dxa"/>
            <w:vMerge w:val="continue"/>
            <w:vAlign w:val="center"/>
          </w:tcPr>
          <w:p>
            <w:pPr>
              <w:pStyle w:val="100"/>
              <w:widowControl w:val="0"/>
              <w:bidi w:val="0"/>
              <w:adjustRightInd w:val="0"/>
              <w:snapToGrid w:val="0"/>
            </w:pPr>
          </w:p>
        </w:tc>
        <w:tc>
          <w:tcPr>
            <w:tcW w:w="703" w:type="dxa"/>
            <w:vMerge w:val="continue"/>
            <w:vAlign w:val="center"/>
          </w:tcPr>
          <w:p>
            <w:pPr>
              <w:pStyle w:val="100"/>
              <w:widowControl w:val="0"/>
              <w:bidi w:val="0"/>
              <w:adjustRightInd w:val="0"/>
              <w:snapToGrid w:val="0"/>
            </w:pPr>
          </w:p>
        </w:tc>
        <w:tc>
          <w:tcPr>
            <w:tcW w:w="704" w:type="dxa"/>
            <w:vMerge w:val="continue"/>
            <w:vAlign w:val="center"/>
          </w:tcPr>
          <w:p>
            <w:pPr>
              <w:pStyle w:val="100"/>
              <w:widowControl w:val="0"/>
              <w:bidi w:val="0"/>
              <w:adjustRightInd w:val="0"/>
              <w:snapToGrid w:val="0"/>
            </w:pPr>
          </w:p>
        </w:tc>
        <w:tc>
          <w:tcPr>
            <w:tcW w:w="900"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88" w:type="dxa"/>
            <w:vAlign w:val="center"/>
          </w:tcPr>
          <w:p>
            <w:pPr>
              <w:pStyle w:val="100"/>
              <w:widowControl w:val="0"/>
              <w:bidi w:val="0"/>
              <w:adjustRightInd w:val="0"/>
              <w:snapToGrid w:val="0"/>
            </w:pPr>
            <w:r>
              <w:rPr>
                <w:rFonts w:hint="eastAsia"/>
              </w:rPr>
              <w:t>1</w:t>
            </w:r>
          </w:p>
        </w:tc>
        <w:tc>
          <w:tcPr>
            <w:tcW w:w="919" w:type="dxa"/>
            <w:vAlign w:val="center"/>
          </w:tcPr>
          <w:p>
            <w:pPr>
              <w:pStyle w:val="100"/>
              <w:widowControl w:val="0"/>
              <w:bidi w:val="0"/>
              <w:adjustRightInd w:val="0"/>
              <w:snapToGrid w:val="0"/>
            </w:pPr>
            <w:r>
              <w:rPr>
                <w:rFonts w:hint="eastAsia"/>
                <w:lang w:val="en-US" w:eastAsia="zh-CN"/>
              </w:rPr>
              <w:t>水性</w:t>
            </w:r>
            <w:r>
              <w:rPr>
                <w:rFonts w:hint="eastAsia"/>
              </w:rPr>
              <w:t>油墨</w:t>
            </w:r>
          </w:p>
        </w:tc>
        <w:tc>
          <w:tcPr>
            <w:tcW w:w="1276" w:type="dxa"/>
            <w:vAlign w:val="center"/>
          </w:tcPr>
          <w:p>
            <w:pPr>
              <w:pStyle w:val="100"/>
              <w:widowControl w:val="0"/>
              <w:bidi w:val="0"/>
              <w:adjustRightInd w:val="0"/>
              <w:snapToGrid w:val="0"/>
            </w:pPr>
            <w:r>
              <w:rPr>
                <w:rFonts w:hint="eastAsia"/>
              </w:rPr>
              <w:t>水性聚酯树脂35%，水性聚氨酯10%，去离子水20%，醇类溶剂4%，醚类溶剂6%，炭黑20%，水性助剂5%</w:t>
            </w:r>
          </w:p>
        </w:tc>
        <w:tc>
          <w:tcPr>
            <w:tcW w:w="647" w:type="dxa"/>
            <w:vAlign w:val="center"/>
          </w:tcPr>
          <w:p>
            <w:pPr>
              <w:pStyle w:val="100"/>
              <w:widowControl w:val="0"/>
              <w:bidi w:val="0"/>
              <w:adjustRightInd w:val="0"/>
              <w:snapToGrid w:val="0"/>
            </w:pPr>
            <w:r>
              <w:rPr>
                <w:rFonts w:hint="eastAsia"/>
              </w:rPr>
              <w:t>液态</w:t>
            </w:r>
          </w:p>
        </w:tc>
        <w:tc>
          <w:tcPr>
            <w:tcW w:w="715" w:type="dxa"/>
            <w:vAlign w:val="center"/>
          </w:tcPr>
          <w:p>
            <w:pPr>
              <w:pStyle w:val="100"/>
              <w:widowControl w:val="0"/>
              <w:bidi w:val="0"/>
              <w:adjustRightInd w:val="0"/>
              <w:snapToGrid w:val="0"/>
            </w:pPr>
            <w:r>
              <w:t>0</w:t>
            </w:r>
          </w:p>
        </w:tc>
        <w:tc>
          <w:tcPr>
            <w:tcW w:w="704" w:type="dxa"/>
            <w:vAlign w:val="center"/>
          </w:tcPr>
          <w:p>
            <w:pPr>
              <w:pStyle w:val="100"/>
              <w:widowControl w:val="0"/>
              <w:bidi w:val="0"/>
              <w:adjustRightInd w:val="0"/>
              <w:snapToGrid w:val="0"/>
            </w:pPr>
            <w:r>
              <w:rPr>
                <w:rFonts w:hint="eastAsia"/>
              </w:rPr>
              <w:t>3</w:t>
            </w:r>
          </w:p>
        </w:tc>
        <w:tc>
          <w:tcPr>
            <w:tcW w:w="704" w:type="dxa"/>
            <w:vAlign w:val="center"/>
          </w:tcPr>
          <w:p>
            <w:pPr>
              <w:pStyle w:val="100"/>
              <w:widowControl w:val="0"/>
              <w:bidi w:val="0"/>
              <w:adjustRightInd w:val="0"/>
              <w:snapToGrid w:val="0"/>
            </w:pPr>
            <w:r>
              <w:t>+</w:t>
            </w:r>
            <w:r>
              <w:rPr>
                <w:rFonts w:hint="eastAsia"/>
              </w:rPr>
              <w:t>3</w:t>
            </w:r>
          </w:p>
        </w:tc>
        <w:tc>
          <w:tcPr>
            <w:tcW w:w="704" w:type="dxa"/>
            <w:vAlign w:val="center"/>
          </w:tcPr>
          <w:p>
            <w:pPr>
              <w:pStyle w:val="100"/>
              <w:widowControl w:val="0"/>
              <w:bidi w:val="0"/>
              <w:adjustRightInd w:val="0"/>
              <w:snapToGrid w:val="0"/>
            </w:pPr>
            <w:r>
              <w:rPr>
                <w:rFonts w:hint="eastAsia"/>
              </w:rPr>
              <w:t>原料仓库</w:t>
            </w:r>
          </w:p>
        </w:tc>
        <w:tc>
          <w:tcPr>
            <w:tcW w:w="703" w:type="dxa"/>
            <w:vAlign w:val="center"/>
          </w:tcPr>
          <w:p>
            <w:pPr>
              <w:pStyle w:val="100"/>
              <w:widowControl w:val="0"/>
              <w:bidi w:val="0"/>
              <w:adjustRightInd w:val="0"/>
              <w:snapToGrid w:val="0"/>
            </w:pPr>
            <w:r>
              <w:rPr>
                <w:rFonts w:hint="eastAsia"/>
              </w:rPr>
              <w:t>罐装</w:t>
            </w:r>
          </w:p>
        </w:tc>
        <w:tc>
          <w:tcPr>
            <w:tcW w:w="704" w:type="dxa"/>
            <w:vAlign w:val="center"/>
          </w:tcPr>
          <w:p>
            <w:pPr>
              <w:pStyle w:val="100"/>
              <w:widowControl w:val="0"/>
              <w:bidi w:val="0"/>
              <w:adjustRightInd w:val="0"/>
              <w:snapToGrid w:val="0"/>
            </w:pPr>
            <w:r>
              <w:rPr>
                <w:rFonts w:hint="eastAsia"/>
              </w:rPr>
              <w:t>0.06</w:t>
            </w:r>
          </w:p>
        </w:tc>
        <w:tc>
          <w:tcPr>
            <w:tcW w:w="900" w:type="dxa"/>
            <w:vAlign w:val="center"/>
          </w:tcPr>
          <w:p>
            <w:pPr>
              <w:pStyle w:val="100"/>
              <w:widowControl w:val="0"/>
              <w:bidi w:val="0"/>
              <w:adjustRightInd w:val="0"/>
              <w:snapToGrid w:val="0"/>
            </w:pPr>
            <w:r>
              <w:rPr>
                <w:rFonts w:hint="eastAsia"/>
              </w:rPr>
              <w:t>印刷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88" w:type="dxa"/>
            <w:vAlign w:val="center"/>
          </w:tcPr>
          <w:p>
            <w:pPr>
              <w:pStyle w:val="100"/>
              <w:widowControl w:val="0"/>
              <w:bidi w:val="0"/>
              <w:adjustRightInd w:val="0"/>
              <w:snapToGrid w:val="0"/>
            </w:pPr>
            <w:r>
              <w:rPr>
                <w:rFonts w:hint="eastAsia"/>
              </w:rPr>
              <w:t>2</w:t>
            </w:r>
          </w:p>
        </w:tc>
        <w:tc>
          <w:tcPr>
            <w:tcW w:w="919" w:type="dxa"/>
            <w:vAlign w:val="center"/>
          </w:tcPr>
          <w:p>
            <w:pPr>
              <w:pStyle w:val="100"/>
              <w:widowControl w:val="0"/>
              <w:bidi w:val="0"/>
              <w:adjustRightInd w:val="0"/>
              <w:snapToGrid w:val="0"/>
            </w:pPr>
            <w:r>
              <w:rPr>
                <w:rFonts w:hint="eastAsia"/>
              </w:rPr>
              <w:t>水</w:t>
            </w:r>
            <w:r>
              <w:rPr>
                <w:rFonts w:hint="eastAsia"/>
                <w:lang w:val="en-US" w:eastAsia="zh-CN"/>
              </w:rPr>
              <w:t>性</w:t>
            </w:r>
            <w:r>
              <w:rPr>
                <w:rFonts w:hint="eastAsia"/>
              </w:rPr>
              <w:t>胶</w:t>
            </w:r>
          </w:p>
        </w:tc>
        <w:tc>
          <w:tcPr>
            <w:tcW w:w="1276" w:type="dxa"/>
            <w:vAlign w:val="center"/>
          </w:tcPr>
          <w:p>
            <w:pPr>
              <w:pStyle w:val="100"/>
              <w:widowControl w:val="0"/>
              <w:bidi w:val="0"/>
              <w:adjustRightInd w:val="0"/>
              <w:snapToGrid w:val="0"/>
            </w:pPr>
            <w:r>
              <w:rPr>
                <w:rFonts w:hint="eastAsia"/>
              </w:rPr>
              <w:t>乙烯基乙酸酯和丙烯酸酯的共聚物62%，异丙醇0.25%，乙酸乙烯酯0.15%，壬基苯氧基聚（氧乙烯）乙醇0.1%，水37.5%</w:t>
            </w:r>
          </w:p>
        </w:tc>
        <w:tc>
          <w:tcPr>
            <w:tcW w:w="647" w:type="dxa"/>
            <w:vAlign w:val="center"/>
          </w:tcPr>
          <w:p>
            <w:pPr>
              <w:pStyle w:val="100"/>
              <w:widowControl w:val="0"/>
              <w:bidi w:val="0"/>
              <w:adjustRightInd w:val="0"/>
              <w:snapToGrid w:val="0"/>
            </w:pPr>
            <w:r>
              <w:rPr>
                <w:rFonts w:hint="eastAsia"/>
              </w:rPr>
              <w:t>液态</w:t>
            </w:r>
          </w:p>
        </w:tc>
        <w:tc>
          <w:tcPr>
            <w:tcW w:w="715" w:type="dxa"/>
            <w:vAlign w:val="center"/>
          </w:tcPr>
          <w:p>
            <w:pPr>
              <w:pStyle w:val="100"/>
              <w:widowControl w:val="0"/>
              <w:bidi w:val="0"/>
              <w:adjustRightInd w:val="0"/>
              <w:snapToGrid w:val="0"/>
            </w:pPr>
            <w:r>
              <w:t>0</w:t>
            </w:r>
          </w:p>
        </w:tc>
        <w:tc>
          <w:tcPr>
            <w:tcW w:w="704" w:type="dxa"/>
            <w:vAlign w:val="center"/>
          </w:tcPr>
          <w:p>
            <w:pPr>
              <w:pStyle w:val="100"/>
              <w:widowControl w:val="0"/>
              <w:bidi w:val="0"/>
              <w:adjustRightInd w:val="0"/>
              <w:snapToGrid w:val="0"/>
            </w:pPr>
            <w:r>
              <w:rPr>
                <w:rFonts w:hint="eastAsia"/>
              </w:rPr>
              <w:t>4</w:t>
            </w:r>
          </w:p>
        </w:tc>
        <w:tc>
          <w:tcPr>
            <w:tcW w:w="704" w:type="dxa"/>
            <w:vAlign w:val="center"/>
          </w:tcPr>
          <w:p>
            <w:pPr>
              <w:pStyle w:val="100"/>
              <w:widowControl w:val="0"/>
              <w:bidi w:val="0"/>
              <w:adjustRightInd w:val="0"/>
              <w:snapToGrid w:val="0"/>
            </w:pPr>
            <w:r>
              <w:rPr>
                <w:rFonts w:hint="eastAsia"/>
              </w:rPr>
              <w:t>+4</w:t>
            </w:r>
          </w:p>
        </w:tc>
        <w:tc>
          <w:tcPr>
            <w:tcW w:w="704" w:type="dxa"/>
            <w:vAlign w:val="center"/>
          </w:tcPr>
          <w:p>
            <w:pPr>
              <w:pStyle w:val="100"/>
              <w:widowControl w:val="0"/>
              <w:bidi w:val="0"/>
              <w:adjustRightInd w:val="0"/>
              <w:snapToGrid w:val="0"/>
            </w:pPr>
            <w:r>
              <w:rPr>
                <w:rFonts w:hint="eastAsia"/>
              </w:rPr>
              <w:t>原料仓库</w:t>
            </w:r>
          </w:p>
        </w:tc>
        <w:tc>
          <w:tcPr>
            <w:tcW w:w="703" w:type="dxa"/>
            <w:vAlign w:val="center"/>
          </w:tcPr>
          <w:p>
            <w:pPr>
              <w:pStyle w:val="100"/>
              <w:widowControl w:val="0"/>
              <w:bidi w:val="0"/>
              <w:adjustRightInd w:val="0"/>
              <w:snapToGrid w:val="0"/>
            </w:pPr>
            <w:r>
              <w:rPr>
                <w:rFonts w:hint="eastAsia"/>
              </w:rPr>
              <w:t>罐装</w:t>
            </w:r>
          </w:p>
        </w:tc>
        <w:tc>
          <w:tcPr>
            <w:tcW w:w="704" w:type="dxa"/>
            <w:vAlign w:val="center"/>
          </w:tcPr>
          <w:p>
            <w:pPr>
              <w:pStyle w:val="100"/>
              <w:widowControl w:val="0"/>
              <w:bidi w:val="0"/>
              <w:adjustRightInd w:val="0"/>
              <w:snapToGrid w:val="0"/>
            </w:pPr>
            <w:r>
              <w:rPr>
                <w:rFonts w:hint="eastAsia"/>
              </w:rPr>
              <w:t>0.08</w:t>
            </w:r>
          </w:p>
        </w:tc>
        <w:tc>
          <w:tcPr>
            <w:tcW w:w="900" w:type="dxa"/>
            <w:vAlign w:val="center"/>
          </w:tcPr>
          <w:p>
            <w:pPr>
              <w:pStyle w:val="100"/>
              <w:widowControl w:val="0"/>
              <w:bidi w:val="0"/>
              <w:adjustRightInd w:val="0"/>
              <w:snapToGrid w:val="0"/>
            </w:pPr>
            <w:r>
              <w:rPr>
                <w:rFonts w:hint="eastAsia"/>
              </w:rPr>
              <w:t>印刷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88" w:type="dxa"/>
            <w:vAlign w:val="center"/>
          </w:tcPr>
          <w:p>
            <w:pPr>
              <w:pStyle w:val="100"/>
              <w:widowControl w:val="0"/>
              <w:bidi w:val="0"/>
              <w:adjustRightInd w:val="0"/>
              <w:snapToGrid w:val="0"/>
            </w:pPr>
            <w:r>
              <w:rPr>
                <w:rFonts w:hint="eastAsia"/>
              </w:rPr>
              <w:t>3</w:t>
            </w:r>
          </w:p>
        </w:tc>
        <w:tc>
          <w:tcPr>
            <w:tcW w:w="919" w:type="dxa"/>
            <w:vAlign w:val="center"/>
          </w:tcPr>
          <w:p>
            <w:pPr>
              <w:pStyle w:val="100"/>
              <w:widowControl w:val="0"/>
              <w:bidi w:val="0"/>
              <w:adjustRightInd w:val="0"/>
              <w:snapToGrid w:val="0"/>
            </w:pPr>
            <w:r>
              <w:rPr>
                <w:rFonts w:hint="eastAsia"/>
              </w:rPr>
              <w:t>PET</w:t>
            </w:r>
          </w:p>
        </w:tc>
        <w:tc>
          <w:tcPr>
            <w:tcW w:w="1276" w:type="dxa"/>
            <w:vAlign w:val="center"/>
          </w:tcPr>
          <w:p>
            <w:pPr>
              <w:pStyle w:val="100"/>
              <w:widowControl w:val="0"/>
              <w:bidi w:val="0"/>
              <w:adjustRightInd w:val="0"/>
              <w:snapToGrid w:val="0"/>
            </w:pPr>
            <w:r>
              <w:rPr>
                <w:rFonts w:hint="eastAsia"/>
              </w:rPr>
              <w:t>聚对苯二甲酸乙二醇酯100%</w:t>
            </w:r>
          </w:p>
        </w:tc>
        <w:tc>
          <w:tcPr>
            <w:tcW w:w="647" w:type="dxa"/>
            <w:vAlign w:val="center"/>
          </w:tcPr>
          <w:p>
            <w:pPr>
              <w:pStyle w:val="100"/>
              <w:widowControl w:val="0"/>
              <w:bidi w:val="0"/>
              <w:adjustRightInd w:val="0"/>
              <w:snapToGrid w:val="0"/>
            </w:pPr>
            <w:r>
              <w:rPr>
                <w:rFonts w:hint="eastAsia"/>
              </w:rPr>
              <w:t>固态</w:t>
            </w:r>
          </w:p>
        </w:tc>
        <w:tc>
          <w:tcPr>
            <w:tcW w:w="715" w:type="dxa"/>
            <w:vAlign w:val="center"/>
          </w:tcPr>
          <w:p>
            <w:pPr>
              <w:pStyle w:val="100"/>
              <w:widowControl w:val="0"/>
              <w:bidi w:val="0"/>
              <w:adjustRightInd w:val="0"/>
              <w:snapToGrid w:val="0"/>
            </w:pPr>
            <w:r>
              <w:rPr>
                <w:rFonts w:hint="eastAsia"/>
              </w:rPr>
              <w:t>270</w:t>
            </w:r>
          </w:p>
        </w:tc>
        <w:tc>
          <w:tcPr>
            <w:tcW w:w="704" w:type="dxa"/>
            <w:vAlign w:val="center"/>
          </w:tcPr>
          <w:p>
            <w:pPr>
              <w:pStyle w:val="100"/>
              <w:widowControl w:val="0"/>
              <w:bidi w:val="0"/>
              <w:adjustRightInd w:val="0"/>
              <w:snapToGrid w:val="0"/>
            </w:pPr>
            <w:r>
              <w:rPr>
                <w:rFonts w:hint="eastAsia"/>
              </w:rPr>
              <w:t>10</w:t>
            </w:r>
          </w:p>
        </w:tc>
        <w:tc>
          <w:tcPr>
            <w:tcW w:w="704" w:type="dxa"/>
            <w:vAlign w:val="center"/>
          </w:tcPr>
          <w:p>
            <w:pPr>
              <w:pStyle w:val="100"/>
              <w:widowControl w:val="0"/>
              <w:bidi w:val="0"/>
              <w:adjustRightInd w:val="0"/>
              <w:snapToGrid w:val="0"/>
            </w:pPr>
            <w:r>
              <w:rPr>
                <w:rFonts w:hint="eastAsia"/>
              </w:rPr>
              <w:t>-260</w:t>
            </w:r>
          </w:p>
        </w:tc>
        <w:tc>
          <w:tcPr>
            <w:tcW w:w="704" w:type="dxa"/>
            <w:vAlign w:val="center"/>
          </w:tcPr>
          <w:p>
            <w:pPr>
              <w:pStyle w:val="100"/>
              <w:widowControl w:val="0"/>
              <w:bidi w:val="0"/>
              <w:adjustRightInd w:val="0"/>
              <w:snapToGrid w:val="0"/>
            </w:pPr>
            <w:r>
              <w:rPr>
                <w:rFonts w:hint="eastAsia"/>
              </w:rPr>
              <w:t>原料仓库</w:t>
            </w:r>
          </w:p>
        </w:tc>
        <w:tc>
          <w:tcPr>
            <w:tcW w:w="703" w:type="dxa"/>
            <w:vAlign w:val="center"/>
          </w:tcPr>
          <w:p>
            <w:pPr>
              <w:pStyle w:val="100"/>
              <w:widowControl w:val="0"/>
              <w:bidi w:val="0"/>
              <w:adjustRightInd w:val="0"/>
              <w:snapToGrid w:val="0"/>
            </w:pPr>
            <w:r>
              <w:rPr>
                <w:rFonts w:hint="eastAsia"/>
              </w:rPr>
              <w:t>卷材</w:t>
            </w:r>
          </w:p>
        </w:tc>
        <w:tc>
          <w:tcPr>
            <w:tcW w:w="704" w:type="dxa"/>
            <w:vAlign w:val="center"/>
          </w:tcPr>
          <w:p>
            <w:pPr>
              <w:pStyle w:val="100"/>
              <w:widowControl w:val="0"/>
              <w:bidi w:val="0"/>
              <w:adjustRightInd w:val="0"/>
              <w:snapToGrid w:val="0"/>
            </w:pPr>
            <w:r>
              <w:rPr>
                <w:rFonts w:hint="eastAsia"/>
              </w:rPr>
              <w:t>0.2</w:t>
            </w:r>
          </w:p>
        </w:tc>
        <w:tc>
          <w:tcPr>
            <w:tcW w:w="900" w:type="dxa"/>
            <w:vAlign w:val="center"/>
          </w:tcPr>
          <w:p>
            <w:pPr>
              <w:pStyle w:val="100"/>
              <w:widowControl w:val="0"/>
              <w:bidi w:val="0"/>
              <w:adjustRightInd w:val="0"/>
              <w:snapToGrid w:val="0"/>
            </w:pPr>
            <w:r>
              <w:rPr>
                <w:rFonts w:hint="eastAsia"/>
              </w:rPr>
              <w:t>印刷、冲压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88" w:type="dxa"/>
            <w:vAlign w:val="center"/>
          </w:tcPr>
          <w:p>
            <w:pPr>
              <w:pStyle w:val="100"/>
              <w:widowControl w:val="0"/>
              <w:bidi w:val="0"/>
              <w:adjustRightInd w:val="0"/>
              <w:snapToGrid w:val="0"/>
            </w:pPr>
            <w:r>
              <w:rPr>
                <w:rFonts w:hint="eastAsia"/>
              </w:rPr>
              <w:t>4</w:t>
            </w:r>
          </w:p>
        </w:tc>
        <w:tc>
          <w:tcPr>
            <w:tcW w:w="919" w:type="dxa"/>
            <w:vAlign w:val="center"/>
          </w:tcPr>
          <w:p>
            <w:pPr>
              <w:pStyle w:val="100"/>
              <w:widowControl w:val="0"/>
              <w:bidi w:val="0"/>
              <w:adjustRightInd w:val="0"/>
              <w:snapToGrid w:val="0"/>
            </w:pPr>
            <w:r>
              <w:rPr>
                <w:rFonts w:hint="eastAsia"/>
              </w:rPr>
              <w:t>离型膜</w:t>
            </w:r>
          </w:p>
        </w:tc>
        <w:tc>
          <w:tcPr>
            <w:tcW w:w="1276" w:type="dxa"/>
            <w:vAlign w:val="center"/>
          </w:tcPr>
          <w:p>
            <w:pPr>
              <w:pStyle w:val="100"/>
              <w:widowControl w:val="0"/>
              <w:bidi w:val="0"/>
              <w:adjustRightInd w:val="0"/>
              <w:snapToGrid w:val="0"/>
            </w:pPr>
            <w:r>
              <w:rPr>
                <w:rFonts w:hint="eastAsia"/>
              </w:rPr>
              <w:t>聚对苯二甲酸乙二醇酯100%</w:t>
            </w:r>
          </w:p>
        </w:tc>
        <w:tc>
          <w:tcPr>
            <w:tcW w:w="647" w:type="dxa"/>
            <w:vAlign w:val="center"/>
          </w:tcPr>
          <w:p>
            <w:pPr>
              <w:pStyle w:val="100"/>
              <w:widowControl w:val="0"/>
              <w:bidi w:val="0"/>
              <w:adjustRightInd w:val="0"/>
              <w:snapToGrid w:val="0"/>
            </w:pPr>
            <w:r>
              <w:rPr>
                <w:rFonts w:hint="eastAsia"/>
              </w:rPr>
              <w:t>固</w:t>
            </w:r>
            <w:r>
              <w:t>态</w:t>
            </w:r>
          </w:p>
        </w:tc>
        <w:tc>
          <w:tcPr>
            <w:tcW w:w="715" w:type="dxa"/>
            <w:vAlign w:val="center"/>
          </w:tcPr>
          <w:p>
            <w:pPr>
              <w:pStyle w:val="100"/>
              <w:widowControl w:val="0"/>
              <w:bidi w:val="0"/>
              <w:adjustRightInd w:val="0"/>
              <w:snapToGrid w:val="0"/>
            </w:pPr>
            <w:r>
              <w:rPr>
                <w:rFonts w:hint="eastAsia"/>
              </w:rPr>
              <w:t>0</w:t>
            </w:r>
          </w:p>
        </w:tc>
        <w:tc>
          <w:tcPr>
            <w:tcW w:w="704" w:type="dxa"/>
            <w:vAlign w:val="center"/>
          </w:tcPr>
          <w:p>
            <w:pPr>
              <w:pStyle w:val="100"/>
              <w:widowControl w:val="0"/>
              <w:bidi w:val="0"/>
              <w:adjustRightInd w:val="0"/>
              <w:snapToGrid w:val="0"/>
            </w:pPr>
            <w:r>
              <w:rPr>
                <w:rFonts w:hint="eastAsia"/>
              </w:rPr>
              <w:t>15</w:t>
            </w:r>
          </w:p>
        </w:tc>
        <w:tc>
          <w:tcPr>
            <w:tcW w:w="704" w:type="dxa"/>
            <w:vAlign w:val="center"/>
          </w:tcPr>
          <w:p>
            <w:pPr>
              <w:pStyle w:val="100"/>
              <w:widowControl w:val="0"/>
              <w:bidi w:val="0"/>
              <w:adjustRightInd w:val="0"/>
              <w:snapToGrid w:val="0"/>
            </w:pPr>
            <w:r>
              <w:rPr>
                <w:rFonts w:hint="eastAsia"/>
              </w:rPr>
              <w:t>+15</w:t>
            </w:r>
          </w:p>
        </w:tc>
        <w:tc>
          <w:tcPr>
            <w:tcW w:w="704" w:type="dxa"/>
            <w:vAlign w:val="center"/>
          </w:tcPr>
          <w:p>
            <w:pPr>
              <w:pStyle w:val="100"/>
              <w:widowControl w:val="0"/>
              <w:bidi w:val="0"/>
              <w:adjustRightInd w:val="0"/>
              <w:snapToGrid w:val="0"/>
            </w:pPr>
            <w:r>
              <w:rPr>
                <w:rFonts w:hint="eastAsia"/>
              </w:rPr>
              <w:t>原料仓库</w:t>
            </w:r>
          </w:p>
        </w:tc>
        <w:tc>
          <w:tcPr>
            <w:tcW w:w="703" w:type="dxa"/>
            <w:vAlign w:val="center"/>
          </w:tcPr>
          <w:p>
            <w:pPr>
              <w:pStyle w:val="100"/>
              <w:widowControl w:val="0"/>
              <w:bidi w:val="0"/>
              <w:adjustRightInd w:val="0"/>
              <w:snapToGrid w:val="0"/>
            </w:pPr>
            <w:r>
              <w:rPr>
                <w:rFonts w:hint="eastAsia"/>
              </w:rPr>
              <w:t>卷材</w:t>
            </w:r>
          </w:p>
        </w:tc>
        <w:tc>
          <w:tcPr>
            <w:tcW w:w="704" w:type="dxa"/>
            <w:vAlign w:val="center"/>
          </w:tcPr>
          <w:p>
            <w:pPr>
              <w:pStyle w:val="100"/>
              <w:widowControl w:val="0"/>
              <w:bidi w:val="0"/>
              <w:adjustRightInd w:val="0"/>
              <w:snapToGrid w:val="0"/>
            </w:pPr>
            <w:r>
              <w:rPr>
                <w:rFonts w:hint="eastAsia"/>
              </w:rPr>
              <w:t>0.3</w:t>
            </w:r>
          </w:p>
        </w:tc>
        <w:tc>
          <w:tcPr>
            <w:tcW w:w="900" w:type="dxa"/>
            <w:vAlign w:val="center"/>
          </w:tcPr>
          <w:p>
            <w:pPr>
              <w:pStyle w:val="100"/>
              <w:widowControl w:val="0"/>
              <w:bidi w:val="0"/>
              <w:adjustRightInd w:val="0"/>
              <w:snapToGrid w:val="0"/>
            </w:pPr>
            <w:r>
              <w:rPr>
                <w:rFonts w:hint="eastAsia"/>
              </w:rPr>
              <w:t>模切、冲压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88" w:type="dxa"/>
            <w:vAlign w:val="center"/>
          </w:tcPr>
          <w:p>
            <w:pPr>
              <w:pStyle w:val="100"/>
              <w:widowControl w:val="0"/>
              <w:bidi w:val="0"/>
              <w:adjustRightInd w:val="0"/>
              <w:snapToGrid w:val="0"/>
              <w:rPr>
                <w:rFonts w:hint="eastAsia" w:eastAsia="宋体"/>
                <w:lang w:val="en-US" w:eastAsia="zh-CN"/>
              </w:rPr>
            </w:pPr>
            <w:r>
              <w:rPr>
                <w:rFonts w:hint="eastAsia"/>
                <w:lang w:val="en-US" w:eastAsia="zh-CN"/>
              </w:rPr>
              <w:t>5</w:t>
            </w:r>
          </w:p>
        </w:tc>
        <w:tc>
          <w:tcPr>
            <w:tcW w:w="919" w:type="dxa"/>
            <w:vAlign w:val="center"/>
          </w:tcPr>
          <w:p>
            <w:pPr>
              <w:pStyle w:val="100"/>
              <w:widowControl w:val="0"/>
              <w:bidi w:val="0"/>
              <w:adjustRightInd w:val="0"/>
              <w:snapToGrid w:val="0"/>
              <w:rPr>
                <w:rFonts w:hint="eastAsia" w:eastAsia="宋体"/>
                <w:lang w:val="en-US" w:eastAsia="zh-CN"/>
              </w:rPr>
            </w:pPr>
            <w:r>
              <w:rPr>
                <w:rFonts w:hint="eastAsia"/>
                <w:lang w:val="en-US" w:eastAsia="zh-CN"/>
              </w:rPr>
              <w:t>抹布</w:t>
            </w:r>
          </w:p>
        </w:tc>
        <w:tc>
          <w:tcPr>
            <w:tcW w:w="1276" w:type="dxa"/>
            <w:vAlign w:val="center"/>
          </w:tcPr>
          <w:p>
            <w:pPr>
              <w:pStyle w:val="100"/>
              <w:widowControl w:val="0"/>
              <w:bidi w:val="0"/>
              <w:adjustRightInd w:val="0"/>
              <w:snapToGrid w:val="0"/>
              <w:rPr>
                <w:rFonts w:hint="default" w:eastAsia="宋体"/>
                <w:lang w:val="en-US" w:eastAsia="zh-CN"/>
              </w:rPr>
            </w:pPr>
            <w:r>
              <w:rPr>
                <w:rFonts w:hint="eastAsia"/>
                <w:lang w:val="en-US" w:eastAsia="zh-CN"/>
              </w:rPr>
              <w:t>纤维100%</w:t>
            </w:r>
          </w:p>
        </w:tc>
        <w:tc>
          <w:tcPr>
            <w:tcW w:w="647" w:type="dxa"/>
            <w:vAlign w:val="center"/>
          </w:tcPr>
          <w:p>
            <w:pPr>
              <w:pStyle w:val="100"/>
              <w:widowControl w:val="0"/>
              <w:bidi w:val="0"/>
              <w:adjustRightInd w:val="0"/>
              <w:snapToGrid w:val="0"/>
              <w:rPr>
                <w:rFonts w:hint="eastAsia" w:eastAsia="宋体"/>
                <w:lang w:val="en-US" w:eastAsia="zh-CN"/>
              </w:rPr>
            </w:pPr>
            <w:r>
              <w:rPr>
                <w:rFonts w:hint="eastAsia"/>
                <w:lang w:val="en-US" w:eastAsia="zh-CN"/>
              </w:rPr>
              <w:t>固态</w:t>
            </w:r>
          </w:p>
        </w:tc>
        <w:tc>
          <w:tcPr>
            <w:tcW w:w="715" w:type="dxa"/>
            <w:vAlign w:val="center"/>
          </w:tcPr>
          <w:p>
            <w:pPr>
              <w:pStyle w:val="100"/>
              <w:widowControl w:val="0"/>
              <w:bidi w:val="0"/>
              <w:adjustRightInd w:val="0"/>
              <w:snapToGrid w:val="0"/>
              <w:rPr>
                <w:rFonts w:hint="eastAsia" w:eastAsia="宋体"/>
                <w:lang w:val="en-US" w:eastAsia="zh-CN"/>
              </w:rPr>
            </w:pPr>
            <w:r>
              <w:rPr>
                <w:rFonts w:hint="eastAsia"/>
                <w:lang w:val="en-US" w:eastAsia="zh-CN"/>
              </w:rPr>
              <w:t>0</w:t>
            </w:r>
          </w:p>
        </w:tc>
        <w:tc>
          <w:tcPr>
            <w:tcW w:w="704" w:type="dxa"/>
            <w:vAlign w:val="center"/>
          </w:tcPr>
          <w:p>
            <w:pPr>
              <w:pStyle w:val="100"/>
              <w:widowControl w:val="0"/>
              <w:bidi w:val="0"/>
              <w:adjustRightInd w:val="0"/>
              <w:snapToGrid w:val="0"/>
              <w:rPr>
                <w:rFonts w:hint="default" w:eastAsia="宋体"/>
                <w:lang w:val="en-US" w:eastAsia="zh-CN"/>
              </w:rPr>
            </w:pPr>
            <w:r>
              <w:rPr>
                <w:rFonts w:hint="eastAsia"/>
                <w:lang w:val="en-US" w:eastAsia="zh-CN"/>
              </w:rPr>
              <w:t>0.3</w:t>
            </w:r>
          </w:p>
        </w:tc>
        <w:tc>
          <w:tcPr>
            <w:tcW w:w="704" w:type="dxa"/>
            <w:vAlign w:val="center"/>
          </w:tcPr>
          <w:p>
            <w:pPr>
              <w:pStyle w:val="100"/>
              <w:widowControl w:val="0"/>
              <w:bidi w:val="0"/>
              <w:adjustRightInd w:val="0"/>
              <w:snapToGrid w:val="0"/>
              <w:rPr>
                <w:rFonts w:hint="default" w:eastAsia="宋体"/>
                <w:lang w:val="en-US" w:eastAsia="zh-CN"/>
              </w:rPr>
            </w:pPr>
            <w:r>
              <w:rPr>
                <w:rFonts w:hint="eastAsia"/>
                <w:lang w:val="en-US" w:eastAsia="zh-CN"/>
              </w:rPr>
              <w:t>+0.3</w:t>
            </w:r>
          </w:p>
        </w:tc>
        <w:tc>
          <w:tcPr>
            <w:tcW w:w="704" w:type="dxa"/>
            <w:vAlign w:val="center"/>
          </w:tcPr>
          <w:p>
            <w:pPr>
              <w:pStyle w:val="100"/>
              <w:widowControl w:val="0"/>
              <w:bidi w:val="0"/>
              <w:adjustRightInd w:val="0"/>
              <w:snapToGrid w:val="0"/>
              <w:rPr>
                <w:rFonts w:hint="eastAsia" w:eastAsia="宋体"/>
                <w:lang w:val="en-US" w:eastAsia="zh-CN"/>
              </w:rPr>
            </w:pPr>
            <w:r>
              <w:rPr>
                <w:rFonts w:hint="eastAsia"/>
                <w:lang w:val="en-US" w:eastAsia="zh-CN"/>
              </w:rPr>
              <w:t>原料仓库</w:t>
            </w:r>
          </w:p>
        </w:tc>
        <w:tc>
          <w:tcPr>
            <w:tcW w:w="703" w:type="dxa"/>
            <w:vAlign w:val="center"/>
          </w:tcPr>
          <w:p>
            <w:pPr>
              <w:pStyle w:val="100"/>
              <w:widowControl w:val="0"/>
              <w:bidi w:val="0"/>
              <w:adjustRightInd w:val="0"/>
              <w:snapToGrid w:val="0"/>
              <w:rPr>
                <w:rFonts w:hint="eastAsia" w:eastAsia="宋体"/>
                <w:lang w:val="en-US" w:eastAsia="zh-CN"/>
              </w:rPr>
            </w:pPr>
            <w:r>
              <w:rPr>
                <w:rFonts w:hint="eastAsia"/>
                <w:lang w:val="en-US" w:eastAsia="zh-CN"/>
              </w:rPr>
              <w:t>袋装</w:t>
            </w:r>
          </w:p>
        </w:tc>
        <w:tc>
          <w:tcPr>
            <w:tcW w:w="704" w:type="dxa"/>
            <w:vAlign w:val="center"/>
          </w:tcPr>
          <w:p>
            <w:pPr>
              <w:pStyle w:val="100"/>
              <w:widowControl w:val="0"/>
              <w:bidi w:val="0"/>
              <w:adjustRightInd w:val="0"/>
              <w:snapToGrid w:val="0"/>
              <w:rPr>
                <w:rFonts w:hint="default" w:eastAsia="宋体"/>
                <w:lang w:val="en-US" w:eastAsia="zh-CN"/>
              </w:rPr>
            </w:pPr>
            <w:r>
              <w:rPr>
                <w:rFonts w:hint="eastAsia"/>
                <w:lang w:val="en-US" w:eastAsia="zh-CN"/>
              </w:rPr>
              <w:t>0.3</w:t>
            </w:r>
          </w:p>
        </w:tc>
        <w:tc>
          <w:tcPr>
            <w:tcW w:w="900" w:type="dxa"/>
            <w:vAlign w:val="center"/>
          </w:tcPr>
          <w:p>
            <w:pPr>
              <w:pStyle w:val="100"/>
              <w:widowControl w:val="0"/>
              <w:bidi w:val="0"/>
              <w:adjustRightInd w:val="0"/>
              <w:snapToGrid w:val="0"/>
              <w:rPr>
                <w:rFonts w:hint="default" w:eastAsia="宋体"/>
                <w:lang w:val="en-US" w:eastAsia="zh-CN"/>
              </w:rPr>
            </w:pPr>
            <w:r>
              <w:rPr>
                <w:rFonts w:hint="eastAsia"/>
                <w:lang w:val="en-US" w:eastAsia="zh-CN"/>
              </w:rPr>
              <w:t>擦拭机台</w:t>
            </w:r>
          </w:p>
        </w:tc>
      </w:tr>
    </w:tbl>
    <w:p>
      <w:pPr>
        <w:pStyle w:val="273"/>
        <w:bidi w:val="0"/>
      </w:pPr>
      <w:r>
        <w:rPr>
          <w:rFonts w:hint="eastAsia"/>
        </w:rPr>
        <w:t>表1-</w:t>
      </w:r>
      <w:r>
        <w:rPr>
          <w:rFonts w:hint="eastAsia"/>
          <w:lang w:val="en-US" w:eastAsia="zh-CN"/>
        </w:rPr>
        <w:t>3</w:t>
      </w:r>
      <w:r>
        <w:rPr>
          <w:rFonts w:hint="eastAsia"/>
        </w:rPr>
        <w:t xml:space="preserve">  </w:t>
      </w:r>
      <w:r>
        <w:rPr>
          <w:rFonts w:hint="eastAsia"/>
          <w:lang w:val="en-US" w:eastAsia="zh-CN"/>
        </w:rPr>
        <w:t>本项目</w:t>
      </w:r>
      <w:r>
        <w:rPr>
          <w:rFonts w:hint="eastAsia"/>
        </w:rPr>
        <w:t>主要原辅料理化性质一览表</w:t>
      </w:r>
    </w:p>
    <w:tbl>
      <w:tblPr>
        <w:tblStyle w:val="260"/>
        <w:tblW w:w="84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077"/>
        <w:gridCol w:w="2823"/>
        <w:gridCol w:w="1127"/>
        <w:gridCol w:w="2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2" w:type="dxa"/>
            <w:vAlign w:val="center"/>
          </w:tcPr>
          <w:p>
            <w:pPr>
              <w:pStyle w:val="100"/>
              <w:widowControl w:val="0"/>
              <w:bidi w:val="0"/>
              <w:adjustRightInd w:val="0"/>
              <w:snapToGrid w:val="0"/>
            </w:pPr>
            <w:r>
              <w:t>序号</w:t>
            </w:r>
          </w:p>
        </w:tc>
        <w:tc>
          <w:tcPr>
            <w:tcW w:w="1077" w:type="dxa"/>
            <w:vAlign w:val="center"/>
          </w:tcPr>
          <w:p>
            <w:pPr>
              <w:pStyle w:val="100"/>
              <w:widowControl w:val="0"/>
              <w:bidi w:val="0"/>
              <w:adjustRightInd w:val="0"/>
              <w:snapToGrid w:val="0"/>
            </w:pPr>
            <w:r>
              <w:t>物质名称</w:t>
            </w:r>
          </w:p>
        </w:tc>
        <w:tc>
          <w:tcPr>
            <w:tcW w:w="2823" w:type="dxa"/>
            <w:vAlign w:val="center"/>
          </w:tcPr>
          <w:p>
            <w:pPr>
              <w:pStyle w:val="100"/>
              <w:widowControl w:val="0"/>
              <w:bidi w:val="0"/>
              <w:adjustRightInd w:val="0"/>
              <w:snapToGrid w:val="0"/>
            </w:pPr>
            <w:r>
              <w:t>理化性质</w:t>
            </w:r>
          </w:p>
        </w:tc>
        <w:tc>
          <w:tcPr>
            <w:tcW w:w="1127" w:type="dxa"/>
            <w:vAlign w:val="center"/>
          </w:tcPr>
          <w:p>
            <w:pPr>
              <w:pStyle w:val="100"/>
              <w:widowControl w:val="0"/>
              <w:bidi w:val="0"/>
              <w:adjustRightInd w:val="0"/>
              <w:snapToGrid w:val="0"/>
            </w:pPr>
            <w:r>
              <w:t>危险特性</w:t>
            </w:r>
          </w:p>
        </w:tc>
        <w:tc>
          <w:tcPr>
            <w:tcW w:w="2638" w:type="dxa"/>
            <w:vAlign w:val="center"/>
          </w:tcPr>
          <w:p>
            <w:pPr>
              <w:pStyle w:val="100"/>
              <w:widowControl w:val="0"/>
              <w:bidi w:val="0"/>
              <w:adjustRightInd w:val="0"/>
              <w:snapToGrid w:val="0"/>
            </w:pPr>
            <w:r>
              <w:t>毒理</w:t>
            </w:r>
            <w:r>
              <w:rPr>
                <w:rFonts w:hint="eastAsia"/>
              </w:rPr>
              <w:t>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2" w:type="dxa"/>
            <w:vAlign w:val="center"/>
          </w:tcPr>
          <w:p>
            <w:pPr>
              <w:pStyle w:val="100"/>
              <w:widowControl w:val="0"/>
              <w:bidi w:val="0"/>
              <w:adjustRightInd w:val="0"/>
              <w:snapToGrid w:val="0"/>
            </w:pPr>
            <w:r>
              <w:t>1</w:t>
            </w:r>
          </w:p>
        </w:tc>
        <w:tc>
          <w:tcPr>
            <w:tcW w:w="1077" w:type="dxa"/>
            <w:vAlign w:val="center"/>
          </w:tcPr>
          <w:p>
            <w:pPr>
              <w:pStyle w:val="100"/>
              <w:widowControl w:val="0"/>
              <w:bidi w:val="0"/>
              <w:adjustRightInd w:val="0"/>
              <w:snapToGrid w:val="0"/>
            </w:pPr>
            <w:r>
              <w:rPr>
                <w:rFonts w:hint="eastAsia"/>
                <w:lang w:val="en-US" w:eastAsia="zh-CN"/>
              </w:rPr>
              <w:t>水性</w:t>
            </w:r>
            <w:r>
              <w:rPr>
                <w:rFonts w:hint="eastAsia"/>
              </w:rPr>
              <w:t>油墨</w:t>
            </w:r>
          </w:p>
        </w:tc>
        <w:tc>
          <w:tcPr>
            <w:tcW w:w="2823" w:type="dxa"/>
            <w:vAlign w:val="center"/>
          </w:tcPr>
          <w:p>
            <w:pPr>
              <w:pStyle w:val="100"/>
              <w:widowControl w:val="0"/>
              <w:bidi w:val="0"/>
              <w:adjustRightInd w:val="0"/>
              <w:snapToGrid w:val="0"/>
            </w:pPr>
            <w:r>
              <w:rPr>
                <w:rFonts w:hint="eastAsia"/>
              </w:rPr>
              <w:t>稠态流体，黑色，基本无气味，PH值：8~9，凝固点：0℃，沸点：100℃，闪点：＞100℃，蒸气压：0.04mmHg，密度：0.96~1.35g/cm3</w:t>
            </w:r>
          </w:p>
        </w:tc>
        <w:tc>
          <w:tcPr>
            <w:tcW w:w="1127" w:type="dxa"/>
            <w:vAlign w:val="center"/>
          </w:tcPr>
          <w:p>
            <w:pPr>
              <w:pStyle w:val="100"/>
              <w:widowControl w:val="0"/>
              <w:bidi w:val="0"/>
              <w:adjustRightInd w:val="0"/>
              <w:snapToGrid w:val="0"/>
            </w:pPr>
            <w:r>
              <w:rPr>
                <w:rFonts w:hint="eastAsia"/>
              </w:rPr>
              <w:t>达到一定温度后，体系会挥发结块，持续升温，剩余残留物可能会发生燃烧</w:t>
            </w:r>
          </w:p>
        </w:tc>
        <w:tc>
          <w:tcPr>
            <w:tcW w:w="2638" w:type="dxa"/>
            <w:vAlign w:val="center"/>
          </w:tcPr>
          <w:p>
            <w:pPr>
              <w:pStyle w:val="100"/>
              <w:widowControl w:val="0"/>
              <w:bidi w:val="0"/>
              <w:adjustRightInd w:val="0"/>
              <w:snapToGrid w:val="0"/>
            </w:pPr>
            <w:r>
              <w:rPr>
                <w:rFonts w:hint="eastAsia"/>
              </w:rPr>
              <w:t>低毒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2" w:type="dxa"/>
            <w:vAlign w:val="center"/>
          </w:tcPr>
          <w:p>
            <w:pPr>
              <w:pStyle w:val="100"/>
              <w:widowControl w:val="0"/>
              <w:bidi w:val="0"/>
              <w:adjustRightInd w:val="0"/>
              <w:snapToGrid w:val="0"/>
            </w:pPr>
            <w:r>
              <w:rPr>
                <w:rFonts w:hint="eastAsia"/>
              </w:rPr>
              <w:t>2</w:t>
            </w:r>
          </w:p>
        </w:tc>
        <w:tc>
          <w:tcPr>
            <w:tcW w:w="1077" w:type="dxa"/>
            <w:vAlign w:val="center"/>
          </w:tcPr>
          <w:p>
            <w:pPr>
              <w:pStyle w:val="100"/>
              <w:widowControl w:val="0"/>
              <w:bidi w:val="0"/>
              <w:adjustRightInd w:val="0"/>
              <w:snapToGrid w:val="0"/>
            </w:pPr>
            <w:r>
              <w:rPr>
                <w:rFonts w:hint="eastAsia"/>
              </w:rPr>
              <w:t>水</w:t>
            </w:r>
            <w:r>
              <w:rPr>
                <w:rFonts w:hint="eastAsia"/>
                <w:lang w:val="en-US" w:eastAsia="zh-CN"/>
              </w:rPr>
              <w:t>性</w:t>
            </w:r>
            <w:r>
              <w:rPr>
                <w:rFonts w:hint="eastAsia"/>
              </w:rPr>
              <w:t>胶</w:t>
            </w:r>
          </w:p>
        </w:tc>
        <w:tc>
          <w:tcPr>
            <w:tcW w:w="2823" w:type="dxa"/>
            <w:vAlign w:val="center"/>
          </w:tcPr>
          <w:p>
            <w:pPr>
              <w:pStyle w:val="100"/>
              <w:widowControl w:val="0"/>
              <w:bidi w:val="0"/>
              <w:adjustRightInd w:val="0"/>
              <w:snapToGrid w:val="0"/>
            </w:pPr>
            <w:r>
              <w:rPr>
                <w:rFonts w:hint="eastAsia"/>
              </w:rPr>
              <w:t>液态，轻微丙烯酸气味，白色，PH值：7，沸点约100ºC，密度：1.02g/ml，比重：1.02，粘度：24,000-40,000，有害空气污染物&lt;=0.2%</w:t>
            </w:r>
          </w:p>
        </w:tc>
        <w:tc>
          <w:tcPr>
            <w:tcW w:w="1127" w:type="dxa"/>
            <w:vAlign w:val="center"/>
          </w:tcPr>
          <w:p>
            <w:pPr>
              <w:pStyle w:val="100"/>
              <w:widowControl w:val="0"/>
              <w:bidi w:val="0"/>
              <w:adjustRightInd w:val="0"/>
              <w:snapToGrid w:val="0"/>
              <w:rPr>
                <w:rFonts w:hint="default"/>
                <w:lang w:val="en-US" w:eastAsia="zh-CN"/>
              </w:rPr>
            </w:pPr>
            <w:r>
              <w:rPr>
                <w:rFonts w:hint="eastAsia"/>
                <w:lang w:val="en-US" w:eastAsia="zh-CN"/>
              </w:rPr>
              <w:t>组分会产生一定的挥发性有机物，可能造成人体不适</w:t>
            </w:r>
          </w:p>
        </w:tc>
        <w:tc>
          <w:tcPr>
            <w:tcW w:w="2638" w:type="dxa"/>
            <w:vAlign w:val="center"/>
          </w:tcPr>
          <w:p>
            <w:pPr>
              <w:pStyle w:val="100"/>
              <w:widowControl w:val="0"/>
              <w:bidi w:val="0"/>
              <w:adjustRightInd w:val="0"/>
              <w:snapToGrid w:val="0"/>
            </w:pPr>
            <w:r>
              <w:rPr>
                <w:rFonts w:hint="eastAsia"/>
              </w:rPr>
              <w:t>低毒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2" w:type="dxa"/>
            <w:vAlign w:val="center"/>
          </w:tcPr>
          <w:p>
            <w:pPr>
              <w:pStyle w:val="100"/>
              <w:widowControl w:val="0"/>
              <w:bidi w:val="0"/>
              <w:adjustRightInd w:val="0"/>
              <w:snapToGrid w:val="0"/>
            </w:pPr>
            <w:r>
              <w:rPr>
                <w:rFonts w:hint="eastAsia"/>
              </w:rPr>
              <w:t>3</w:t>
            </w:r>
          </w:p>
        </w:tc>
        <w:tc>
          <w:tcPr>
            <w:tcW w:w="1077" w:type="dxa"/>
            <w:vAlign w:val="center"/>
          </w:tcPr>
          <w:p>
            <w:pPr>
              <w:pStyle w:val="100"/>
              <w:widowControl w:val="0"/>
              <w:bidi w:val="0"/>
              <w:adjustRightInd w:val="0"/>
              <w:snapToGrid w:val="0"/>
            </w:pPr>
            <w:r>
              <w:rPr>
                <w:rFonts w:hint="eastAsia"/>
              </w:rPr>
              <w:t>PET</w:t>
            </w:r>
          </w:p>
        </w:tc>
        <w:tc>
          <w:tcPr>
            <w:tcW w:w="2823" w:type="dxa"/>
            <w:vAlign w:val="center"/>
          </w:tcPr>
          <w:p>
            <w:pPr>
              <w:pStyle w:val="100"/>
              <w:widowControl w:val="0"/>
              <w:bidi w:val="0"/>
              <w:adjustRightInd w:val="0"/>
              <w:snapToGrid w:val="0"/>
            </w:pPr>
            <w:r>
              <w:rPr>
                <w:rFonts w:hint="eastAsia"/>
              </w:rPr>
              <w:t>为乳白色或浅黄色、高度结晶的聚合物、表面平滑有光泽。密度1.38g/ml at 25℃，熔点250-255℃</w:t>
            </w:r>
          </w:p>
        </w:tc>
        <w:tc>
          <w:tcPr>
            <w:tcW w:w="1127" w:type="dxa"/>
            <w:vAlign w:val="center"/>
          </w:tcPr>
          <w:p>
            <w:pPr>
              <w:pStyle w:val="100"/>
              <w:widowControl w:val="0"/>
              <w:bidi w:val="0"/>
              <w:adjustRightInd w:val="0"/>
              <w:snapToGrid w:val="0"/>
            </w:pPr>
            <w:r>
              <w:rPr>
                <w:rFonts w:hint="eastAsia"/>
              </w:rPr>
              <w:t>可燃</w:t>
            </w:r>
          </w:p>
        </w:tc>
        <w:tc>
          <w:tcPr>
            <w:tcW w:w="2638" w:type="dxa"/>
            <w:vAlign w:val="center"/>
          </w:tcPr>
          <w:p>
            <w:pPr>
              <w:pStyle w:val="100"/>
              <w:widowControl w:val="0"/>
              <w:bidi w:val="0"/>
              <w:adjustRightInd w:val="0"/>
              <w:snapToGrid w:val="0"/>
              <w:rPr>
                <w:rFonts w:hint="eastAsia"/>
                <w:lang w:eastAsia="zh-CN"/>
              </w:rPr>
            </w:pPr>
            <w:r>
              <w:rPr>
                <w:rFonts w:hint="eastAsia"/>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2" w:type="dxa"/>
            <w:vAlign w:val="center"/>
          </w:tcPr>
          <w:p>
            <w:pPr>
              <w:pStyle w:val="100"/>
              <w:widowControl w:val="0"/>
              <w:bidi w:val="0"/>
              <w:adjustRightInd w:val="0"/>
              <w:snapToGrid w:val="0"/>
            </w:pPr>
            <w:r>
              <w:rPr>
                <w:rFonts w:hint="eastAsia"/>
              </w:rPr>
              <w:t>4</w:t>
            </w:r>
          </w:p>
        </w:tc>
        <w:tc>
          <w:tcPr>
            <w:tcW w:w="1077" w:type="dxa"/>
            <w:vAlign w:val="center"/>
          </w:tcPr>
          <w:p>
            <w:pPr>
              <w:pStyle w:val="100"/>
              <w:widowControl w:val="0"/>
              <w:bidi w:val="0"/>
              <w:adjustRightInd w:val="0"/>
              <w:snapToGrid w:val="0"/>
            </w:pPr>
            <w:r>
              <w:rPr>
                <w:rFonts w:hint="eastAsia"/>
              </w:rPr>
              <w:t>离型膜</w:t>
            </w:r>
          </w:p>
        </w:tc>
        <w:tc>
          <w:tcPr>
            <w:tcW w:w="2823" w:type="dxa"/>
            <w:vAlign w:val="center"/>
          </w:tcPr>
          <w:p>
            <w:pPr>
              <w:pStyle w:val="100"/>
              <w:widowControl w:val="0"/>
              <w:bidi w:val="0"/>
              <w:adjustRightInd w:val="0"/>
              <w:snapToGrid w:val="0"/>
            </w:pPr>
            <w:r>
              <w:rPr>
                <w:rFonts w:hint="eastAsia"/>
              </w:rPr>
              <w:t>为乳白色或浅黄色、高度结晶的聚合物、表面平滑有光泽。密度1.38g/ml at 25℃，熔点250-255℃</w:t>
            </w:r>
          </w:p>
        </w:tc>
        <w:tc>
          <w:tcPr>
            <w:tcW w:w="1127" w:type="dxa"/>
            <w:vAlign w:val="center"/>
          </w:tcPr>
          <w:p>
            <w:pPr>
              <w:pStyle w:val="100"/>
              <w:widowControl w:val="0"/>
              <w:bidi w:val="0"/>
              <w:adjustRightInd w:val="0"/>
              <w:snapToGrid w:val="0"/>
            </w:pPr>
            <w:r>
              <w:rPr>
                <w:rFonts w:hint="eastAsia"/>
              </w:rPr>
              <w:t>可燃</w:t>
            </w:r>
          </w:p>
        </w:tc>
        <w:tc>
          <w:tcPr>
            <w:tcW w:w="2638" w:type="dxa"/>
            <w:vAlign w:val="center"/>
          </w:tcPr>
          <w:p>
            <w:pPr>
              <w:pStyle w:val="100"/>
              <w:widowControl w:val="0"/>
              <w:bidi w:val="0"/>
              <w:adjustRightInd w:val="0"/>
              <w:snapToGrid w:val="0"/>
              <w:rPr>
                <w:rFonts w:hint="eastAsia"/>
                <w:lang w:eastAsia="zh-CN"/>
              </w:rPr>
            </w:pPr>
            <w:r>
              <w:rPr>
                <w:rFonts w:hint="eastAsia"/>
                <w:lang w:val="en-US" w:eastAsia="zh-CN"/>
              </w:rPr>
              <w:t>无毒</w:t>
            </w:r>
          </w:p>
        </w:tc>
      </w:tr>
    </w:tbl>
    <w:p>
      <w:pPr>
        <w:pStyle w:val="273"/>
        <w:bidi w:val="0"/>
      </w:pPr>
      <w:r>
        <w:t>表1-</w:t>
      </w:r>
      <w:r>
        <w:rPr>
          <w:rFonts w:hint="eastAsia"/>
          <w:lang w:val="en-US" w:eastAsia="zh-CN"/>
        </w:rPr>
        <w:t>4</w:t>
      </w:r>
      <w:r>
        <w:t xml:space="preserve"> </w:t>
      </w:r>
      <w:r>
        <w:rPr>
          <w:rFonts w:hint="eastAsia"/>
          <w:lang w:val="en-US" w:eastAsia="zh-CN"/>
        </w:rPr>
        <w:t>原有项目</w:t>
      </w:r>
      <w:r>
        <w:t>主要设备使用情况</w:t>
      </w:r>
    </w:p>
    <w:tbl>
      <w:tblPr>
        <w:tblStyle w:val="2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990"/>
        <w:gridCol w:w="2258"/>
        <w:gridCol w:w="1133"/>
        <w:gridCol w:w="2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25" w:type="pct"/>
            <w:vAlign w:val="center"/>
          </w:tcPr>
          <w:p>
            <w:pPr>
              <w:pStyle w:val="100"/>
              <w:widowControl w:val="0"/>
              <w:bidi w:val="0"/>
              <w:adjustRightInd w:val="0"/>
              <w:snapToGrid w:val="0"/>
            </w:pPr>
            <w:bookmarkStart w:id="16" w:name="_Hlk8634083"/>
            <w:r>
              <w:t>序号</w:t>
            </w:r>
          </w:p>
        </w:tc>
        <w:tc>
          <w:tcPr>
            <w:tcW w:w="1166" w:type="pct"/>
            <w:vAlign w:val="center"/>
          </w:tcPr>
          <w:p>
            <w:pPr>
              <w:pStyle w:val="100"/>
              <w:widowControl w:val="0"/>
              <w:bidi w:val="0"/>
              <w:adjustRightInd w:val="0"/>
              <w:snapToGrid w:val="0"/>
            </w:pPr>
            <w:r>
              <w:t>设备名称</w:t>
            </w:r>
          </w:p>
        </w:tc>
        <w:tc>
          <w:tcPr>
            <w:tcW w:w="1323" w:type="pct"/>
            <w:vAlign w:val="center"/>
          </w:tcPr>
          <w:p>
            <w:pPr>
              <w:pStyle w:val="100"/>
              <w:widowControl w:val="0"/>
              <w:bidi w:val="0"/>
              <w:adjustRightInd w:val="0"/>
              <w:snapToGrid w:val="0"/>
            </w:pPr>
            <w:r>
              <w:t>规格型号</w:t>
            </w:r>
          </w:p>
        </w:tc>
        <w:tc>
          <w:tcPr>
            <w:tcW w:w="664" w:type="pct"/>
            <w:vAlign w:val="center"/>
          </w:tcPr>
          <w:p>
            <w:pPr>
              <w:pStyle w:val="100"/>
              <w:widowControl w:val="0"/>
              <w:bidi w:val="0"/>
              <w:adjustRightInd w:val="0"/>
              <w:snapToGrid w:val="0"/>
            </w:pPr>
            <w:r>
              <w:t>数量（台/套）</w:t>
            </w:r>
          </w:p>
        </w:tc>
        <w:tc>
          <w:tcPr>
            <w:tcW w:w="1219" w:type="pct"/>
            <w:vAlign w:val="center"/>
          </w:tcPr>
          <w:p>
            <w:pPr>
              <w:pStyle w:val="100"/>
              <w:widowControl w:val="0"/>
              <w:bidi w:val="0"/>
              <w:adjustRightInd w:val="0"/>
              <w:snapToGrid w:val="0"/>
            </w:pPr>
            <w:r>
              <w:t>用途/工序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5" w:type="pct"/>
            <w:vAlign w:val="center"/>
          </w:tcPr>
          <w:p>
            <w:pPr>
              <w:pStyle w:val="100"/>
              <w:widowControl w:val="0"/>
              <w:bidi w:val="0"/>
              <w:adjustRightInd w:val="0"/>
              <w:snapToGrid w:val="0"/>
            </w:pPr>
            <w:r>
              <w:rPr>
                <w:rFonts w:hint="eastAsia"/>
              </w:rPr>
              <w:t>1</w:t>
            </w:r>
          </w:p>
        </w:tc>
        <w:tc>
          <w:tcPr>
            <w:tcW w:w="1166" w:type="pct"/>
            <w:vAlign w:val="center"/>
          </w:tcPr>
          <w:p>
            <w:pPr>
              <w:pStyle w:val="100"/>
              <w:widowControl w:val="0"/>
              <w:bidi w:val="0"/>
              <w:adjustRightInd w:val="0"/>
              <w:snapToGrid w:val="0"/>
            </w:pPr>
            <w:r>
              <w:rPr>
                <w:rFonts w:hint="eastAsia"/>
                <w:lang w:val="en-US" w:eastAsia="zh-CN"/>
              </w:rPr>
              <w:t>CCD</w:t>
            </w:r>
            <w:r>
              <w:rPr>
                <w:rFonts w:hint="eastAsia"/>
              </w:rPr>
              <w:t>打孔机</w:t>
            </w:r>
          </w:p>
        </w:tc>
        <w:tc>
          <w:tcPr>
            <w:tcW w:w="1323" w:type="pct"/>
            <w:vAlign w:val="center"/>
          </w:tcPr>
          <w:p>
            <w:pPr>
              <w:pStyle w:val="100"/>
              <w:widowControl w:val="0"/>
              <w:bidi w:val="0"/>
              <w:adjustRightInd w:val="0"/>
              <w:snapToGrid w:val="0"/>
              <w:rPr>
                <w:rFonts w:hint="default"/>
                <w:lang w:val="en-US" w:eastAsia="zh-CN"/>
              </w:rPr>
            </w:pPr>
            <w:r>
              <w:rPr>
                <w:rFonts w:hint="eastAsia"/>
                <w:lang w:val="en-US" w:eastAsia="zh-CN"/>
              </w:rPr>
              <w:t>400*600</w:t>
            </w:r>
          </w:p>
        </w:tc>
        <w:tc>
          <w:tcPr>
            <w:tcW w:w="664" w:type="pct"/>
            <w:vAlign w:val="center"/>
          </w:tcPr>
          <w:p>
            <w:pPr>
              <w:pStyle w:val="100"/>
              <w:widowControl w:val="0"/>
              <w:bidi w:val="0"/>
              <w:adjustRightInd w:val="0"/>
              <w:snapToGrid w:val="0"/>
              <w:rPr>
                <w:rFonts w:hint="default"/>
                <w:lang w:val="en-US" w:eastAsia="zh-CN"/>
              </w:rPr>
            </w:pPr>
            <w:r>
              <w:rPr>
                <w:rFonts w:hint="eastAsia"/>
                <w:lang w:val="en-US" w:eastAsia="zh-CN"/>
              </w:rPr>
              <w:t>10</w:t>
            </w:r>
          </w:p>
        </w:tc>
        <w:tc>
          <w:tcPr>
            <w:tcW w:w="1219" w:type="pct"/>
            <w:vAlign w:val="center"/>
          </w:tcPr>
          <w:p>
            <w:pPr>
              <w:pStyle w:val="100"/>
              <w:widowControl w:val="0"/>
              <w:bidi w:val="0"/>
              <w:adjustRightInd w:val="0"/>
              <w:snapToGrid w:val="0"/>
            </w:pPr>
            <w:r>
              <w:rPr>
                <w:rFonts w:hint="eastAsia"/>
              </w:rPr>
              <w:t>打孔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25" w:type="pct"/>
            <w:vAlign w:val="center"/>
          </w:tcPr>
          <w:p>
            <w:pPr>
              <w:pStyle w:val="100"/>
              <w:widowControl w:val="0"/>
              <w:bidi w:val="0"/>
              <w:adjustRightInd w:val="0"/>
              <w:snapToGrid w:val="0"/>
            </w:pPr>
            <w:r>
              <w:rPr>
                <w:rFonts w:hint="eastAsia"/>
              </w:rPr>
              <w:t>2</w:t>
            </w:r>
          </w:p>
        </w:tc>
        <w:tc>
          <w:tcPr>
            <w:tcW w:w="1166" w:type="pct"/>
            <w:vAlign w:val="center"/>
          </w:tcPr>
          <w:p>
            <w:pPr>
              <w:pStyle w:val="100"/>
              <w:widowControl w:val="0"/>
              <w:bidi w:val="0"/>
              <w:adjustRightInd w:val="0"/>
              <w:snapToGrid w:val="0"/>
            </w:pPr>
            <w:r>
              <w:rPr>
                <w:rFonts w:hint="eastAsia"/>
              </w:rPr>
              <w:t>冲床</w:t>
            </w:r>
          </w:p>
        </w:tc>
        <w:tc>
          <w:tcPr>
            <w:tcW w:w="1323" w:type="pct"/>
            <w:vAlign w:val="center"/>
          </w:tcPr>
          <w:p>
            <w:pPr>
              <w:pStyle w:val="100"/>
              <w:widowControl w:val="0"/>
              <w:bidi w:val="0"/>
              <w:adjustRightInd w:val="0"/>
              <w:snapToGrid w:val="0"/>
            </w:pPr>
            <w:r>
              <w:rPr>
                <w:rFonts w:hint="eastAsia"/>
              </w:rPr>
              <w:t>45T</w:t>
            </w:r>
          </w:p>
        </w:tc>
        <w:tc>
          <w:tcPr>
            <w:tcW w:w="664" w:type="pct"/>
            <w:vAlign w:val="center"/>
          </w:tcPr>
          <w:p>
            <w:pPr>
              <w:pStyle w:val="100"/>
              <w:widowControl w:val="0"/>
              <w:bidi w:val="0"/>
              <w:adjustRightInd w:val="0"/>
              <w:snapToGrid w:val="0"/>
            </w:pPr>
            <w:r>
              <w:rPr>
                <w:rFonts w:hint="eastAsia"/>
              </w:rPr>
              <w:t>20</w:t>
            </w:r>
          </w:p>
        </w:tc>
        <w:tc>
          <w:tcPr>
            <w:tcW w:w="1219" w:type="pct"/>
            <w:vAlign w:val="center"/>
          </w:tcPr>
          <w:p>
            <w:pPr>
              <w:pStyle w:val="100"/>
              <w:widowControl w:val="0"/>
              <w:bidi w:val="0"/>
              <w:adjustRightInd w:val="0"/>
              <w:snapToGrid w:val="0"/>
            </w:pPr>
            <w:r>
              <w:rPr>
                <w:rFonts w:hint="eastAsia"/>
              </w:rPr>
              <w:t>冲压</w:t>
            </w:r>
          </w:p>
        </w:tc>
      </w:tr>
      <w:bookmarkEnd w:id="16"/>
    </w:tbl>
    <w:p>
      <w:pPr>
        <w:pStyle w:val="134"/>
        <w:jc w:val="both"/>
      </w:pPr>
    </w:p>
    <w:p>
      <w:pPr>
        <w:pStyle w:val="273"/>
        <w:bidi w:val="0"/>
      </w:pPr>
      <w:r>
        <w:t>表1-</w:t>
      </w:r>
      <w:r>
        <w:rPr>
          <w:rFonts w:hint="eastAsia"/>
          <w:lang w:val="en-US" w:eastAsia="zh-CN"/>
        </w:rPr>
        <w:t>5</w:t>
      </w:r>
      <w:r>
        <w:t xml:space="preserve"> </w:t>
      </w:r>
      <w:r>
        <w:rPr>
          <w:rFonts w:hint="eastAsia"/>
          <w:lang w:val="en-US" w:eastAsia="zh-CN"/>
        </w:rPr>
        <w:t>搬迁</w:t>
      </w:r>
      <w:r>
        <w:rPr>
          <w:rFonts w:hint="eastAsia"/>
        </w:rPr>
        <w:t>后全厂</w:t>
      </w:r>
      <w:r>
        <w:t>主要设备使用情况</w:t>
      </w:r>
    </w:p>
    <w:tbl>
      <w:tblPr>
        <w:tblStyle w:val="260"/>
        <w:tblW w:w="85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692"/>
        <w:gridCol w:w="1339"/>
        <w:gridCol w:w="1032"/>
        <w:gridCol w:w="972"/>
        <w:gridCol w:w="948"/>
        <w:gridCol w:w="1176"/>
        <w:gridCol w:w="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75" w:type="dxa"/>
            <w:vMerge w:val="restart"/>
            <w:vAlign w:val="center"/>
          </w:tcPr>
          <w:p>
            <w:pPr>
              <w:pStyle w:val="100"/>
              <w:widowControl w:val="0"/>
              <w:bidi w:val="0"/>
              <w:adjustRightInd w:val="0"/>
              <w:snapToGrid w:val="0"/>
            </w:pPr>
            <w:r>
              <w:t>序号</w:t>
            </w:r>
          </w:p>
        </w:tc>
        <w:tc>
          <w:tcPr>
            <w:tcW w:w="1692" w:type="dxa"/>
            <w:vMerge w:val="restart"/>
            <w:vAlign w:val="center"/>
          </w:tcPr>
          <w:p>
            <w:pPr>
              <w:pStyle w:val="100"/>
              <w:widowControl w:val="0"/>
              <w:bidi w:val="0"/>
              <w:adjustRightInd w:val="0"/>
              <w:snapToGrid w:val="0"/>
            </w:pPr>
            <w:r>
              <w:t>设备名称</w:t>
            </w:r>
          </w:p>
        </w:tc>
        <w:tc>
          <w:tcPr>
            <w:tcW w:w="1339" w:type="dxa"/>
            <w:vMerge w:val="restart"/>
            <w:vAlign w:val="center"/>
          </w:tcPr>
          <w:p>
            <w:pPr>
              <w:pStyle w:val="100"/>
              <w:widowControl w:val="0"/>
              <w:bidi w:val="0"/>
              <w:adjustRightInd w:val="0"/>
              <w:snapToGrid w:val="0"/>
            </w:pPr>
            <w:r>
              <w:t>规格型号</w:t>
            </w:r>
          </w:p>
        </w:tc>
        <w:tc>
          <w:tcPr>
            <w:tcW w:w="2952" w:type="dxa"/>
            <w:gridSpan w:val="3"/>
            <w:vAlign w:val="center"/>
          </w:tcPr>
          <w:p>
            <w:pPr>
              <w:pStyle w:val="100"/>
              <w:widowControl w:val="0"/>
              <w:bidi w:val="0"/>
              <w:adjustRightInd w:val="0"/>
              <w:snapToGrid w:val="0"/>
            </w:pPr>
            <w:r>
              <w:t>数量（台/套）</w:t>
            </w:r>
          </w:p>
        </w:tc>
        <w:tc>
          <w:tcPr>
            <w:tcW w:w="1176" w:type="dxa"/>
            <w:vMerge w:val="restart"/>
            <w:vAlign w:val="center"/>
          </w:tcPr>
          <w:p>
            <w:pPr>
              <w:pStyle w:val="100"/>
              <w:widowControl w:val="0"/>
              <w:bidi w:val="0"/>
              <w:adjustRightInd w:val="0"/>
              <w:snapToGrid w:val="0"/>
            </w:pPr>
            <w:r>
              <w:t>用途/工序</w:t>
            </w:r>
          </w:p>
        </w:tc>
        <w:tc>
          <w:tcPr>
            <w:tcW w:w="809" w:type="dxa"/>
            <w:vMerge w:val="restart"/>
            <w:vAlign w:val="center"/>
          </w:tcPr>
          <w:p>
            <w:pPr>
              <w:pStyle w:val="100"/>
              <w:widowControl w:val="0"/>
              <w:bidi w:val="0"/>
              <w:adjustRightInd w:val="0"/>
              <w:snapToGrid w:val="0"/>
              <w:rPr>
                <w:rFonts w:hint="eastAsia" w:eastAsia="宋体"/>
                <w:lang w:val="en-US" w:eastAsia="zh-CN"/>
              </w:rPr>
            </w:pPr>
            <w:r>
              <w:rPr>
                <w:rFonts w:hint="eastAsia"/>
                <w:lang w:val="en-US" w:eastAsia="zh-CN"/>
              </w:rPr>
              <w:t>产地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75" w:type="dxa"/>
            <w:vMerge w:val="continue"/>
            <w:vAlign w:val="center"/>
          </w:tcPr>
          <w:p>
            <w:pPr>
              <w:pStyle w:val="100"/>
              <w:widowControl w:val="0"/>
              <w:bidi w:val="0"/>
              <w:adjustRightInd w:val="0"/>
              <w:snapToGrid w:val="0"/>
            </w:pPr>
          </w:p>
        </w:tc>
        <w:tc>
          <w:tcPr>
            <w:tcW w:w="1692" w:type="dxa"/>
            <w:vMerge w:val="continue"/>
            <w:vAlign w:val="center"/>
          </w:tcPr>
          <w:p>
            <w:pPr>
              <w:pStyle w:val="100"/>
              <w:widowControl w:val="0"/>
              <w:bidi w:val="0"/>
              <w:adjustRightInd w:val="0"/>
              <w:snapToGrid w:val="0"/>
            </w:pPr>
          </w:p>
        </w:tc>
        <w:tc>
          <w:tcPr>
            <w:tcW w:w="1339" w:type="dxa"/>
            <w:vMerge w:val="continue"/>
            <w:vAlign w:val="center"/>
          </w:tcPr>
          <w:p>
            <w:pPr>
              <w:pStyle w:val="100"/>
              <w:widowControl w:val="0"/>
              <w:bidi w:val="0"/>
              <w:adjustRightInd w:val="0"/>
              <w:snapToGrid w:val="0"/>
            </w:pPr>
          </w:p>
        </w:tc>
        <w:tc>
          <w:tcPr>
            <w:tcW w:w="1032" w:type="dxa"/>
            <w:vAlign w:val="center"/>
          </w:tcPr>
          <w:p>
            <w:pPr>
              <w:pStyle w:val="100"/>
              <w:widowControl w:val="0"/>
              <w:bidi w:val="0"/>
              <w:adjustRightInd w:val="0"/>
              <w:snapToGrid w:val="0"/>
            </w:pPr>
            <w:r>
              <w:t>改建前</w:t>
            </w:r>
          </w:p>
        </w:tc>
        <w:tc>
          <w:tcPr>
            <w:tcW w:w="972" w:type="dxa"/>
            <w:vAlign w:val="center"/>
          </w:tcPr>
          <w:p>
            <w:pPr>
              <w:pStyle w:val="100"/>
              <w:widowControl w:val="0"/>
              <w:bidi w:val="0"/>
              <w:adjustRightInd w:val="0"/>
              <w:snapToGrid w:val="0"/>
            </w:pPr>
            <w:r>
              <w:t>改建后</w:t>
            </w:r>
          </w:p>
        </w:tc>
        <w:tc>
          <w:tcPr>
            <w:tcW w:w="948" w:type="dxa"/>
            <w:vAlign w:val="center"/>
          </w:tcPr>
          <w:p>
            <w:pPr>
              <w:pStyle w:val="100"/>
              <w:widowControl w:val="0"/>
              <w:bidi w:val="0"/>
              <w:adjustRightInd w:val="0"/>
              <w:snapToGrid w:val="0"/>
            </w:pPr>
            <w:r>
              <w:rPr>
                <w:rFonts w:hint="eastAsia"/>
              </w:rPr>
              <w:t>变化量</w:t>
            </w:r>
          </w:p>
        </w:tc>
        <w:tc>
          <w:tcPr>
            <w:tcW w:w="1176" w:type="dxa"/>
            <w:vMerge w:val="continue"/>
            <w:vAlign w:val="center"/>
          </w:tcPr>
          <w:p>
            <w:pPr>
              <w:pStyle w:val="100"/>
              <w:widowControl w:val="0"/>
              <w:bidi w:val="0"/>
              <w:adjustRightInd w:val="0"/>
              <w:snapToGrid w:val="0"/>
            </w:pPr>
          </w:p>
        </w:tc>
        <w:tc>
          <w:tcPr>
            <w:tcW w:w="80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5" w:type="dxa"/>
            <w:vAlign w:val="center"/>
          </w:tcPr>
          <w:p>
            <w:pPr>
              <w:pStyle w:val="100"/>
              <w:widowControl w:val="0"/>
              <w:bidi w:val="0"/>
              <w:adjustRightInd w:val="0"/>
              <w:snapToGrid w:val="0"/>
            </w:pPr>
            <w:r>
              <w:rPr>
                <w:rFonts w:hint="eastAsia"/>
              </w:rPr>
              <w:t>1</w:t>
            </w:r>
          </w:p>
        </w:tc>
        <w:tc>
          <w:tcPr>
            <w:tcW w:w="1692" w:type="dxa"/>
            <w:vAlign w:val="center"/>
          </w:tcPr>
          <w:p>
            <w:pPr>
              <w:pStyle w:val="100"/>
              <w:widowControl w:val="0"/>
              <w:bidi w:val="0"/>
              <w:adjustRightInd w:val="0"/>
              <w:snapToGrid w:val="0"/>
            </w:pPr>
            <w:r>
              <w:rPr>
                <w:rFonts w:hint="eastAsia"/>
              </w:rPr>
              <w:t>打孔机</w:t>
            </w:r>
          </w:p>
        </w:tc>
        <w:tc>
          <w:tcPr>
            <w:tcW w:w="1339" w:type="dxa"/>
            <w:vAlign w:val="center"/>
          </w:tcPr>
          <w:p>
            <w:pPr>
              <w:pStyle w:val="100"/>
              <w:widowControl w:val="0"/>
              <w:bidi w:val="0"/>
              <w:adjustRightInd w:val="0"/>
              <w:snapToGrid w:val="0"/>
              <w:rPr>
                <w:rFonts w:hint="default"/>
                <w:lang w:val="en-US" w:eastAsia="zh-CN"/>
              </w:rPr>
            </w:pPr>
            <w:r>
              <w:rPr>
                <w:rFonts w:hint="eastAsia"/>
                <w:lang w:val="en-US" w:eastAsia="zh-CN"/>
              </w:rPr>
              <w:t>14601</w:t>
            </w:r>
          </w:p>
        </w:tc>
        <w:tc>
          <w:tcPr>
            <w:tcW w:w="1032" w:type="dxa"/>
            <w:vAlign w:val="center"/>
          </w:tcPr>
          <w:p>
            <w:pPr>
              <w:pStyle w:val="100"/>
              <w:widowControl w:val="0"/>
              <w:bidi w:val="0"/>
              <w:adjustRightInd w:val="0"/>
              <w:snapToGrid w:val="0"/>
            </w:pPr>
            <w:r>
              <w:rPr>
                <w:rFonts w:hint="eastAsia"/>
              </w:rPr>
              <w:t>10</w:t>
            </w:r>
          </w:p>
        </w:tc>
        <w:tc>
          <w:tcPr>
            <w:tcW w:w="972" w:type="dxa"/>
            <w:vAlign w:val="center"/>
          </w:tcPr>
          <w:p>
            <w:pPr>
              <w:pStyle w:val="100"/>
              <w:widowControl w:val="0"/>
              <w:bidi w:val="0"/>
              <w:adjustRightInd w:val="0"/>
              <w:snapToGrid w:val="0"/>
            </w:pPr>
            <w:r>
              <w:rPr>
                <w:rFonts w:hint="eastAsia"/>
              </w:rPr>
              <w:t>8</w:t>
            </w:r>
          </w:p>
        </w:tc>
        <w:tc>
          <w:tcPr>
            <w:tcW w:w="948" w:type="dxa"/>
            <w:vAlign w:val="center"/>
          </w:tcPr>
          <w:p>
            <w:pPr>
              <w:pStyle w:val="100"/>
              <w:widowControl w:val="0"/>
              <w:bidi w:val="0"/>
              <w:adjustRightInd w:val="0"/>
              <w:snapToGrid w:val="0"/>
            </w:pPr>
            <w:r>
              <w:rPr>
                <w:rFonts w:hint="eastAsia"/>
              </w:rPr>
              <w:t>-2</w:t>
            </w:r>
          </w:p>
        </w:tc>
        <w:tc>
          <w:tcPr>
            <w:tcW w:w="1176" w:type="dxa"/>
            <w:vAlign w:val="center"/>
          </w:tcPr>
          <w:p>
            <w:pPr>
              <w:pStyle w:val="100"/>
              <w:widowControl w:val="0"/>
              <w:bidi w:val="0"/>
              <w:adjustRightInd w:val="0"/>
              <w:snapToGrid w:val="0"/>
            </w:pPr>
            <w:r>
              <w:rPr>
                <w:rFonts w:hint="eastAsia"/>
              </w:rPr>
              <w:t>打孔</w:t>
            </w:r>
          </w:p>
        </w:tc>
        <w:tc>
          <w:tcPr>
            <w:tcW w:w="809" w:type="dxa"/>
            <w:vAlign w:val="center"/>
          </w:tcPr>
          <w:p>
            <w:pPr>
              <w:pStyle w:val="100"/>
              <w:widowControl w:val="0"/>
              <w:bidi w:val="0"/>
              <w:adjustRightInd w:val="0"/>
              <w:snapToGrid w:val="0"/>
              <w:rPr>
                <w:rFonts w:hint="eastAsia" w:eastAsia="宋体"/>
                <w:lang w:val="en-US" w:eastAsia="zh-CN"/>
              </w:rPr>
            </w:pPr>
            <w:r>
              <w:rPr>
                <w:rFonts w:hint="eastAsia"/>
                <w:lang w:val="en-US" w:eastAsia="zh-CN"/>
              </w:rPr>
              <w:t>国产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5" w:type="dxa"/>
            <w:vAlign w:val="center"/>
          </w:tcPr>
          <w:p>
            <w:pPr>
              <w:pStyle w:val="100"/>
              <w:widowControl w:val="0"/>
              <w:bidi w:val="0"/>
              <w:adjustRightInd w:val="0"/>
              <w:snapToGrid w:val="0"/>
            </w:pPr>
            <w:r>
              <w:rPr>
                <w:rFonts w:hint="eastAsia"/>
              </w:rPr>
              <w:t>2</w:t>
            </w:r>
          </w:p>
        </w:tc>
        <w:tc>
          <w:tcPr>
            <w:tcW w:w="1692" w:type="dxa"/>
            <w:vAlign w:val="center"/>
          </w:tcPr>
          <w:p>
            <w:pPr>
              <w:pStyle w:val="100"/>
              <w:widowControl w:val="0"/>
              <w:bidi w:val="0"/>
              <w:adjustRightInd w:val="0"/>
              <w:snapToGrid w:val="0"/>
            </w:pPr>
            <w:r>
              <w:rPr>
                <w:rFonts w:hint="eastAsia"/>
              </w:rPr>
              <w:t>冲床</w:t>
            </w:r>
          </w:p>
        </w:tc>
        <w:tc>
          <w:tcPr>
            <w:tcW w:w="1339" w:type="dxa"/>
            <w:vAlign w:val="center"/>
          </w:tcPr>
          <w:p>
            <w:pPr>
              <w:pStyle w:val="100"/>
              <w:widowControl w:val="0"/>
              <w:bidi w:val="0"/>
              <w:adjustRightInd w:val="0"/>
              <w:snapToGrid w:val="0"/>
            </w:pPr>
            <w:r>
              <w:rPr>
                <w:rFonts w:hint="eastAsia"/>
              </w:rPr>
              <w:t>45T</w:t>
            </w:r>
          </w:p>
        </w:tc>
        <w:tc>
          <w:tcPr>
            <w:tcW w:w="1032" w:type="dxa"/>
            <w:vAlign w:val="center"/>
          </w:tcPr>
          <w:p>
            <w:pPr>
              <w:pStyle w:val="100"/>
              <w:widowControl w:val="0"/>
              <w:bidi w:val="0"/>
              <w:adjustRightInd w:val="0"/>
              <w:snapToGrid w:val="0"/>
            </w:pPr>
            <w:r>
              <w:t>2</w:t>
            </w:r>
            <w:r>
              <w:rPr>
                <w:rFonts w:hint="eastAsia"/>
              </w:rPr>
              <w:t>0</w:t>
            </w:r>
          </w:p>
        </w:tc>
        <w:tc>
          <w:tcPr>
            <w:tcW w:w="972" w:type="dxa"/>
            <w:vAlign w:val="center"/>
          </w:tcPr>
          <w:p>
            <w:pPr>
              <w:pStyle w:val="100"/>
              <w:widowControl w:val="0"/>
              <w:bidi w:val="0"/>
              <w:adjustRightInd w:val="0"/>
              <w:snapToGrid w:val="0"/>
            </w:pPr>
            <w:r>
              <w:rPr>
                <w:rFonts w:hint="eastAsia"/>
              </w:rPr>
              <w:t>20</w:t>
            </w:r>
          </w:p>
        </w:tc>
        <w:tc>
          <w:tcPr>
            <w:tcW w:w="948" w:type="dxa"/>
            <w:vAlign w:val="center"/>
          </w:tcPr>
          <w:p>
            <w:pPr>
              <w:pStyle w:val="100"/>
              <w:widowControl w:val="0"/>
              <w:bidi w:val="0"/>
              <w:adjustRightInd w:val="0"/>
              <w:snapToGrid w:val="0"/>
            </w:pPr>
            <w:r>
              <w:rPr>
                <w:rFonts w:hint="eastAsia"/>
              </w:rPr>
              <w:t>0</w:t>
            </w:r>
          </w:p>
        </w:tc>
        <w:tc>
          <w:tcPr>
            <w:tcW w:w="1176" w:type="dxa"/>
            <w:vAlign w:val="center"/>
          </w:tcPr>
          <w:p>
            <w:pPr>
              <w:pStyle w:val="100"/>
              <w:widowControl w:val="0"/>
              <w:bidi w:val="0"/>
              <w:adjustRightInd w:val="0"/>
              <w:snapToGrid w:val="0"/>
            </w:pPr>
            <w:r>
              <w:rPr>
                <w:rFonts w:hint="eastAsia"/>
              </w:rPr>
              <w:t>冲压</w:t>
            </w:r>
          </w:p>
        </w:tc>
        <w:tc>
          <w:tcPr>
            <w:tcW w:w="809" w:type="dxa"/>
            <w:vAlign w:val="center"/>
          </w:tcPr>
          <w:p>
            <w:pPr>
              <w:pStyle w:val="100"/>
              <w:widowControl w:val="0"/>
              <w:bidi w:val="0"/>
              <w:adjustRightInd w:val="0"/>
              <w:snapToGrid w:val="0"/>
              <w:rPr>
                <w:rFonts w:hint="eastAsia"/>
              </w:rPr>
            </w:pPr>
            <w:r>
              <w:rPr>
                <w:rFonts w:hint="eastAsia"/>
                <w:lang w:val="en-US" w:eastAsia="zh-CN"/>
              </w:rPr>
              <w:t>国产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5" w:type="dxa"/>
            <w:vAlign w:val="center"/>
          </w:tcPr>
          <w:p>
            <w:pPr>
              <w:pStyle w:val="100"/>
              <w:widowControl w:val="0"/>
              <w:bidi w:val="0"/>
              <w:adjustRightInd w:val="0"/>
              <w:snapToGrid w:val="0"/>
            </w:pPr>
            <w:r>
              <w:rPr>
                <w:rFonts w:hint="eastAsia"/>
              </w:rPr>
              <w:t>3</w:t>
            </w:r>
          </w:p>
        </w:tc>
        <w:tc>
          <w:tcPr>
            <w:tcW w:w="1692" w:type="dxa"/>
            <w:vAlign w:val="center"/>
          </w:tcPr>
          <w:p>
            <w:pPr>
              <w:pStyle w:val="100"/>
              <w:widowControl w:val="0"/>
              <w:bidi w:val="0"/>
              <w:adjustRightInd w:val="0"/>
              <w:snapToGrid w:val="0"/>
            </w:pPr>
            <w:r>
              <w:rPr>
                <w:rFonts w:hint="eastAsia"/>
              </w:rPr>
              <w:t>印刷机</w:t>
            </w:r>
          </w:p>
        </w:tc>
        <w:tc>
          <w:tcPr>
            <w:tcW w:w="1339" w:type="dxa"/>
            <w:vAlign w:val="center"/>
          </w:tcPr>
          <w:p>
            <w:pPr>
              <w:pStyle w:val="100"/>
              <w:widowControl w:val="0"/>
              <w:bidi w:val="0"/>
              <w:adjustRightInd w:val="0"/>
              <w:snapToGrid w:val="0"/>
              <w:rPr>
                <w:rFonts w:hint="default"/>
                <w:lang w:val="en-US" w:eastAsia="zh-CN"/>
              </w:rPr>
            </w:pPr>
            <w:r>
              <w:rPr>
                <w:rFonts w:hint="eastAsia"/>
                <w:lang w:val="en-US" w:eastAsia="zh-CN"/>
              </w:rPr>
              <w:t>EC-8</w:t>
            </w:r>
          </w:p>
        </w:tc>
        <w:tc>
          <w:tcPr>
            <w:tcW w:w="1032" w:type="dxa"/>
            <w:vAlign w:val="center"/>
          </w:tcPr>
          <w:p>
            <w:pPr>
              <w:pStyle w:val="100"/>
              <w:widowControl w:val="0"/>
              <w:bidi w:val="0"/>
              <w:adjustRightInd w:val="0"/>
              <w:snapToGrid w:val="0"/>
            </w:pPr>
            <w:r>
              <w:rPr>
                <w:rFonts w:hint="eastAsia"/>
              </w:rPr>
              <w:t>0</w:t>
            </w:r>
          </w:p>
        </w:tc>
        <w:tc>
          <w:tcPr>
            <w:tcW w:w="972" w:type="dxa"/>
            <w:vAlign w:val="center"/>
          </w:tcPr>
          <w:p>
            <w:pPr>
              <w:pStyle w:val="100"/>
              <w:widowControl w:val="0"/>
              <w:bidi w:val="0"/>
              <w:adjustRightInd w:val="0"/>
              <w:snapToGrid w:val="0"/>
            </w:pPr>
            <w:r>
              <w:t>1</w:t>
            </w:r>
            <w:r>
              <w:rPr>
                <w:rFonts w:hint="eastAsia"/>
              </w:rPr>
              <w:t>5</w:t>
            </w:r>
          </w:p>
        </w:tc>
        <w:tc>
          <w:tcPr>
            <w:tcW w:w="948" w:type="dxa"/>
            <w:vAlign w:val="center"/>
          </w:tcPr>
          <w:p>
            <w:pPr>
              <w:pStyle w:val="100"/>
              <w:widowControl w:val="0"/>
              <w:bidi w:val="0"/>
              <w:adjustRightInd w:val="0"/>
              <w:snapToGrid w:val="0"/>
            </w:pPr>
            <w:r>
              <w:rPr>
                <w:rFonts w:hint="eastAsia"/>
              </w:rPr>
              <w:t>+</w:t>
            </w:r>
            <w:r>
              <w:t>1</w:t>
            </w:r>
            <w:r>
              <w:rPr>
                <w:rFonts w:hint="eastAsia"/>
              </w:rPr>
              <w:t>5</w:t>
            </w:r>
          </w:p>
        </w:tc>
        <w:tc>
          <w:tcPr>
            <w:tcW w:w="1176" w:type="dxa"/>
            <w:vAlign w:val="center"/>
          </w:tcPr>
          <w:p>
            <w:pPr>
              <w:pStyle w:val="100"/>
              <w:widowControl w:val="0"/>
              <w:bidi w:val="0"/>
              <w:adjustRightInd w:val="0"/>
              <w:snapToGrid w:val="0"/>
            </w:pPr>
            <w:r>
              <w:rPr>
                <w:rFonts w:hint="eastAsia"/>
              </w:rPr>
              <w:t>印刷</w:t>
            </w:r>
          </w:p>
        </w:tc>
        <w:tc>
          <w:tcPr>
            <w:tcW w:w="809" w:type="dxa"/>
            <w:vAlign w:val="center"/>
          </w:tcPr>
          <w:p>
            <w:pPr>
              <w:pStyle w:val="100"/>
              <w:widowControl w:val="0"/>
              <w:bidi w:val="0"/>
              <w:adjustRightInd w:val="0"/>
              <w:snapToGrid w:val="0"/>
              <w:rPr>
                <w:rFonts w:hint="eastAsia"/>
              </w:rPr>
            </w:pPr>
            <w:r>
              <w:rPr>
                <w:rFonts w:hint="eastAsia"/>
                <w:lang w:val="en-US" w:eastAsia="zh-CN"/>
              </w:rPr>
              <w:t>国产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5" w:type="dxa"/>
            <w:vAlign w:val="center"/>
          </w:tcPr>
          <w:p>
            <w:pPr>
              <w:pStyle w:val="100"/>
              <w:widowControl w:val="0"/>
              <w:bidi w:val="0"/>
              <w:adjustRightInd w:val="0"/>
              <w:snapToGrid w:val="0"/>
            </w:pPr>
            <w:r>
              <w:rPr>
                <w:rFonts w:hint="eastAsia"/>
              </w:rPr>
              <w:t>4</w:t>
            </w:r>
          </w:p>
        </w:tc>
        <w:tc>
          <w:tcPr>
            <w:tcW w:w="1692" w:type="dxa"/>
            <w:vAlign w:val="center"/>
          </w:tcPr>
          <w:p>
            <w:pPr>
              <w:pStyle w:val="100"/>
              <w:widowControl w:val="0"/>
              <w:bidi w:val="0"/>
              <w:adjustRightInd w:val="0"/>
              <w:snapToGrid w:val="0"/>
            </w:pPr>
            <w:r>
              <w:rPr>
                <w:rFonts w:hint="eastAsia"/>
              </w:rPr>
              <w:t>空压机</w:t>
            </w:r>
          </w:p>
        </w:tc>
        <w:tc>
          <w:tcPr>
            <w:tcW w:w="1339" w:type="dxa"/>
            <w:vAlign w:val="center"/>
          </w:tcPr>
          <w:p>
            <w:pPr>
              <w:pStyle w:val="100"/>
              <w:widowControl w:val="0"/>
              <w:bidi w:val="0"/>
              <w:adjustRightInd w:val="0"/>
              <w:snapToGrid w:val="0"/>
              <w:rPr>
                <w:rFonts w:hint="default"/>
                <w:lang w:val="en-US" w:eastAsia="zh-CN"/>
              </w:rPr>
            </w:pPr>
            <w:r>
              <w:rPr>
                <w:rFonts w:hint="eastAsia"/>
                <w:lang w:val="en-US" w:eastAsia="zh-CN"/>
              </w:rPr>
              <w:t>750W-30L</w:t>
            </w:r>
          </w:p>
        </w:tc>
        <w:tc>
          <w:tcPr>
            <w:tcW w:w="1032" w:type="dxa"/>
            <w:vAlign w:val="center"/>
          </w:tcPr>
          <w:p>
            <w:pPr>
              <w:pStyle w:val="100"/>
              <w:widowControl w:val="0"/>
              <w:bidi w:val="0"/>
              <w:adjustRightInd w:val="0"/>
              <w:snapToGrid w:val="0"/>
            </w:pPr>
            <w:r>
              <w:rPr>
                <w:rFonts w:hint="eastAsia"/>
              </w:rPr>
              <w:t>0</w:t>
            </w:r>
          </w:p>
        </w:tc>
        <w:tc>
          <w:tcPr>
            <w:tcW w:w="972" w:type="dxa"/>
            <w:vAlign w:val="center"/>
          </w:tcPr>
          <w:p>
            <w:pPr>
              <w:pStyle w:val="100"/>
              <w:widowControl w:val="0"/>
              <w:bidi w:val="0"/>
              <w:adjustRightInd w:val="0"/>
              <w:snapToGrid w:val="0"/>
            </w:pPr>
            <w:r>
              <w:rPr>
                <w:rFonts w:hint="eastAsia"/>
              </w:rPr>
              <w:t>2</w:t>
            </w:r>
          </w:p>
        </w:tc>
        <w:tc>
          <w:tcPr>
            <w:tcW w:w="948" w:type="dxa"/>
            <w:vAlign w:val="center"/>
          </w:tcPr>
          <w:p>
            <w:pPr>
              <w:pStyle w:val="100"/>
              <w:widowControl w:val="0"/>
              <w:bidi w:val="0"/>
              <w:adjustRightInd w:val="0"/>
              <w:snapToGrid w:val="0"/>
            </w:pPr>
            <w:r>
              <w:rPr>
                <w:rFonts w:hint="eastAsia"/>
              </w:rPr>
              <w:t>+2</w:t>
            </w:r>
          </w:p>
        </w:tc>
        <w:tc>
          <w:tcPr>
            <w:tcW w:w="1176" w:type="dxa"/>
            <w:vAlign w:val="center"/>
          </w:tcPr>
          <w:p>
            <w:pPr>
              <w:pStyle w:val="100"/>
              <w:widowControl w:val="0"/>
              <w:bidi w:val="0"/>
              <w:adjustRightInd w:val="0"/>
              <w:snapToGrid w:val="0"/>
              <w:rPr>
                <w:rFonts w:hint="default" w:eastAsia="宋体"/>
                <w:lang w:val="en-US" w:eastAsia="zh-CN"/>
              </w:rPr>
            </w:pPr>
            <w:r>
              <w:rPr>
                <w:rFonts w:hint="eastAsia"/>
                <w:lang w:val="en-US" w:eastAsia="zh-CN"/>
              </w:rPr>
              <w:t>压缩空气</w:t>
            </w:r>
          </w:p>
        </w:tc>
        <w:tc>
          <w:tcPr>
            <w:tcW w:w="809" w:type="dxa"/>
            <w:vAlign w:val="center"/>
          </w:tcPr>
          <w:p>
            <w:pPr>
              <w:pStyle w:val="100"/>
              <w:widowControl w:val="0"/>
              <w:bidi w:val="0"/>
              <w:adjustRightInd w:val="0"/>
              <w:snapToGrid w:val="0"/>
              <w:rPr>
                <w:rFonts w:hint="eastAsia"/>
                <w:lang w:val="en-US" w:eastAsia="zh-CN"/>
              </w:rPr>
            </w:pPr>
            <w:r>
              <w:rPr>
                <w:rFonts w:hint="eastAsia"/>
                <w:lang w:val="en-US" w:eastAsia="zh-CN"/>
              </w:rPr>
              <w:t>国产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5" w:type="dxa"/>
            <w:vAlign w:val="center"/>
          </w:tcPr>
          <w:p>
            <w:pPr>
              <w:pStyle w:val="100"/>
              <w:widowControl w:val="0"/>
              <w:bidi w:val="0"/>
              <w:adjustRightInd w:val="0"/>
              <w:snapToGrid w:val="0"/>
            </w:pPr>
            <w:r>
              <w:rPr>
                <w:rFonts w:hint="eastAsia"/>
              </w:rPr>
              <w:t>5</w:t>
            </w:r>
          </w:p>
        </w:tc>
        <w:tc>
          <w:tcPr>
            <w:tcW w:w="1692" w:type="dxa"/>
            <w:vAlign w:val="center"/>
          </w:tcPr>
          <w:p>
            <w:pPr>
              <w:pStyle w:val="100"/>
              <w:widowControl w:val="0"/>
              <w:bidi w:val="0"/>
              <w:adjustRightInd w:val="0"/>
              <w:snapToGrid w:val="0"/>
            </w:pPr>
            <w:r>
              <w:rPr>
                <w:rFonts w:hint="eastAsia"/>
              </w:rPr>
              <w:t>废气处理设备</w:t>
            </w:r>
          </w:p>
        </w:tc>
        <w:tc>
          <w:tcPr>
            <w:tcW w:w="1339" w:type="dxa"/>
            <w:vAlign w:val="center"/>
          </w:tcPr>
          <w:p>
            <w:pPr>
              <w:pStyle w:val="100"/>
              <w:widowControl w:val="0"/>
              <w:bidi w:val="0"/>
              <w:adjustRightInd w:val="0"/>
              <w:snapToGrid w:val="0"/>
              <w:rPr>
                <w:rFonts w:hint="default"/>
                <w:lang w:val="en-US" w:eastAsia="zh-CN"/>
              </w:rPr>
            </w:pPr>
            <w:r>
              <w:rPr>
                <w:rFonts w:hint="eastAsia"/>
                <w:lang w:val="en-US" w:eastAsia="zh-CN"/>
              </w:rPr>
              <w:t>UVG-25000</w:t>
            </w:r>
          </w:p>
        </w:tc>
        <w:tc>
          <w:tcPr>
            <w:tcW w:w="1032" w:type="dxa"/>
            <w:vAlign w:val="center"/>
          </w:tcPr>
          <w:p>
            <w:pPr>
              <w:pStyle w:val="100"/>
              <w:widowControl w:val="0"/>
              <w:bidi w:val="0"/>
              <w:adjustRightInd w:val="0"/>
              <w:snapToGrid w:val="0"/>
            </w:pPr>
            <w:r>
              <w:rPr>
                <w:rFonts w:hint="eastAsia"/>
              </w:rPr>
              <w:t>0</w:t>
            </w:r>
          </w:p>
        </w:tc>
        <w:tc>
          <w:tcPr>
            <w:tcW w:w="972" w:type="dxa"/>
            <w:vAlign w:val="center"/>
          </w:tcPr>
          <w:p>
            <w:pPr>
              <w:pStyle w:val="100"/>
              <w:widowControl w:val="0"/>
              <w:bidi w:val="0"/>
              <w:adjustRightInd w:val="0"/>
              <w:snapToGrid w:val="0"/>
            </w:pPr>
            <w:r>
              <w:rPr>
                <w:rFonts w:hint="eastAsia"/>
              </w:rPr>
              <w:t>1</w:t>
            </w:r>
          </w:p>
        </w:tc>
        <w:tc>
          <w:tcPr>
            <w:tcW w:w="948" w:type="dxa"/>
            <w:vAlign w:val="center"/>
          </w:tcPr>
          <w:p>
            <w:pPr>
              <w:pStyle w:val="100"/>
              <w:widowControl w:val="0"/>
              <w:bidi w:val="0"/>
              <w:adjustRightInd w:val="0"/>
              <w:snapToGrid w:val="0"/>
            </w:pPr>
            <w:r>
              <w:rPr>
                <w:rFonts w:hint="eastAsia"/>
              </w:rPr>
              <w:t>+1</w:t>
            </w:r>
          </w:p>
        </w:tc>
        <w:tc>
          <w:tcPr>
            <w:tcW w:w="1176" w:type="dxa"/>
            <w:vAlign w:val="center"/>
          </w:tcPr>
          <w:p>
            <w:pPr>
              <w:pStyle w:val="100"/>
              <w:widowControl w:val="0"/>
              <w:bidi w:val="0"/>
              <w:adjustRightInd w:val="0"/>
              <w:snapToGrid w:val="0"/>
            </w:pPr>
            <w:r>
              <w:rPr>
                <w:rFonts w:hint="eastAsia"/>
              </w:rPr>
              <w:t>废气治理</w:t>
            </w:r>
          </w:p>
        </w:tc>
        <w:tc>
          <w:tcPr>
            <w:tcW w:w="809" w:type="dxa"/>
            <w:vAlign w:val="center"/>
          </w:tcPr>
          <w:p>
            <w:pPr>
              <w:pStyle w:val="100"/>
              <w:widowControl w:val="0"/>
              <w:bidi w:val="0"/>
              <w:adjustRightInd w:val="0"/>
              <w:snapToGrid w:val="0"/>
              <w:rPr>
                <w:rFonts w:hint="eastAsia"/>
              </w:rPr>
            </w:pPr>
            <w:r>
              <w:rPr>
                <w:rFonts w:hint="eastAsia"/>
                <w:lang w:val="en-US" w:eastAsia="zh-CN"/>
              </w:rPr>
              <w:t>国产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5" w:type="dxa"/>
            <w:vAlign w:val="center"/>
          </w:tcPr>
          <w:p>
            <w:pPr>
              <w:pStyle w:val="100"/>
              <w:widowControl w:val="0"/>
              <w:bidi w:val="0"/>
              <w:adjustRightInd w:val="0"/>
              <w:snapToGrid w:val="0"/>
            </w:pPr>
            <w:r>
              <w:rPr>
                <w:rFonts w:hint="eastAsia"/>
              </w:rPr>
              <w:t>6</w:t>
            </w:r>
          </w:p>
        </w:tc>
        <w:tc>
          <w:tcPr>
            <w:tcW w:w="1692" w:type="dxa"/>
            <w:vAlign w:val="center"/>
          </w:tcPr>
          <w:p>
            <w:pPr>
              <w:pStyle w:val="100"/>
              <w:widowControl w:val="0"/>
              <w:bidi w:val="0"/>
              <w:adjustRightInd w:val="0"/>
              <w:snapToGrid w:val="0"/>
            </w:pPr>
            <w:r>
              <w:rPr>
                <w:rFonts w:hint="eastAsia"/>
              </w:rPr>
              <w:t>模切机</w:t>
            </w:r>
          </w:p>
        </w:tc>
        <w:tc>
          <w:tcPr>
            <w:tcW w:w="1339" w:type="dxa"/>
            <w:vAlign w:val="center"/>
          </w:tcPr>
          <w:p>
            <w:pPr>
              <w:pStyle w:val="100"/>
              <w:widowControl w:val="0"/>
              <w:bidi w:val="0"/>
              <w:adjustRightInd w:val="0"/>
              <w:snapToGrid w:val="0"/>
              <w:rPr>
                <w:rFonts w:hint="eastAsia"/>
                <w:lang w:val="en-US" w:eastAsia="zh-CN"/>
              </w:rPr>
            </w:pPr>
            <w:r>
              <w:rPr>
                <w:rFonts w:hint="eastAsia"/>
                <w:lang w:val="en-US" w:eastAsia="zh-CN"/>
              </w:rPr>
              <w:t>CA16</w:t>
            </w:r>
          </w:p>
        </w:tc>
        <w:tc>
          <w:tcPr>
            <w:tcW w:w="1032" w:type="dxa"/>
            <w:vAlign w:val="center"/>
          </w:tcPr>
          <w:p>
            <w:pPr>
              <w:pStyle w:val="100"/>
              <w:widowControl w:val="0"/>
              <w:bidi w:val="0"/>
              <w:adjustRightInd w:val="0"/>
              <w:snapToGrid w:val="0"/>
            </w:pPr>
            <w:r>
              <w:rPr>
                <w:rFonts w:hint="eastAsia"/>
              </w:rPr>
              <w:t>0</w:t>
            </w:r>
          </w:p>
        </w:tc>
        <w:tc>
          <w:tcPr>
            <w:tcW w:w="972" w:type="dxa"/>
            <w:vAlign w:val="center"/>
          </w:tcPr>
          <w:p>
            <w:pPr>
              <w:pStyle w:val="100"/>
              <w:widowControl w:val="0"/>
              <w:bidi w:val="0"/>
              <w:adjustRightInd w:val="0"/>
              <w:snapToGrid w:val="0"/>
            </w:pPr>
            <w:r>
              <w:rPr>
                <w:rFonts w:hint="eastAsia"/>
              </w:rPr>
              <w:t>4</w:t>
            </w:r>
          </w:p>
        </w:tc>
        <w:tc>
          <w:tcPr>
            <w:tcW w:w="948" w:type="dxa"/>
            <w:vAlign w:val="center"/>
          </w:tcPr>
          <w:p>
            <w:pPr>
              <w:pStyle w:val="100"/>
              <w:widowControl w:val="0"/>
              <w:bidi w:val="0"/>
              <w:adjustRightInd w:val="0"/>
              <w:snapToGrid w:val="0"/>
            </w:pPr>
            <w:r>
              <w:rPr>
                <w:rFonts w:hint="eastAsia"/>
              </w:rPr>
              <w:t>+4</w:t>
            </w:r>
          </w:p>
        </w:tc>
        <w:tc>
          <w:tcPr>
            <w:tcW w:w="1176" w:type="dxa"/>
            <w:vAlign w:val="center"/>
          </w:tcPr>
          <w:p>
            <w:pPr>
              <w:pStyle w:val="100"/>
              <w:widowControl w:val="0"/>
              <w:bidi w:val="0"/>
              <w:adjustRightInd w:val="0"/>
              <w:snapToGrid w:val="0"/>
            </w:pPr>
            <w:r>
              <w:rPr>
                <w:rFonts w:hint="eastAsia"/>
              </w:rPr>
              <w:t>模切</w:t>
            </w:r>
          </w:p>
        </w:tc>
        <w:tc>
          <w:tcPr>
            <w:tcW w:w="809" w:type="dxa"/>
            <w:vAlign w:val="center"/>
          </w:tcPr>
          <w:p>
            <w:pPr>
              <w:pStyle w:val="100"/>
              <w:widowControl w:val="0"/>
              <w:bidi w:val="0"/>
              <w:adjustRightInd w:val="0"/>
              <w:snapToGrid w:val="0"/>
              <w:rPr>
                <w:rFonts w:hint="eastAsia"/>
              </w:rPr>
            </w:pPr>
            <w:r>
              <w:rPr>
                <w:rFonts w:hint="eastAsia"/>
                <w:lang w:val="en-US" w:eastAsia="zh-CN"/>
              </w:rPr>
              <w:t>国产</w:t>
            </w:r>
          </w:p>
        </w:tc>
      </w:tr>
    </w:tbl>
    <w:p>
      <w:pPr>
        <w:pStyle w:val="273"/>
        <w:bidi w:val="0"/>
      </w:pPr>
      <w:r>
        <w:t>表1-</w:t>
      </w:r>
      <w:r>
        <w:rPr>
          <w:rFonts w:hint="eastAsia"/>
          <w:lang w:val="en-US" w:eastAsia="zh-CN"/>
        </w:rPr>
        <w:t>6</w:t>
      </w:r>
      <w:r>
        <w:t xml:space="preserve">  水及能源消耗一览表</w:t>
      </w:r>
    </w:p>
    <w:tbl>
      <w:tblPr>
        <w:tblStyle w:val="2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1666"/>
        <w:gridCol w:w="2580"/>
        <w:gridCol w:w="1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8" w:type="dxa"/>
            <w:vAlign w:val="center"/>
          </w:tcPr>
          <w:p>
            <w:pPr>
              <w:pStyle w:val="100"/>
              <w:widowControl w:val="0"/>
              <w:bidi w:val="0"/>
              <w:adjustRightInd w:val="0"/>
              <w:snapToGrid w:val="0"/>
            </w:pPr>
            <w:r>
              <w:t>名称</w:t>
            </w:r>
          </w:p>
        </w:tc>
        <w:tc>
          <w:tcPr>
            <w:tcW w:w="1666" w:type="dxa"/>
            <w:vAlign w:val="center"/>
          </w:tcPr>
          <w:p>
            <w:pPr>
              <w:pStyle w:val="100"/>
              <w:widowControl w:val="0"/>
              <w:bidi w:val="0"/>
              <w:adjustRightInd w:val="0"/>
              <w:snapToGrid w:val="0"/>
            </w:pPr>
            <w:r>
              <w:t>消耗量</w:t>
            </w:r>
          </w:p>
        </w:tc>
        <w:tc>
          <w:tcPr>
            <w:tcW w:w="2580" w:type="dxa"/>
            <w:vAlign w:val="center"/>
          </w:tcPr>
          <w:p>
            <w:pPr>
              <w:pStyle w:val="100"/>
              <w:widowControl w:val="0"/>
              <w:bidi w:val="0"/>
              <w:adjustRightInd w:val="0"/>
              <w:snapToGrid w:val="0"/>
            </w:pPr>
            <w:r>
              <w:t>名称</w:t>
            </w:r>
          </w:p>
        </w:tc>
        <w:tc>
          <w:tcPr>
            <w:tcW w:w="1826" w:type="dxa"/>
            <w:vAlign w:val="center"/>
          </w:tcPr>
          <w:p>
            <w:pPr>
              <w:pStyle w:val="100"/>
              <w:widowControl w:val="0"/>
              <w:bidi w:val="0"/>
              <w:adjustRightInd w:val="0"/>
              <w:snapToGrid w:val="0"/>
            </w:pPr>
            <w:r>
              <w:t>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398" w:type="dxa"/>
            <w:vAlign w:val="center"/>
          </w:tcPr>
          <w:p>
            <w:pPr>
              <w:pStyle w:val="100"/>
              <w:widowControl w:val="0"/>
              <w:bidi w:val="0"/>
              <w:adjustRightInd w:val="0"/>
              <w:snapToGrid w:val="0"/>
            </w:pPr>
            <w:r>
              <w:t>水（吨/年）</w:t>
            </w:r>
          </w:p>
        </w:tc>
        <w:tc>
          <w:tcPr>
            <w:tcW w:w="1666" w:type="dxa"/>
            <w:vAlign w:val="center"/>
          </w:tcPr>
          <w:p>
            <w:pPr>
              <w:pStyle w:val="100"/>
              <w:widowControl w:val="0"/>
              <w:bidi w:val="0"/>
              <w:adjustRightInd w:val="0"/>
              <w:snapToGrid w:val="0"/>
              <w:rPr>
                <w:rFonts w:hint="default"/>
                <w:lang w:val="en-US" w:eastAsia="zh-CN"/>
              </w:rPr>
            </w:pPr>
            <w:r>
              <w:rPr>
                <w:rFonts w:hint="eastAsia"/>
                <w:lang w:val="en-US" w:eastAsia="zh-CN"/>
              </w:rPr>
              <w:t>1008</w:t>
            </w:r>
          </w:p>
        </w:tc>
        <w:tc>
          <w:tcPr>
            <w:tcW w:w="2580" w:type="dxa"/>
            <w:vAlign w:val="center"/>
          </w:tcPr>
          <w:p>
            <w:pPr>
              <w:pStyle w:val="100"/>
              <w:widowControl w:val="0"/>
              <w:bidi w:val="0"/>
              <w:adjustRightInd w:val="0"/>
              <w:snapToGrid w:val="0"/>
            </w:pPr>
            <w:r>
              <w:t>燃油（吨/年）</w:t>
            </w:r>
          </w:p>
        </w:tc>
        <w:tc>
          <w:tcPr>
            <w:tcW w:w="1826"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98" w:type="dxa"/>
            <w:vAlign w:val="center"/>
          </w:tcPr>
          <w:p>
            <w:pPr>
              <w:pStyle w:val="100"/>
              <w:widowControl w:val="0"/>
              <w:bidi w:val="0"/>
              <w:adjustRightInd w:val="0"/>
              <w:snapToGrid w:val="0"/>
            </w:pPr>
            <w:r>
              <w:t>电（千瓦时/年）</w:t>
            </w:r>
          </w:p>
        </w:tc>
        <w:tc>
          <w:tcPr>
            <w:tcW w:w="1666" w:type="dxa"/>
            <w:vAlign w:val="center"/>
          </w:tcPr>
          <w:p>
            <w:pPr>
              <w:pStyle w:val="100"/>
              <w:widowControl w:val="0"/>
              <w:bidi w:val="0"/>
              <w:adjustRightInd w:val="0"/>
              <w:snapToGrid w:val="0"/>
            </w:pPr>
            <w:r>
              <w:rPr>
                <w:rFonts w:hint="eastAsia"/>
              </w:rPr>
              <w:t>50万</w:t>
            </w:r>
          </w:p>
        </w:tc>
        <w:tc>
          <w:tcPr>
            <w:tcW w:w="2580" w:type="dxa"/>
            <w:vAlign w:val="center"/>
          </w:tcPr>
          <w:p>
            <w:pPr>
              <w:pStyle w:val="100"/>
              <w:widowControl w:val="0"/>
              <w:bidi w:val="0"/>
              <w:adjustRightInd w:val="0"/>
              <w:snapToGrid w:val="0"/>
            </w:pPr>
            <w:r>
              <w:t>燃气（标立方米/年）</w:t>
            </w:r>
          </w:p>
        </w:tc>
        <w:tc>
          <w:tcPr>
            <w:tcW w:w="1826"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398" w:type="dxa"/>
            <w:vAlign w:val="center"/>
          </w:tcPr>
          <w:p>
            <w:pPr>
              <w:pStyle w:val="100"/>
              <w:widowControl w:val="0"/>
              <w:bidi w:val="0"/>
              <w:adjustRightInd w:val="0"/>
              <w:snapToGrid w:val="0"/>
            </w:pPr>
            <w:r>
              <w:t>燃煤（吨/年）</w:t>
            </w:r>
          </w:p>
        </w:tc>
        <w:tc>
          <w:tcPr>
            <w:tcW w:w="1666" w:type="dxa"/>
            <w:vAlign w:val="center"/>
          </w:tcPr>
          <w:p>
            <w:pPr>
              <w:pStyle w:val="100"/>
              <w:widowControl w:val="0"/>
              <w:bidi w:val="0"/>
              <w:adjustRightInd w:val="0"/>
              <w:snapToGrid w:val="0"/>
            </w:pPr>
            <w:r>
              <w:t>/</w:t>
            </w:r>
          </w:p>
        </w:tc>
        <w:tc>
          <w:tcPr>
            <w:tcW w:w="2580" w:type="dxa"/>
            <w:vAlign w:val="center"/>
          </w:tcPr>
          <w:p>
            <w:pPr>
              <w:pStyle w:val="100"/>
              <w:widowControl w:val="0"/>
              <w:bidi w:val="0"/>
              <w:adjustRightInd w:val="0"/>
              <w:snapToGrid w:val="0"/>
            </w:pPr>
            <w:r>
              <w:t>其它</w:t>
            </w:r>
          </w:p>
        </w:tc>
        <w:tc>
          <w:tcPr>
            <w:tcW w:w="1826" w:type="dxa"/>
            <w:vAlign w:val="center"/>
          </w:tcPr>
          <w:p>
            <w:pPr>
              <w:pStyle w:val="100"/>
              <w:widowControl w:val="0"/>
              <w:bidi w:val="0"/>
              <w:adjustRightInd w:val="0"/>
              <w:snapToGrid w:val="0"/>
            </w:pPr>
            <w:r>
              <w:t>/</w:t>
            </w:r>
          </w:p>
        </w:tc>
      </w:tr>
    </w:tbl>
    <w:p>
      <w:pPr>
        <w:rPr>
          <w:b/>
          <w:bCs/>
          <w:sz w:val="24"/>
          <w:szCs w:val="21"/>
        </w:rPr>
      </w:pPr>
    </w:p>
    <w:p>
      <w:pPr>
        <w:pStyle w:val="273"/>
        <w:bidi w:val="0"/>
      </w:pPr>
      <w:bookmarkStart w:id="17" w:name="_Toc307515780"/>
      <w:r>
        <w:t>表1-</w:t>
      </w:r>
      <w:r>
        <w:rPr>
          <w:rFonts w:hint="eastAsia"/>
          <w:lang w:val="en-US" w:eastAsia="zh-CN"/>
        </w:rPr>
        <w:t>7</w:t>
      </w:r>
      <w:r>
        <w:t xml:space="preserve">  废水排水量及排水去向一览表</w:t>
      </w:r>
    </w:p>
    <w:tbl>
      <w:tblPr>
        <w:tblStyle w:val="260"/>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59"/>
        <w:gridCol w:w="993"/>
        <w:gridCol w:w="1276"/>
        <w:gridCol w:w="4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34" w:type="dxa"/>
            <w:gridSpan w:val="2"/>
            <w:noWrap/>
            <w:vAlign w:val="center"/>
          </w:tcPr>
          <w:p>
            <w:pPr>
              <w:pStyle w:val="100"/>
              <w:widowControl w:val="0"/>
              <w:bidi w:val="0"/>
              <w:adjustRightInd w:val="0"/>
              <w:snapToGrid w:val="0"/>
            </w:pPr>
            <w:r>
              <w:t>废水</w:t>
            </w:r>
          </w:p>
        </w:tc>
        <w:tc>
          <w:tcPr>
            <w:tcW w:w="993" w:type="dxa"/>
            <w:noWrap/>
            <w:vAlign w:val="center"/>
          </w:tcPr>
          <w:p>
            <w:pPr>
              <w:pStyle w:val="100"/>
              <w:widowControl w:val="0"/>
              <w:bidi w:val="0"/>
              <w:adjustRightInd w:val="0"/>
              <w:snapToGrid w:val="0"/>
            </w:pPr>
            <w:r>
              <w:t>排水量（t/a）</w:t>
            </w:r>
          </w:p>
        </w:tc>
        <w:tc>
          <w:tcPr>
            <w:tcW w:w="1276" w:type="dxa"/>
            <w:noWrap/>
            <w:vAlign w:val="center"/>
          </w:tcPr>
          <w:p>
            <w:pPr>
              <w:pStyle w:val="100"/>
              <w:widowControl w:val="0"/>
              <w:bidi w:val="0"/>
              <w:adjustRightInd w:val="0"/>
              <w:snapToGrid w:val="0"/>
            </w:pPr>
            <w:r>
              <w:t>排放口名称</w:t>
            </w:r>
          </w:p>
        </w:tc>
        <w:tc>
          <w:tcPr>
            <w:tcW w:w="4025" w:type="dxa"/>
            <w:noWrap/>
            <w:vAlign w:val="center"/>
          </w:tcPr>
          <w:p>
            <w:pPr>
              <w:pStyle w:val="100"/>
              <w:widowControl w:val="0"/>
              <w:bidi w:val="0"/>
              <w:adjustRightInd w:val="0"/>
              <w:snapToGrid w:val="0"/>
            </w:pPr>
            <w:r>
              <w:t>排放去向及尾水去向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234" w:type="dxa"/>
            <w:gridSpan w:val="2"/>
            <w:noWrap/>
            <w:vAlign w:val="center"/>
          </w:tcPr>
          <w:p>
            <w:pPr>
              <w:pStyle w:val="100"/>
              <w:widowControl w:val="0"/>
              <w:bidi w:val="0"/>
              <w:adjustRightInd w:val="0"/>
              <w:snapToGrid w:val="0"/>
            </w:pPr>
            <w:r>
              <w:t>生活污水</w:t>
            </w:r>
          </w:p>
        </w:tc>
        <w:tc>
          <w:tcPr>
            <w:tcW w:w="993" w:type="dxa"/>
            <w:noWrap/>
            <w:vAlign w:val="center"/>
          </w:tcPr>
          <w:p>
            <w:pPr>
              <w:pStyle w:val="100"/>
              <w:widowControl w:val="0"/>
              <w:bidi w:val="0"/>
              <w:adjustRightInd w:val="0"/>
              <w:snapToGrid w:val="0"/>
              <w:rPr>
                <w:rFonts w:hint="eastAsia"/>
                <w:lang w:val="en-US" w:eastAsia="zh-CN"/>
              </w:rPr>
            </w:pPr>
            <w:r>
              <w:rPr>
                <w:rFonts w:hint="eastAsia"/>
              </w:rPr>
              <w:t>8</w:t>
            </w:r>
            <w:r>
              <w:rPr>
                <w:rFonts w:hint="eastAsia"/>
                <w:lang w:val="en-US" w:eastAsia="zh-CN"/>
              </w:rPr>
              <w:t>56</w:t>
            </w:r>
            <w:r>
              <w:rPr>
                <w:rFonts w:hint="eastAsia"/>
              </w:rPr>
              <w:t>.</w:t>
            </w:r>
            <w:r>
              <w:rPr>
                <w:rFonts w:hint="eastAsia"/>
                <w:lang w:val="en-US" w:eastAsia="zh-CN"/>
              </w:rPr>
              <w:t>8</w:t>
            </w:r>
          </w:p>
        </w:tc>
        <w:tc>
          <w:tcPr>
            <w:tcW w:w="1276" w:type="dxa"/>
            <w:noWrap/>
            <w:vAlign w:val="center"/>
          </w:tcPr>
          <w:p>
            <w:pPr>
              <w:pStyle w:val="100"/>
              <w:widowControl w:val="0"/>
              <w:bidi w:val="0"/>
              <w:adjustRightInd w:val="0"/>
              <w:snapToGrid w:val="0"/>
            </w:pPr>
            <w:r>
              <w:t>生活污水</w:t>
            </w:r>
            <w:r>
              <w:rPr>
                <w:rFonts w:hint="eastAsia"/>
              </w:rPr>
              <w:t>排放口</w:t>
            </w:r>
          </w:p>
        </w:tc>
        <w:tc>
          <w:tcPr>
            <w:tcW w:w="4025" w:type="dxa"/>
            <w:noWrap/>
            <w:vAlign w:val="center"/>
          </w:tcPr>
          <w:p>
            <w:pPr>
              <w:pStyle w:val="100"/>
              <w:widowControl w:val="0"/>
              <w:bidi w:val="0"/>
              <w:adjustRightInd w:val="0"/>
              <w:snapToGrid w:val="0"/>
            </w:pPr>
            <w:r>
              <w:t>接管至苏州市</w:t>
            </w:r>
            <w:r>
              <w:rPr>
                <w:rFonts w:hint="eastAsia"/>
              </w:rPr>
              <w:t>吴江经济技术开发区运东污水处理厂</w:t>
            </w:r>
            <w:r>
              <w:t>处理，尾水排放至</w:t>
            </w:r>
            <w:r>
              <w:rPr>
                <w:rFonts w:hint="eastAsia"/>
              </w:rPr>
              <w:t>吴淞江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75" w:type="dxa"/>
            <w:vMerge w:val="restart"/>
            <w:noWrap/>
            <w:vAlign w:val="center"/>
          </w:tcPr>
          <w:p>
            <w:pPr>
              <w:pStyle w:val="100"/>
              <w:widowControl w:val="0"/>
              <w:bidi w:val="0"/>
              <w:adjustRightInd w:val="0"/>
              <w:snapToGrid w:val="0"/>
            </w:pPr>
            <w:r>
              <w:t>生产废水</w:t>
            </w:r>
          </w:p>
        </w:tc>
        <w:tc>
          <w:tcPr>
            <w:tcW w:w="1559" w:type="dxa"/>
            <w:vAlign w:val="center"/>
          </w:tcPr>
          <w:p>
            <w:pPr>
              <w:pStyle w:val="100"/>
              <w:widowControl w:val="0"/>
              <w:bidi w:val="0"/>
              <w:adjustRightInd w:val="0"/>
              <w:snapToGrid w:val="0"/>
            </w:pPr>
            <w:r>
              <w:t>工艺废水</w:t>
            </w:r>
          </w:p>
        </w:tc>
        <w:tc>
          <w:tcPr>
            <w:tcW w:w="993" w:type="dxa"/>
            <w:noWrap/>
            <w:vAlign w:val="center"/>
          </w:tcPr>
          <w:p>
            <w:pPr>
              <w:pStyle w:val="100"/>
              <w:widowControl w:val="0"/>
              <w:bidi w:val="0"/>
              <w:adjustRightInd w:val="0"/>
              <w:snapToGrid w:val="0"/>
            </w:pPr>
            <w:r>
              <w:t>0</w:t>
            </w:r>
          </w:p>
        </w:tc>
        <w:tc>
          <w:tcPr>
            <w:tcW w:w="1276" w:type="dxa"/>
            <w:noWrap/>
            <w:vAlign w:val="center"/>
          </w:tcPr>
          <w:p>
            <w:pPr>
              <w:pStyle w:val="100"/>
              <w:widowControl w:val="0"/>
              <w:bidi w:val="0"/>
              <w:adjustRightInd w:val="0"/>
              <w:snapToGrid w:val="0"/>
            </w:pPr>
            <w:r>
              <w:t>/</w:t>
            </w:r>
          </w:p>
        </w:tc>
        <w:tc>
          <w:tcPr>
            <w:tcW w:w="4025" w:type="dxa"/>
            <w:noWrap/>
            <w:vAlign w:val="center"/>
          </w:tcPr>
          <w:p>
            <w:pPr>
              <w:pStyle w:val="100"/>
              <w:widowControl w:val="0"/>
              <w:bidi w:val="0"/>
              <w:adjustRightInd w:val="0"/>
              <w:snapToGrid w:val="0"/>
            </w:pPr>
            <w:r>
              <w:rPr>
                <w:rFonts w:hint="eastAsia"/>
              </w:rPr>
              <w:t>本项目无工艺废水产生。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75" w:type="dxa"/>
            <w:vMerge w:val="continue"/>
            <w:noWrap/>
            <w:vAlign w:val="center"/>
          </w:tcPr>
          <w:p>
            <w:pPr>
              <w:pStyle w:val="100"/>
              <w:widowControl w:val="0"/>
              <w:bidi w:val="0"/>
              <w:adjustRightInd w:val="0"/>
              <w:snapToGrid w:val="0"/>
            </w:pPr>
          </w:p>
        </w:tc>
        <w:tc>
          <w:tcPr>
            <w:tcW w:w="1559" w:type="dxa"/>
            <w:vAlign w:val="center"/>
          </w:tcPr>
          <w:p>
            <w:pPr>
              <w:pStyle w:val="100"/>
              <w:widowControl w:val="0"/>
              <w:bidi w:val="0"/>
              <w:adjustRightInd w:val="0"/>
              <w:snapToGrid w:val="0"/>
            </w:pPr>
            <w:r>
              <w:t>公辅工程废水</w:t>
            </w:r>
          </w:p>
        </w:tc>
        <w:tc>
          <w:tcPr>
            <w:tcW w:w="993" w:type="dxa"/>
            <w:noWrap/>
            <w:vAlign w:val="center"/>
          </w:tcPr>
          <w:p>
            <w:pPr>
              <w:pStyle w:val="100"/>
              <w:widowControl w:val="0"/>
              <w:bidi w:val="0"/>
              <w:adjustRightInd w:val="0"/>
              <w:snapToGrid w:val="0"/>
            </w:pPr>
            <w:r>
              <w:t>0</w:t>
            </w:r>
          </w:p>
        </w:tc>
        <w:tc>
          <w:tcPr>
            <w:tcW w:w="1276" w:type="dxa"/>
            <w:noWrap/>
            <w:vAlign w:val="center"/>
          </w:tcPr>
          <w:p>
            <w:pPr>
              <w:pStyle w:val="100"/>
              <w:widowControl w:val="0"/>
              <w:bidi w:val="0"/>
              <w:adjustRightInd w:val="0"/>
              <w:snapToGrid w:val="0"/>
            </w:pPr>
            <w:r>
              <w:t>/</w:t>
            </w:r>
          </w:p>
        </w:tc>
        <w:tc>
          <w:tcPr>
            <w:tcW w:w="4025" w:type="dxa"/>
            <w:noWrap/>
            <w:vAlign w:val="center"/>
          </w:tcPr>
          <w:p>
            <w:pPr>
              <w:pStyle w:val="100"/>
              <w:widowControl w:val="0"/>
              <w:bidi w:val="0"/>
              <w:adjustRightInd w:val="0"/>
              <w:snapToGrid w:val="0"/>
            </w:pPr>
            <w:r>
              <w:rPr>
                <w:rFonts w:hint="eastAsia"/>
              </w:rPr>
              <w:t>/</w:t>
            </w:r>
          </w:p>
        </w:tc>
      </w:tr>
    </w:tbl>
    <w:p>
      <w:pPr>
        <w:rPr>
          <w:b/>
          <w:bCs/>
          <w:sz w:val="24"/>
          <w:szCs w:val="21"/>
        </w:rPr>
      </w:pPr>
      <w:r>
        <w:rPr>
          <w:b/>
          <w:bCs/>
          <w:sz w:val="24"/>
          <w:szCs w:val="21"/>
        </w:rPr>
        <w:t>放射性同位素和伴有电磁辐射的设施的使用情况</w:t>
      </w:r>
      <w:bookmarkEnd w:id="17"/>
    </w:p>
    <w:p>
      <w:pPr>
        <w:pStyle w:val="103"/>
        <w:bidi w:val="0"/>
      </w:pPr>
      <w:r>
        <w:t>无</w:t>
      </w:r>
    </w:p>
    <w:p>
      <w:pPr>
        <w:pStyle w:val="102"/>
        <w:numPr>
          <w:ilvl w:val="0"/>
          <w:numId w:val="18"/>
        </w:numPr>
        <w:tabs>
          <w:tab w:val="clear" w:pos="720"/>
        </w:tabs>
        <w:ind w:leftChars="0"/>
      </w:pPr>
      <w:bookmarkStart w:id="18" w:name="_Toc1714"/>
      <w:r>
        <w:rPr>
          <w:rFonts w:hint="eastAsia"/>
          <w:lang w:val="en-US" w:eastAsia="zh-CN"/>
        </w:rPr>
        <w:t xml:space="preserve"> </w:t>
      </w:r>
      <w:r>
        <w:rPr>
          <w:rFonts w:hint="eastAsia"/>
        </w:rPr>
        <w:t>建设项目基本情况</w:t>
      </w:r>
      <w:bookmarkEnd w:id="18"/>
    </w:p>
    <w:p>
      <w:pPr>
        <w:pStyle w:val="102"/>
      </w:pPr>
      <w:bookmarkStart w:id="19" w:name="_Toc307515781"/>
      <w:r>
        <w:t>工程内容及规模</w:t>
      </w:r>
      <w:bookmarkEnd w:id="19"/>
    </w:p>
    <w:p>
      <w:pPr>
        <w:pStyle w:val="104"/>
      </w:pPr>
      <w:r>
        <w:rPr>
          <w:rFonts w:hint="eastAsia"/>
        </w:rPr>
        <w:t>项目由来</w:t>
      </w:r>
    </w:p>
    <w:p>
      <w:pPr>
        <w:pStyle w:val="103"/>
        <w:bidi w:val="0"/>
        <w:rPr>
          <w:rFonts w:hint="eastAsia"/>
          <w:lang w:val="en-US" w:eastAsia="zh-CN"/>
        </w:rPr>
      </w:pPr>
      <w:r>
        <w:rPr>
          <w:rFonts w:hint="eastAsia"/>
          <w:lang w:val="en-US" w:eastAsia="zh-CN"/>
        </w:rPr>
        <w:t>吴江高利橡塑制品有限公司（以下简称建设单位）原厂区位于吴江区柳胥路359号，是一家主要从事薄膜以及电脑键盘开关按键研发、生产、销售的企业。</w:t>
      </w:r>
    </w:p>
    <w:p>
      <w:pPr>
        <w:pStyle w:val="103"/>
        <w:bidi w:val="0"/>
        <w:rPr>
          <w:rFonts w:hint="default"/>
          <w:lang w:val="en-US" w:eastAsia="zh-CN"/>
        </w:rPr>
      </w:pPr>
      <w:r>
        <w:rPr>
          <w:rFonts w:hint="eastAsia"/>
          <w:lang w:val="en-US" w:eastAsia="zh-CN"/>
        </w:rPr>
        <w:t>现由于原有租赁厂房面积较小无法满足现有生产和研发，装修线路老旧又涉及拆迁，内外环境均无法满足新产品生产工艺，建设单位决定公司整体搬迁。拟增资1450万元，搬迁至江苏省苏州市吴江经济技术开发区吉市东路217号，主要搬迁打孔机、冲床等设备28台（套），新增国产印刷机、空压机等设备22台（套），不新增变压器，并对共用工程进行适应性改造。项目已取得吴江经济技术开发区管理委员会备案文件（项目文号：吴开审备〔2020〕193号；项目代码：2020-320509-21-03-625289）。项目完成后，可形成年产薄膜5000万片、电脑键盘开关按键4000万个生产能力。</w:t>
      </w:r>
    </w:p>
    <w:p>
      <w:pPr>
        <w:pStyle w:val="103"/>
        <w:bidi w:val="0"/>
        <w:rPr>
          <w:rFonts w:hint="eastAsia"/>
          <w:lang w:val="en-US" w:eastAsia="zh-CN"/>
        </w:rPr>
      </w:pPr>
      <w:r>
        <w:rPr>
          <w:rFonts w:hint="eastAsia"/>
          <w:lang w:val="en-US" w:eastAsia="zh-CN"/>
        </w:rPr>
        <w:t>根据《中华人民共和国环境保护法》、《建设项目环境保护管理条例》有关规定，吴江高利橡塑制品有限公司年产薄膜5000万片、电脑键盘开关按键4000万个项目在吴江经济技术开发区管理委员会取得了备案（见附件1），对照《国民经济行业分类》（GB/T4754-2017），项目属于C3985电子专用材料制造，依据《建设项目环境影响评价分类管理名录》（部令第44号）及《关于修改&lt;建设项目环境影响评价分类管理名录&gt;部分内容的决定》（生态环境部令第1号）中“二十八、计算机、通信和其他电子设备制造业83、电子元件及电子专用材料制造”，应该编制环境影响报告表，受吴江高利橡塑制品有限公司委托，我公司（苏州科晓环境科技有限公司）承担本项目的环境影响评价工作。在现场踏勘、资料收集和同类企业类比调查研究的基础上，我公司编制该项目的环境影响评价报告表，报请环保主管部门审查、审批，以期为项目实施和管理提供依据。</w:t>
      </w:r>
    </w:p>
    <w:p>
      <w:pPr>
        <w:pStyle w:val="104"/>
      </w:pPr>
      <w:r>
        <w:rPr>
          <w:rFonts w:hint="eastAsia"/>
        </w:rPr>
        <w:t>项目主体工程及产品方案</w:t>
      </w:r>
    </w:p>
    <w:p>
      <w:pPr>
        <w:pStyle w:val="103"/>
        <w:bidi w:val="0"/>
      </w:pPr>
      <w:r>
        <w:rPr>
          <w:rFonts w:hint="eastAsia"/>
        </w:rPr>
        <w:t>项目名称：2020-320543-39-03-673335公司整体搬迁改造项目；</w:t>
      </w:r>
    </w:p>
    <w:p>
      <w:pPr>
        <w:pStyle w:val="103"/>
        <w:bidi w:val="0"/>
      </w:pPr>
      <w:r>
        <w:rPr>
          <w:rFonts w:hint="eastAsia"/>
        </w:rPr>
        <w:t>建设单位：吴江高利橡塑制品有限公司；</w:t>
      </w:r>
    </w:p>
    <w:p>
      <w:pPr>
        <w:pStyle w:val="103"/>
        <w:bidi w:val="0"/>
      </w:pPr>
      <w:r>
        <w:rPr>
          <w:rFonts w:hint="eastAsia"/>
        </w:rPr>
        <w:t>建设地点：吴江经济技术开发区吉市东路217号；</w:t>
      </w:r>
    </w:p>
    <w:p>
      <w:pPr>
        <w:pStyle w:val="103"/>
        <w:bidi w:val="0"/>
      </w:pPr>
      <w:r>
        <w:rPr>
          <w:rFonts w:hint="eastAsia"/>
        </w:rPr>
        <w:t>建设性质：</w:t>
      </w:r>
      <w:r>
        <w:rPr>
          <w:rFonts w:hint="eastAsia"/>
          <w:lang w:val="en-US" w:eastAsia="zh-CN"/>
        </w:rPr>
        <w:t>搬迁</w:t>
      </w:r>
      <w:r>
        <w:rPr>
          <w:rFonts w:hint="eastAsia"/>
        </w:rPr>
        <w:t>；</w:t>
      </w:r>
    </w:p>
    <w:p>
      <w:pPr>
        <w:pStyle w:val="103"/>
        <w:bidi w:val="0"/>
      </w:pPr>
      <w:r>
        <w:rPr>
          <w:rFonts w:hint="eastAsia"/>
        </w:rPr>
        <w:t>占地面积：2938平方米；</w:t>
      </w:r>
    </w:p>
    <w:p>
      <w:pPr>
        <w:pStyle w:val="103"/>
        <w:bidi w:val="0"/>
      </w:pPr>
      <w:r>
        <w:rPr>
          <w:rFonts w:hint="eastAsia"/>
        </w:rPr>
        <w:t>投资总额：项目总投资1450万元，其中环保投资22.8万元；</w:t>
      </w:r>
    </w:p>
    <w:p>
      <w:pPr>
        <w:pStyle w:val="103"/>
        <w:bidi w:val="0"/>
      </w:pPr>
      <w:r>
        <w:rPr>
          <w:rFonts w:hint="eastAsia"/>
        </w:rPr>
        <w:t>项目定员及工作班制：本项目职工28人，实行10小时两班制，年工作300天，年工作时数</w:t>
      </w:r>
      <w:r>
        <w:rPr>
          <w:rFonts w:hint="eastAsia"/>
          <w:lang w:val="en-US" w:eastAsia="zh-CN"/>
        </w:rPr>
        <w:t>6</w:t>
      </w:r>
      <w:r>
        <w:rPr>
          <w:rFonts w:hint="eastAsia"/>
        </w:rPr>
        <w:t>000小时，厂区不设食堂，</w:t>
      </w:r>
      <w:r>
        <w:rPr>
          <w:rFonts w:hint="eastAsia"/>
          <w:lang w:val="en-US" w:eastAsia="zh-CN"/>
        </w:rPr>
        <w:t>设置两间员工</w:t>
      </w:r>
      <w:r>
        <w:rPr>
          <w:rFonts w:hint="eastAsia"/>
        </w:rPr>
        <w:t>宿舍；</w:t>
      </w:r>
    </w:p>
    <w:p>
      <w:pPr>
        <w:pStyle w:val="103"/>
        <w:bidi w:val="0"/>
      </w:pPr>
      <w:r>
        <w:rPr>
          <w:rFonts w:hint="eastAsia"/>
        </w:rPr>
        <w:t>本项目主体工程及产品方案详见1-</w:t>
      </w:r>
      <w:r>
        <w:rPr>
          <w:rFonts w:hint="eastAsia"/>
          <w:lang w:val="en-US" w:eastAsia="zh-CN"/>
        </w:rPr>
        <w:t>8</w:t>
      </w:r>
      <w:r>
        <w:rPr>
          <w:rFonts w:hint="eastAsia"/>
        </w:rPr>
        <w:t>。</w:t>
      </w:r>
    </w:p>
    <w:p>
      <w:pPr>
        <w:pStyle w:val="273"/>
        <w:bidi w:val="0"/>
      </w:pPr>
      <w:r>
        <w:t>表1-</w:t>
      </w:r>
      <w:r>
        <w:rPr>
          <w:rFonts w:hint="eastAsia"/>
          <w:lang w:val="en-US" w:eastAsia="zh-CN"/>
        </w:rPr>
        <w:t>8</w:t>
      </w:r>
      <w:r>
        <w:t xml:space="preserve">  </w:t>
      </w:r>
      <w:r>
        <w:rPr>
          <w:rFonts w:hint="eastAsia"/>
          <w:lang w:val="en-US" w:eastAsia="zh-CN"/>
        </w:rPr>
        <w:t>本</w:t>
      </w:r>
      <w:r>
        <w:t>项目产品方案及生产规模一览表</w:t>
      </w:r>
    </w:p>
    <w:tbl>
      <w:tblPr>
        <w:tblStyle w:val="260"/>
        <w:tblW w:w="83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8"/>
        <w:gridCol w:w="2353"/>
        <w:gridCol w:w="1998"/>
        <w:gridCol w:w="1785"/>
        <w:gridCol w:w="1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98" w:type="dxa"/>
            <w:vAlign w:val="center"/>
          </w:tcPr>
          <w:p>
            <w:pPr>
              <w:pStyle w:val="100"/>
              <w:widowControl w:val="0"/>
              <w:bidi w:val="0"/>
              <w:adjustRightInd w:val="0"/>
              <w:snapToGrid w:val="0"/>
            </w:pPr>
            <w:r>
              <w:t>序号</w:t>
            </w:r>
          </w:p>
        </w:tc>
        <w:tc>
          <w:tcPr>
            <w:tcW w:w="2353" w:type="dxa"/>
            <w:vAlign w:val="center"/>
          </w:tcPr>
          <w:p>
            <w:pPr>
              <w:pStyle w:val="100"/>
              <w:widowControl w:val="0"/>
              <w:bidi w:val="0"/>
              <w:adjustRightInd w:val="0"/>
              <w:snapToGrid w:val="0"/>
            </w:pPr>
            <w:r>
              <w:t>工程名称</w:t>
            </w:r>
            <w:r>
              <w:rPr>
                <w:rFonts w:hint="eastAsia"/>
              </w:rPr>
              <w:t>（车间、生产装置或生产线）</w:t>
            </w:r>
          </w:p>
        </w:tc>
        <w:tc>
          <w:tcPr>
            <w:tcW w:w="1998" w:type="dxa"/>
            <w:vAlign w:val="center"/>
          </w:tcPr>
          <w:p>
            <w:pPr>
              <w:pStyle w:val="100"/>
              <w:widowControl w:val="0"/>
              <w:bidi w:val="0"/>
              <w:adjustRightInd w:val="0"/>
              <w:snapToGrid w:val="0"/>
            </w:pPr>
            <w:r>
              <w:t>产品名称及规格</w:t>
            </w:r>
          </w:p>
        </w:tc>
        <w:tc>
          <w:tcPr>
            <w:tcW w:w="1785" w:type="dxa"/>
            <w:vAlign w:val="center"/>
          </w:tcPr>
          <w:p>
            <w:pPr>
              <w:pStyle w:val="100"/>
              <w:widowControl w:val="0"/>
              <w:bidi w:val="0"/>
              <w:adjustRightInd w:val="0"/>
              <w:snapToGrid w:val="0"/>
            </w:pPr>
            <w:r>
              <w:t>年设计能力</w:t>
            </w:r>
          </w:p>
        </w:tc>
        <w:tc>
          <w:tcPr>
            <w:tcW w:w="1628" w:type="dxa"/>
            <w:vAlign w:val="center"/>
          </w:tcPr>
          <w:p>
            <w:pPr>
              <w:pStyle w:val="100"/>
              <w:widowControl w:val="0"/>
              <w:bidi w:val="0"/>
              <w:adjustRightInd w:val="0"/>
              <w:snapToGrid w:val="0"/>
            </w:pPr>
            <w:r>
              <w:t>年运行时数</w:t>
            </w:r>
            <w:r>
              <w:rPr>
                <w:rFonts w:hint="eastAsia"/>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98" w:type="dxa"/>
            <w:vAlign w:val="center"/>
          </w:tcPr>
          <w:p>
            <w:pPr>
              <w:pStyle w:val="100"/>
              <w:widowControl w:val="0"/>
              <w:bidi w:val="0"/>
              <w:adjustRightInd w:val="0"/>
              <w:snapToGrid w:val="0"/>
            </w:pPr>
            <w:r>
              <w:t>1</w:t>
            </w:r>
          </w:p>
        </w:tc>
        <w:tc>
          <w:tcPr>
            <w:tcW w:w="2353" w:type="dxa"/>
            <w:vAlign w:val="center"/>
          </w:tcPr>
          <w:p>
            <w:pPr>
              <w:pStyle w:val="100"/>
              <w:widowControl w:val="0"/>
              <w:bidi w:val="0"/>
              <w:adjustRightInd w:val="0"/>
              <w:snapToGrid w:val="0"/>
            </w:pPr>
            <w:r>
              <w:rPr>
                <w:rFonts w:hint="eastAsia"/>
              </w:rPr>
              <w:t>电脑键盘开关按键生产线</w:t>
            </w:r>
          </w:p>
        </w:tc>
        <w:tc>
          <w:tcPr>
            <w:tcW w:w="1998" w:type="dxa"/>
            <w:vAlign w:val="center"/>
          </w:tcPr>
          <w:p>
            <w:pPr>
              <w:pStyle w:val="100"/>
              <w:widowControl w:val="0"/>
              <w:bidi w:val="0"/>
              <w:adjustRightInd w:val="0"/>
              <w:snapToGrid w:val="0"/>
            </w:pPr>
            <w:r>
              <w:rPr>
                <w:rFonts w:hint="eastAsia"/>
              </w:rPr>
              <w:t>电脑键盘开关按键</w:t>
            </w:r>
          </w:p>
        </w:tc>
        <w:tc>
          <w:tcPr>
            <w:tcW w:w="1785" w:type="dxa"/>
            <w:vAlign w:val="center"/>
          </w:tcPr>
          <w:p>
            <w:pPr>
              <w:pStyle w:val="100"/>
              <w:widowControl w:val="0"/>
              <w:bidi w:val="0"/>
              <w:adjustRightInd w:val="0"/>
              <w:snapToGrid w:val="0"/>
            </w:pPr>
            <w:r>
              <w:rPr>
                <w:rFonts w:hint="eastAsia"/>
              </w:rPr>
              <w:t>4000万个/年</w:t>
            </w:r>
          </w:p>
        </w:tc>
        <w:tc>
          <w:tcPr>
            <w:tcW w:w="1628" w:type="dxa"/>
            <w:vAlign w:val="center"/>
          </w:tcPr>
          <w:p>
            <w:pPr>
              <w:pStyle w:val="100"/>
              <w:widowControl w:val="0"/>
              <w:bidi w:val="0"/>
              <w:adjustRightInd w:val="0"/>
              <w:snapToGrid w:val="0"/>
            </w:pPr>
            <w:r>
              <w:rPr>
                <w:rFonts w:hint="eastAsia"/>
                <w:lang w:val="en-US" w:eastAsia="zh-CN"/>
              </w:rPr>
              <w:t>6</w:t>
            </w:r>
            <w:r>
              <w:rPr>
                <w:rFonts w:hint="eastAsi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98" w:type="dxa"/>
            <w:vAlign w:val="center"/>
          </w:tcPr>
          <w:p>
            <w:pPr>
              <w:pStyle w:val="100"/>
              <w:widowControl w:val="0"/>
              <w:bidi w:val="0"/>
              <w:adjustRightInd w:val="0"/>
              <w:snapToGrid w:val="0"/>
            </w:pPr>
            <w:r>
              <w:rPr>
                <w:rFonts w:hint="eastAsia"/>
              </w:rPr>
              <w:t>2</w:t>
            </w:r>
          </w:p>
        </w:tc>
        <w:tc>
          <w:tcPr>
            <w:tcW w:w="2353" w:type="dxa"/>
            <w:vAlign w:val="center"/>
          </w:tcPr>
          <w:p>
            <w:pPr>
              <w:pStyle w:val="100"/>
              <w:widowControl w:val="0"/>
              <w:bidi w:val="0"/>
              <w:adjustRightInd w:val="0"/>
              <w:snapToGrid w:val="0"/>
            </w:pPr>
            <w:r>
              <w:rPr>
                <w:rFonts w:hint="eastAsia"/>
              </w:rPr>
              <w:t>薄膜生产线</w:t>
            </w:r>
          </w:p>
        </w:tc>
        <w:tc>
          <w:tcPr>
            <w:tcW w:w="1998" w:type="dxa"/>
            <w:vAlign w:val="center"/>
          </w:tcPr>
          <w:p>
            <w:pPr>
              <w:pStyle w:val="100"/>
              <w:widowControl w:val="0"/>
              <w:bidi w:val="0"/>
              <w:adjustRightInd w:val="0"/>
              <w:snapToGrid w:val="0"/>
            </w:pPr>
            <w:r>
              <w:rPr>
                <w:rFonts w:hint="eastAsia"/>
              </w:rPr>
              <w:t>薄膜</w:t>
            </w:r>
          </w:p>
        </w:tc>
        <w:tc>
          <w:tcPr>
            <w:tcW w:w="1785" w:type="dxa"/>
            <w:vAlign w:val="center"/>
          </w:tcPr>
          <w:p>
            <w:pPr>
              <w:pStyle w:val="100"/>
              <w:widowControl w:val="0"/>
              <w:bidi w:val="0"/>
              <w:adjustRightInd w:val="0"/>
              <w:snapToGrid w:val="0"/>
            </w:pPr>
            <w:r>
              <w:rPr>
                <w:rFonts w:hint="eastAsia"/>
              </w:rPr>
              <w:t>5000</w:t>
            </w:r>
            <w:r>
              <w:t>万</w:t>
            </w:r>
            <w:r>
              <w:rPr>
                <w:rFonts w:hint="eastAsia"/>
              </w:rPr>
              <w:t>片</w:t>
            </w:r>
            <w:r>
              <w:t>/年</w:t>
            </w:r>
          </w:p>
        </w:tc>
        <w:tc>
          <w:tcPr>
            <w:tcW w:w="1628" w:type="dxa"/>
            <w:vAlign w:val="center"/>
          </w:tcPr>
          <w:p>
            <w:pPr>
              <w:pStyle w:val="100"/>
              <w:widowControl w:val="0"/>
              <w:bidi w:val="0"/>
              <w:adjustRightInd w:val="0"/>
              <w:snapToGrid w:val="0"/>
            </w:pPr>
            <w:r>
              <w:rPr>
                <w:rFonts w:hint="eastAsia"/>
                <w:lang w:val="en-US" w:eastAsia="zh-CN"/>
              </w:rPr>
              <w:t>6</w:t>
            </w:r>
            <w:r>
              <w:rPr>
                <w:rFonts w:hint="eastAsia"/>
              </w:rPr>
              <w:t>000</w:t>
            </w:r>
          </w:p>
        </w:tc>
      </w:tr>
    </w:tbl>
    <w:p>
      <w:pPr>
        <w:pStyle w:val="273"/>
        <w:bidi w:val="0"/>
      </w:pPr>
      <w:r>
        <w:t>表1-</w:t>
      </w:r>
      <w:r>
        <w:rPr>
          <w:rFonts w:hint="eastAsia"/>
          <w:lang w:val="en-US" w:eastAsia="zh-CN"/>
        </w:rPr>
        <w:t>9</w:t>
      </w:r>
      <w:r>
        <w:t xml:space="preserve">  </w:t>
      </w:r>
      <w:r>
        <w:rPr>
          <w:rFonts w:hint="eastAsia"/>
          <w:lang w:val="en-US" w:eastAsia="zh-CN"/>
        </w:rPr>
        <w:t>原有</w:t>
      </w:r>
      <w:r>
        <w:t>项目产品方案及生产规模一览表</w:t>
      </w:r>
    </w:p>
    <w:tbl>
      <w:tblPr>
        <w:tblStyle w:val="260"/>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95"/>
        <w:gridCol w:w="2191"/>
        <w:gridCol w:w="1131"/>
        <w:gridCol w:w="1189"/>
        <w:gridCol w:w="854"/>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77" w:type="dxa"/>
            <w:vMerge w:val="restart"/>
            <w:vAlign w:val="center"/>
          </w:tcPr>
          <w:p>
            <w:pPr>
              <w:pStyle w:val="100"/>
              <w:widowControl w:val="0"/>
              <w:bidi w:val="0"/>
              <w:adjustRightInd w:val="0"/>
              <w:snapToGrid w:val="0"/>
            </w:pPr>
            <w:bookmarkStart w:id="20" w:name="_Hlk8636530"/>
            <w:r>
              <w:t>序号</w:t>
            </w:r>
          </w:p>
        </w:tc>
        <w:tc>
          <w:tcPr>
            <w:tcW w:w="1495" w:type="dxa"/>
            <w:vMerge w:val="restart"/>
            <w:vAlign w:val="center"/>
          </w:tcPr>
          <w:p>
            <w:pPr>
              <w:pStyle w:val="100"/>
              <w:widowControl w:val="0"/>
              <w:bidi w:val="0"/>
              <w:adjustRightInd w:val="0"/>
              <w:snapToGrid w:val="0"/>
            </w:pPr>
            <w:r>
              <w:t>工程名称</w:t>
            </w:r>
            <w:r>
              <w:rPr>
                <w:rFonts w:hint="eastAsia"/>
              </w:rPr>
              <w:t>（车间、生产装置或生产线）</w:t>
            </w:r>
          </w:p>
        </w:tc>
        <w:tc>
          <w:tcPr>
            <w:tcW w:w="2191" w:type="dxa"/>
            <w:vMerge w:val="restart"/>
            <w:vAlign w:val="center"/>
          </w:tcPr>
          <w:p>
            <w:pPr>
              <w:pStyle w:val="100"/>
              <w:widowControl w:val="0"/>
              <w:bidi w:val="0"/>
              <w:adjustRightInd w:val="0"/>
              <w:snapToGrid w:val="0"/>
            </w:pPr>
            <w:r>
              <w:t>产品名称及规格</w:t>
            </w:r>
          </w:p>
        </w:tc>
        <w:tc>
          <w:tcPr>
            <w:tcW w:w="3174" w:type="dxa"/>
            <w:gridSpan w:val="3"/>
            <w:vAlign w:val="center"/>
          </w:tcPr>
          <w:p>
            <w:pPr>
              <w:pStyle w:val="100"/>
              <w:widowControl w:val="0"/>
              <w:bidi w:val="0"/>
              <w:adjustRightInd w:val="0"/>
              <w:snapToGrid w:val="0"/>
            </w:pPr>
            <w:r>
              <w:rPr>
                <w:rFonts w:hint="eastAsia"/>
              </w:rPr>
              <w:t>年</w:t>
            </w:r>
            <w:r>
              <w:t>设计能力</w:t>
            </w:r>
          </w:p>
        </w:tc>
        <w:tc>
          <w:tcPr>
            <w:tcW w:w="941" w:type="dxa"/>
            <w:vMerge w:val="restart"/>
            <w:vAlign w:val="center"/>
          </w:tcPr>
          <w:p>
            <w:pPr>
              <w:pStyle w:val="100"/>
              <w:widowControl w:val="0"/>
              <w:bidi w:val="0"/>
              <w:adjustRightInd w:val="0"/>
              <w:snapToGrid w:val="0"/>
            </w:pPr>
            <w:r>
              <w:t>年运行时数</w:t>
            </w:r>
            <w:r>
              <w:rPr>
                <w:rFonts w:hint="eastAsia"/>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77" w:type="dxa"/>
            <w:vMerge w:val="continue"/>
            <w:vAlign w:val="center"/>
          </w:tcPr>
          <w:p>
            <w:pPr>
              <w:pStyle w:val="100"/>
              <w:widowControl w:val="0"/>
              <w:bidi w:val="0"/>
              <w:adjustRightInd w:val="0"/>
              <w:snapToGrid w:val="0"/>
            </w:pPr>
          </w:p>
        </w:tc>
        <w:tc>
          <w:tcPr>
            <w:tcW w:w="1495" w:type="dxa"/>
            <w:vMerge w:val="continue"/>
            <w:vAlign w:val="center"/>
          </w:tcPr>
          <w:p>
            <w:pPr>
              <w:pStyle w:val="100"/>
              <w:widowControl w:val="0"/>
              <w:bidi w:val="0"/>
              <w:adjustRightInd w:val="0"/>
              <w:snapToGrid w:val="0"/>
            </w:pPr>
          </w:p>
        </w:tc>
        <w:tc>
          <w:tcPr>
            <w:tcW w:w="2191" w:type="dxa"/>
            <w:vMerge w:val="continue"/>
            <w:vAlign w:val="center"/>
          </w:tcPr>
          <w:p>
            <w:pPr>
              <w:pStyle w:val="100"/>
              <w:widowControl w:val="0"/>
              <w:bidi w:val="0"/>
              <w:adjustRightInd w:val="0"/>
              <w:snapToGrid w:val="0"/>
            </w:pPr>
          </w:p>
        </w:tc>
        <w:tc>
          <w:tcPr>
            <w:tcW w:w="1131" w:type="dxa"/>
            <w:vAlign w:val="center"/>
          </w:tcPr>
          <w:p>
            <w:pPr>
              <w:pStyle w:val="100"/>
              <w:widowControl w:val="0"/>
              <w:bidi w:val="0"/>
              <w:adjustRightInd w:val="0"/>
              <w:snapToGrid w:val="0"/>
            </w:pPr>
            <w:r>
              <w:rPr>
                <w:rFonts w:hint="eastAsia"/>
                <w:lang w:val="en-US" w:eastAsia="zh-CN"/>
              </w:rPr>
              <w:t>搬迁</w:t>
            </w:r>
            <w:r>
              <w:rPr>
                <w:rFonts w:hint="eastAsia"/>
              </w:rPr>
              <w:t>前</w:t>
            </w:r>
          </w:p>
        </w:tc>
        <w:tc>
          <w:tcPr>
            <w:tcW w:w="1189" w:type="dxa"/>
            <w:vAlign w:val="center"/>
          </w:tcPr>
          <w:p>
            <w:pPr>
              <w:pStyle w:val="100"/>
              <w:widowControl w:val="0"/>
              <w:bidi w:val="0"/>
              <w:adjustRightInd w:val="0"/>
              <w:snapToGrid w:val="0"/>
            </w:pPr>
            <w:r>
              <w:rPr>
                <w:rFonts w:hint="eastAsia"/>
                <w:lang w:val="en-US" w:eastAsia="zh-CN"/>
              </w:rPr>
              <w:t>搬迁</w:t>
            </w:r>
            <w:r>
              <w:rPr>
                <w:rFonts w:hint="eastAsia"/>
              </w:rPr>
              <w:t>后</w:t>
            </w:r>
          </w:p>
        </w:tc>
        <w:tc>
          <w:tcPr>
            <w:tcW w:w="854" w:type="dxa"/>
            <w:vAlign w:val="center"/>
          </w:tcPr>
          <w:p>
            <w:pPr>
              <w:pStyle w:val="100"/>
              <w:widowControl w:val="0"/>
              <w:bidi w:val="0"/>
              <w:adjustRightInd w:val="0"/>
              <w:snapToGrid w:val="0"/>
            </w:pPr>
            <w:r>
              <w:rPr>
                <w:rFonts w:hint="eastAsia"/>
              </w:rPr>
              <w:t>变化量</w:t>
            </w:r>
          </w:p>
        </w:tc>
        <w:tc>
          <w:tcPr>
            <w:tcW w:w="941"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77" w:type="dxa"/>
            <w:vAlign w:val="center"/>
          </w:tcPr>
          <w:p>
            <w:pPr>
              <w:pStyle w:val="100"/>
              <w:widowControl w:val="0"/>
              <w:bidi w:val="0"/>
              <w:adjustRightInd w:val="0"/>
              <w:snapToGrid w:val="0"/>
            </w:pPr>
            <w:r>
              <w:rPr>
                <w:rFonts w:hint="eastAsia"/>
              </w:rPr>
              <w:t>1</w:t>
            </w:r>
          </w:p>
        </w:tc>
        <w:tc>
          <w:tcPr>
            <w:tcW w:w="1495" w:type="dxa"/>
            <w:vAlign w:val="center"/>
          </w:tcPr>
          <w:p>
            <w:pPr>
              <w:pStyle w:val="100"/>
              <w:widowControl w:val="0"/>
              <w:bidi w:val="0"/>
              <w:adjustRightInd w:val="0"/>
              <w:snapToGrid w:val="0"/>
            </w:pPr>
            <w:r>
              <w:rPr>
                <w:rFonts w:hint="eastAsia"/>
              </w:rPr>
              <w:t>电脑键盘开关按键生产线</w:t>
            </w:r>
          </w:p>
        </w:tc>
        <w:tc>
          <w:tcPr>
            <w:tcW w:w="2191" w:type="dxa"/>
            <w:vAlign w:val="center"/>
          </w:tcPr>
          <w:p>
            <w:pPr>
              <w:pStyle w:val="100"/>
              <w:widowControl w:val="0"/>
              <w:bidi w:val="0"/>
              <w:adjustRightInd w:val="0"/>
              <w:snapToGrid w:val="0"/>
            </w:pPr>
            <w:r>
              <w:rPr>
                <w:rFonts w:hint="eastAsia"/>
              </w:rPr>
              <w:t>电脑键盘开关按键</w:t>
            </w:r>
          </w:p>
        </w:tc>
        <w:tc>
          <w:tcPr>
            <w:tcW w:w="1131" w:type="dxa"/>
            <w:vAlign w:val="center"/>
          </w:tcPr>
          <w:p>
            <w:pPr>
              <w:pStyle w:val="100"/>
              <w:widowControl w:val="0"/>
              <w:bidi w:val="0"/>
              <w:adjustRightInd w:val="0"/>
              <w:snapToGrid w:val="0"/>
              <w:rPr>
                <w:rFonts w:hint="eastAsia"/>
                <w:lang w:eastAsia="zh-CN"/>
              </w:rPr>
            </w:pPr>
            <w:r>
              <w:rPr>
                <w:rFonts w:hint="eastAsia"/>
              </w:rPr>
              <w:t>2700万个</w:t>
            </w:r>
            <w:r>
              <w:t>/年</w:t>
            </w:r>
            <w:r>
              <w:rPr>
                <w:rFonts w:hint="eastAsia"/>
                <w:lang w:eastAsia="zh-CN"/>
              </w:rPr>
              <w:t>（</w:t>
            </w:r>
            <w:r>
              <w:rPr>
                <w:rFonts w:hint="eastAsia"/>
                <w:lang w:val="en-US" w:eastAsia="zh-CN"/>
              </w:rPr>
              <w:t>未印刷</w:t>
            </w:r>
            <w:r>
              <w:rPr>
                <w:rFonts w:hint="eastAsia"/>
                <w:lang w:eastAsia="zh-CN"/>
              </w:rPr>
              <w:t>）</w:t>
            </w:r>
          </w:p>
        </w:tc>
        <w:tc>
          <w:tcPr>
            <w:tcW w:w="1189" w:type="dxa"/>
            <w:vAlign w:val="center"/>
          </w:tcPr>
          <w:p>
            <w:pPr>
              <w:pStyle w:val="100"/>
              <w:widowControl w:val="0"/>
              <w:bidi w:val="0"/>
              <w:adjustRightInd w:val="0"/>
              <w:snapToGrid w:val="0"/>
            </w:pPr>
            <w:r>
              <w:rPr>
                <w:rFonts w:hint="eastAsia"/>
              </w:rPr>
              <w:t>4000</w:t>
            </w:r>
            <w:r>
              <w:t>万</w:t>
            </w:r>
            <w:r>
              <w:rPr>
                <w:rFonts w:hint="eastAsia"/>
              </w:rPr>
              <w:t>个</w:t>
            </w:r>
            <w:r>
              <w:t>/年</w:t>
            </w:r>
          </w:p>
        </w:tc>
        <w:tc>
          <w:tcPr>
            <w:tcW w:w="854" w:type="dxa"/>
            <w:vAlign w:val="center"/>
          </w:tcPr>
          <w:p>
            <w:pPr>
              <w:pStyle w:val="100"/>
              <w:widowControl w:val="0"/>
              <w:bidi w:val="0"/>
              <w:adjustRightInd w:val="0"/>
              <w:snapToGrid w:val="0"/>
            </w:pPr>
            <w:r>
              <w:rPr>
                <w:rFonts w:hint="eastAsia"/>
              </w:rPr>
              <w:t>+1300万个/年</w:t>
            </w:r>
          </w:p>
        </w:tc>
        <w:tc>
          <w:tcPr>
            <w:tcW w:w="941" w:type="dxa"/>
            <w:vAlign w:val="center"/>
          </w:tcPr>
          <w:p>
            <w:pPr>
              <w:pStyle w:val="100"/>
              <w:widowControl w:val="0"/>
              <w:bidi w:val="0"/>
              <w:adjustRightInd w:val="0"/>
              <w:snapToGrid w:val="0"/>
            </w:pPr>
            <w:r>
              <w:rPr>
                <w:rFonts w:hint="eastAsia"/>
                <w:lang w:val="en-US" w:eastAsia="zh-CN"/>
              </w:rPr>
              <w:t>6</w:t>
            </w:r>
            <w:r>
              <w:rPr>
                <w:rFonts w:hint="eastAsi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77" w:type="dxa"/>
            <w:vAlign w:val="center"/>
          </w:tcPr>
          <w:p>
            <w:pPr>
              <w:pStyle w:val="100"/>
              <w:widowControl w:val="0"/>
              <w:bidi w:val="0"/>
              <w:adjustRightInd w:val="0"/>
              <w:snapToGrid w:val="0"/>
            </w:pPr>
            <w:r>
              <w:rPr>
                <w:rFonts w:hint="eastAsia"/>
              </w:rPr>
              <w:t>2</w:t>
            </w:r>
          </w:p>
        </w:tc>
        <w:tc>
          <w:tcPr>
            <w:tcW w:w="1495" w:type="dxa"/>
            <w:vAlign w:val="center"/>
          </w:tcPr>
          <w:p>
            <w:pPr>
              <w:pStyle w:val="100"/>
              <w:widowControl w:val="0"/>
              <w:bidi w:val="0"/>
              <w:adjustRightInd w:val="0"/>
              <w:snapToGrid w:val="0"/>
            </w:pPr>
            <w:r>
              <w:rPr>
                <w:rFonts w:hint="eastAsia"/>
              </w:rPr>
              <w:t>薄膜生产线</w:t>
            </w:r>
          </w:p>
        </w:tc>
        <w:tc>
          <w:tcPr>
            <w:tcW w:w="2191" w:type="dxa"/>
            <w:vAlign w:val="center"/>
          </w:tcPr>
          <w:p>
            <w:pPr>
              <w:pStyle w:val="100"/>
              <w:widowControl w:val="0"/>
              <w:bidi w:val="0"/>
              <w:adjustRightInd w:val="0"/>
              <w:snapToGrid w:val="0"/>
            </w:pPr>
            <w:r>
              <w:rPr>
                <w:rFonts w:hint="eastAsia"/>
              </w:rPr>
              <w:t>薄膜</w:t>
            </w:r>
          </w:p>
        </w:tc>
        <w:tc>
          <w:tcPr>
            <w:tcW w:w="1131" w:type="dxa"/>
            <w:vAlign w:val="center"/>
          </w:tcPr>
          <w:p>
            <w:pPr>
              <w:pStyle w:val="100"/>
              <w:widowControl w:val="0"/>
              <w:bidi w:val="0"/>
              <w:adjustRightInd w:val="0"/>
              <w:snapToGrid w:val="0"/>
            </w:pPr>
            <w:r>
              <w:rPr>
                <w:rFonts w:hint="eastAsia"/>
              </w:rPr>
              <w:t>4500万</w:t>
            </w:r>
            <w:r>
              <w:rPr>
                <w:rFonts w:hint="eastAsia"/>
                <w:lang w:val="en-US" w:eastAsia="zh-CN"/>
              </w:rPr>
              <w:t>片</w:t>
            </w:r>
            <w:r>
              <w:rPr>
                <w:rFonts w:hint="eastAsia"/>
              </w:rPr>
              <w:t>/年</w:t>
            </w:r>
          </w:p>
        </w:tc>
        <w:tc>
          <w:tcPr>
            <w:tcW w:w="1189" w:type="dxa"/>
            <w:vAlign w:val="center"/>
          </w:tcPr>
          <w:p>
            <w:pPr>
              <w:pStyle w:val="100"/>
              <w:widowControl w:val="0"/>
              <w:bidi w:val="0"/>
              <w:adjustRightInd w:val="0"/>
              <w:snapToGrid w:val="0"/>
            </w:pPr>
            <w:r>
              <w:rPr>
                <w:rFonts w:hint="eastAsia"/>
              </w:rPr>
              <w:t>5000</w:t>
            </w:r>
            <w:r>
              <w:t>万</w:t>
            </w:r>
            <w:r>
              <w:rPr>
                <w:rFonts w:hint="eastAsia"/>
                <w:lang w:val="en-US" w:eastAsia="zh-CN"/>
              </w:rPr>
              <w:t>片</w:t>
            </w:r>
            <w:r>
              <w:t>/年</w:t>
            </w:r>
          </w:p>
        </w:tc>
        <w:tc>
          <w:tcPr>
            <w:tcW w:w="854" w:type="dxa"/>
            <w:vAlign w:val="center"/>
          </w:tcPr>
          <w:p>
            <w:pPr>
              <w:pStyle w:val="100"/>
              <w:widowControl w:val="0"/>
              <w:bidi w:val="0"/>
              <w:adjustRightInd w:val="0"/>
              <w:snapToGrid w:val="0"/>
            </w:pPr>
            <w:r>
              <w:rPr>
                <w:rFonts w:hint="eastAsia"/>
              </w:rPr>
              <w:t>+500</w:t>
            </w:r>
            <w:r>
              <w:t>万</w:t>
            </w:r>
            <w:r>
              <w:rPr>
                <w:rFonts w:hint="eastAsia"/>
                <w:lang w:val="en-US" w:eastAsia="zh-CN"/>
              </w:rPr>
              <w:t>片</w:t>
            </w:r>
            <w:r>
              <w:t>/年</w:t>
            </w:r>
          </w:p>
        </w:tc>
        <w:tc>
          <w:tcPr>
            <w:tcW w:w="941" w:type="dxa"/>
            <w:vAlign w:val="center"/>
          </w:tcPr>
          <w:p>
            <w:pPr>
              <w:pStyle w:val="100"/>
              <w:widowControl w:val="0"/>
              <w:bidi w:val="0"/>
              <w:adjustRightInd w:val="0"/>
              <w:snapToGrid w:val="0"/>
            </w:pPr>
            <w:r>
              <w:rPr>
                <w:rFonts w:hint="eastAsia"/>
                <w:lang w:val="en-US" w:eastAsia="zh-CN"/>
              </w:rPr>
              <w:t>6</w:t>
            </w:r>
            <w:r>
              <w:rPr>
                <w:rFonts w:hint="eastAsia"/>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77" w:type="dxa"/>
            <w:vAlign w:val="center"/>
          </w:tcPr>
          <w:p>
            <w:pPr>
              <w:pStyle w:val="100"/>
              <w:widowControl w:val="0"/>
              <w:bidi w:val="0"/>
              <w:adjustRightInd w:val="0"/>
              <w:snapToGrid w:val="0"/>
            </w:pPr>
            <w:r>
              <w:rPr>
                <w:rFonts w:hint="eastAsia"/>
              </w:rPr>
              <w:t>3</w:t>
            </w:r>
          </w:p>
        </w:tc>
        <w:tc>
          <w:tcPr>
            <w:tcW w:w="1495" w:type="dxa"/>
            <w:vAlign w:val="center"/>
          </w:tcPr>
          <w:p>
            <w:pPr>
              <w:pStyle w:val="100"/>
              <w:widowControl w:val="0"/>
              <w:bidi w:val="0"/>
              <w:adjustRightInd w:val="0"/>
              <w:snapToGrid w:val="0"/>
            </w:pPr>
            <w:r>
              <w:rPr>
                <w:rFonts w:hint="eastAsia"/>
              </w:rPr>
              <w:t>软性线路板生产线</w:t>
            </w:r>
          </w:p>
        </w:tc>
        <w:tc>
          <w:tcPr>
            <w:tcW w:w="2191" w:type="dxa"/>
            <w:vAlign w:val="center"/>
          </w:tcPr>
          <w:p>
            <w:pPr>
              <w:pStyle w:val="100"/>
              <w:widowControl w:val="0"/>
              <w:bidi w:val="0"/>
              <w:adjustRightInd w:val="0"/>
              <w:snapToGrid w:val="0"/>
            </w:pPr>
            <w:r>
              <w:rPr>
                <w:rFonts w:hint="eastAsia"/>
              </w:rPr>
              <w:t>软性线路板</w:t>
            </w:r>
          </w:p>
        </w:tc>
        <w:tc>
          <w:tcPr>
            <w:tcW w:w="1131" w:type="dxa"/>
            <w:vAlign w:val="center"/>
          </w:tcPr>
          <w:p>
            <w:pPr>
              <w:pStyle w:val="100"/>
              <w:widowControl w:val="0"/>
              <w:bidi w:val="0"/>
              <w:adjustRightInd w:val="0"/>
              <w:snapToGrid w:val="0"/>
              <w:rPr>
                <w:rFonts w:hint="eastAsia"/>
                <w:lang w:eastAsia="zh-CN"/>
              </w:rPr>
            </w:pPr>
            <w:r>
              <w:rPr>
                <w:rFonts w:hint="eastAsia"/>
              </w:rPr>
              <w:t>3000</w:t>
            </w:r>
            <w:r>
              <w:t>万</w:t>
            </w:r>
            <w:r>
              <w:rPr>
                <w:rFonts w:hint="eastAsia"/>
              </w:rPr>
              <w:t>片</w:t>
            </w:r>
            <w:r>
              <w:t>/年</w:t>
            </w:r>
            <w:r>
              <w:rPr>
                <w:rFonts w:hint="eastAsia"/>
                <w:lang w:eastAsia="zh-CN"/>
              </w:rPr>
              <w:t>（</w:t>
            </w:r>
            <w:r>
              <w:rPr>
                <w:rFonts w:hint="eastAsia"/>
                <w:lang w:val="en-US" w:eastAsia="zh-CN"/>
              </w:rPr>
              <w:t>未投产</w:t>
            </w:r>
            <w:r>
              <w:rPr>
                <w:rFonts w:hint="eastAsia"/>
                <w:lang w:eastAsia="zh-CN"/>
              </w:rPr>
              <w:t>）</w:t>
            </w:r>
          </w:p>
        </w:tc>
        <w:tc>
          <w:tcPr>
            <w:tcW w:w="1189" w:type="dxa"/>
            <w:vAlign w:val="center"/>
          </w:tcPr>
          <w:p>
            <w:pPr>
              <w:pStyle w:val="100"/>
              <w:widowControl w:val="0"/>
              <w:bidi w:val="0"/>
              <w:adjustRightInd w:val="0"/>
              <w:snapToGrid w:val="0"/>
            </w:pPr>
            <w:r>
              <w:rPr>
                <w:rFonts w:hint="eastAsia"/>
              </w:rPr>
              <w:t>0</w:t>
            </w:r>
          </w:p>
        </w:tc>
        <w:tc>
          <w:tcPr>
            <w:tcW w:w="854" w:type="dxa"/>
            <w:vAlign w:val="center"/>
          </w:tcPr>
          <w:p>
            <w:pPr>
              <w:pStyle w:val="100"/>
              <w:widowControl w:val="0"/>
              <w:bidi w:val="0"/>
              <w:adjustRightInd w:val="0"/>
              <w:snapToGrid w:val="0"/>
            </w:pPr>
            <w:r>
              <w:rPr>
                <w:rFonts w:hint="eastAsia"/>
              </w:rPr>
              <w:t>-3000万片/年</w:t>
            </w:r>
          </w:p>
        </w:tc>
        <w:tc>
          <w:tcPr>
            <w:tcW w:w="941" w:type="dxa"/>
            <w:vAlign w:val="center"/>
          </w:tcPr>
          <w:p>
            <w:pPr>
              <w:pStyle w:val="100"/>
              <w:widowControl w:val="0"/>
              <w:bidi w:val="0"/>
              <w:adjustRightInd w:val="0"/>
              <w:snapToGrid w:val="0"/>
            </w:pPr>
            <w:r>
              <w:rPr>
                <w:rFonts w:hint="eastAsia"/>
              </w:rPr>
              <w:t>0</w:t>
            </w:r>
          </w:p>
        </w:tc>
      </w:tr>
      <w:bookmarkEnd w:id="20"/>
    </w:tbl>
    <w:p>
      <w:pPr>
        <w:pStyle w:val="103"/>
        <w:bidi w:val="0"/>
      </w:pPr>
      <w:r>
        <w:rPr>
          <w:rFonts w:hint="eastAsia"/>
        </w:rPr>
        <w:t>项目公用及辅助工程设施组成情况见表</w:t>
      </w:r>
      <w:r>
        <w:t>1-1</w:t>
      </w:r>
      <w:r>
        <w:rPr>
          <w:rFonts w:hint="eastAsia"/>
          <w:lang w:val="en-US" w:eastAsia="zh-CN"/>
        </w:rPr>
        <w:t>0</w:t>
      </w:r>
      <w:r>
        <w:t>。</w:t>
      </w:r>
    </w:p>
    <w:p>
      <w:pPr>
        <w:pStyle w:val="273"/>
        <w:bidi w:val="0"/>
      </w:pPr>
      <w:r>
        <w:t>表1-1</w:t>
      </w:r>
      <w:r>
        <w:rPr>
          <w:rFonts w:hint="eastAsia"/>
          <w:lang w:val="en-US" w:eastAsia="zh-CN"/>
        </w:rPr>
        <w:t>0</w:t>
      </w:r>
      <w:r>
        <w:t xml:space="preserve">  项目公用及辅助工程设施组成情况一览表</w:t>
      </w:r>
    </w:p>
    <w:tbl>
      <w:tblPr>
        <w:tblStyle w:val="260"/>
        <w:tblW w:w="8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43"/>
        <w:gridCol w:w="687"/>
        <w:gridCol w:w="1463"/>
        <w:gridCol w:w="1701"/>
        <w:gridCol w:w="1702"/>
        <w:gridCol w:w="1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7" w:type="dxa"/>
            <w:vAlign w:val="center"/>
          </w:tcPr>
          <w:p>
            <w:pPr>
              <w:pStyle w:val="100"/>
              <w:widowControl w:val="0"/>
              <w:bidi w:val="0"/>
              <w:adjustRightInd w:val="0"/>
              <w:snapToGrid w:val="0"/>
            </w:pPr>
            <w:bookmarkStart w:id="21" w:name="_Hlk8638465"/>
            <w:r>
              <w:t>类别</w:t>
            </w:r>
          </w:p>
        </w:tc>
        <w:tc>
          <w:tcPr>
            <w:tcW w:w="1230" w:type="dxa"/>
            <w:gridSpan w:val="2"/>
            <w:vAlign w:val="center"/>
          </w:tcPr>
          <w:p>
            <w:pPr>
              <w:pStyle w:val="100"/>
              <w:widowControl w:val="0"/>
              <w:bidi w:val="0"/>
              <w:adjustRightInd w:val="0"/>
              <w:snapToGrid w:val="0"/>
            </w:pPr>
            <w:r>
              <w:t>建设名称</w:t>
            </w:r>
          </w:p>
        </w:tc>
        <w:tc>
          <w:tcPr>
            <w:tcW w:w="1463" w:type="dxa"/>
            <w:vAlign w:val="center"/>
          </w:tcPr>
          <w:p>
            <w:pPr>
              <w:pStyle w:val="100"/>
              <w:widowControl w:val="0"/>
              <w:bidi w:val="0"/>
              <w:adjustRightInd w:val="0"/>
              <w:snapToGrid w:val="0"/>
            </w:pPr>
            <w:r>
              <w:rPr>
                <w:rFonts w:hint="eastAsia"/>
                <w:lang w:val="en-US" w:eastAsia="zh-CN"/>
              </w:rPr>
              <w:t>搬迁</w:t>
            </w:r>
            <w:r>
              <w:t>前设计能力</w:t>
            </w:r>
          </w:p>
        </w:tc>
        <w:tc>
          <w:tcPr>
            <w:tcW w:w="1701" w:type="dxa"/>
            <w:vAlign w:val="center"/>
          </w:tcPr>
          <w:p>
            <w:pPr>
              <w:pStyle w:val="100"/>
              <w:widowControl w:val="0"/>
              <w:bidi w:val="0"/>
              <w:adjustRightInd w:val="0"/>
              <w:snapToGrid w:val="0"/>
            </w:pPr>
            <w:r>
              <w:rPr>
                <w:rFonts w:hint="eastAsia"/>
              </w:rPr>
              <w:t>本项目设计能力</w:t>
            </w:r>
          </w:p>
        </w:tc>
        <w:tc>
          <w:tcPr>
            <w:tcW w:w="1702" w:type="dxa"/>
            <w:vAlign w:val="center"/>
          </w:tcPr>
          <w:p>
            <w:pPr>
              <w:pStyle w:val="100"/>
              <w:widowControl w:val="0"/>
              <w:bidi w:val="0"/>
              <w:adjustRightInd w:val="0"/>
              <w:snapToGrid w:val="0"/>
            </w:pPr>
            <w:r>
              <w:rPr>
                <w:rFonts w:hint="eastAsia"/>
                <w:lang w:val="en-US" w:eastAsia="zh-CN"/>
              </w:rPr>
              <w:t>搬迁</w:t>
            </w:r>
            <w:r>
              <w:t>后设计能力</w:t>
            </w:r>
          </w:p>
        </w:tc>
        <w:tc>
          <w:tcPr>
            <w:tcW w:w="1772" w:type="dxa"/>
            <w:vAlign w:val="center"/>
          </w:tcPr>
          <w:p>
            <w:pPr>
              <w:pStyle w:val="100"/>
              <w:widowControl w:val="0"/>
              <w:bidi w:val="0"/>
              <w:adjustRightInd w:val="0"/>
              <w:snapToGrid w:val="0"/>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567" w:type="dxa"/>
            <w:vAlign w:val="center"/>
          </w:tcPr>
          <w:p>
            <w:pPr>
              <w:pStyle w:val="100"/>
              <w:widowControl w:val="0"/>
              <w:bidi w:val="0"/>
              <w:adjustRightInd w:val="0"/>
              <w:snapToGrid w:val="0"/>
            </w:pPr>
            <w:r>
              <w:rPr>
                <w:rFonts w:hint="eastAsia"/>
              </w:rPr>
              <w:t>主体工程</w:t>
            </w:r>
          </w:p>
        </w:tc>
        <w:tc>
          <w:tcPr>
            <w:tcW w:w="1230" w:type="dxa"/>
            <w:gridSpan w:val="2"/>
            <w:vAlign w:val="center"/>
          </w:tcPr>
          <w:p>
            <w:pPr>
              <w:pStyle w:val="100"/>
              <w:widowControl w:val="0"/>
              <w:bidi w:val="0"/>
              <w:adjustRightInd w:val="0"/>
              <w:snapToGrid w:val="0"/>
            </w:pPr>
            <w:r>
              <w:rPr>
                <w:rFonts w:hint="eastAsia"/>
              </w:rPr>
              <w:t>生产车间</w:t>
            </w:r>
          </w:p>
        </w:tc>
        <w:tc>
          <w:tcPr>
            <w:tcW w:w="1463" w:type="dxa"/>
            <w:vAlign w:val="center"/>
          </w:tcPr>
          <w:p>
            <w:pPr>
              <w:pStyle w:val="100"/>
              <w:widowControl w:val="0"/>
              <w:bidi w:val="0"/>
              <w:adjustRightInd w:val="0"/>
              <w:snapToGrid w:val="0"/>
            </w:pPr>
            <w:r>
              <w:rPr>
                <w:rFonts w:hint="eastAsia"/>
              </w:rPr>
              <w:t>建筑面积</w:t>
            </w:r>
            <w:r>
              <w:rPr>
                <w:rFonts w:hint="eastAsia"/>
                <w:lang w:val="en-US" w:eastAsia="zh-CN"/>
              </w:rPr>
              <w:t>1000</w:t>
            </w:r>
            <w:r>
              <w:t>m2</w:t>
            </w:r>
            <w:r>
              <w:rPr>
                <w:rFonts w:hint="eastAsia"/>
              </w:rPr>
              <w:t>，长</w:t>
            </w:r>
            <w:r>
              <w:rPr>
                <w:rFonts w:hint="eastAsia"/>
                <w:lang w:val="en-US" w:eastAsia="zh-CN"/>
              </w:rPr>
              <w:t>50</w:t>
            </w:r>
            <w:r>
              <w:rPr>
                <w:rFonts w:hint="eastAsia"/>
              </w:rPr>
              <w:t>m，宽</w:t>
            </w:r>
            <w:r>
              <w:rPr>
                <w:rFonts w:hint="eastAsia"/>
                <w:lang w:val="en-US" w:eastAsia="zh-CN"/>
              </w:rPr>
              <w:t>20</w:t>
            </w:r>
            <w:r>
              <w:rPr>
                <w:rFonts w:hint="eastAsia"/>
              </w:rPr>
              <w:t>m，高</w:t>
            </w:r>
            <w:r>
              <w:rPr>
                <w:rFonts w:hint="eastAsia"/>
                <w:lang w:val="en-US" w:eastAsia="zh-CN"/>
              </w:rPr>
              <w:t>5</w:t>
            </w:r>
            <w:r>
              <w:rPr>
                <w:rFonts w:hint="eastAsia"/>
              </w:rPr>
              <w:t>m，二级耐火等级</w:t>
            </w:r>
          </w:p>
        </w:tc>
        <w:tc>
          <w:tcPr>
            <w:tcW w:w="1701" w:type="dxa"/>
            <w:vAlign w:val="center"/>
          </w:tcPr>
          <w:p>
            <w:pPr>
              <w:pStyle w:val="100"/>
              <w:widowControl w:val="0"/>
              <w:bidi w:val="0"/>
              <w:adjustRightInd w:val="0"/>
              <w:snapToGrid w:val="0"/>
              <w:rPr>
                <w:rFonts w:hint="default"/>
                <w:lang w:val="en-US" w:eastAsia="zh-CN"/>
              </w:rPr>
            </w:pPr>
            <w:r>
              <w:rPr>
                <w:rFonts w:hint="eastAsia"/>
              </w:rPr>
              <w:t>依托</w:t>
            </w:r>
            <w:r>
              <w:rPr>
                <w:rFonts w:hint="eastAsia"/>
                <w:lang w:val="en-US" w:eastAsia="zh-CN"/>
              </w:rPr>
              <w:t>新厂房，包含印刷车间、裁切室、冲压车间、品检区、成品仓库、原料仓库、股非仓库、危废仓库以及办公区域和洗手间</w:t>
            </w:r>
          </w:p>
        </w:tc>
        <w:tc>
          <w:tcPr>
            <w:tcW w:w="1702" w:type="dxa"/>
            <w:vAlign w:val="center"/>
          </w:tcPr>
          <w:p>
            <w:pPr>
              <w:pStyle w:val="100"/>
              <w:widowControl w:val="0"/>
              <w:bidi w:val="0"/>
              <w:adjustRightInd w:val="0"/>
              <w:snapToGrid w:val="0"/>
            </w:pPr>
            <w:r>
              <w:rPr>
                <w:rFonts w:hint="eastAsia"/>
              </w:rPr>
              <w:t>建筑面积</w:t>
            </w:r>
            <w:r>
              <w:rPr>
                <w:rFonts w:hint="eastAsia"/>
                <w:lang w:val="en-US" w:eastAsia="zh-CN"/>
              </w:rPr>
              <w:t>2874</w:t>
            </w:r>
            <w:r>
              <w:t>m2</w:t>
            </w:r>
            <w:r>
              <w:rPr>
                <w:rFonts w:hint="eastAsia"/>
              </w:rPr>
              <w:t>，长</w:t>
            </w:r>
            <w:r>
              <w:rPr>
                <w:rFonts w:hint="eastAsia"/>
                <w:lang w:val="en-US" w:eastAsia="zh-CN"/>
              </w:rPr>
              <w:t>6</w:t>
            </w:r>
            <w:r>
              <w:t>4</w:t>
            </w:r>
            <w:r>
              <w:rPr>
                <w:rFonts w:hint="eastAsia"/>
              </w:rPr>
              <w:t>m，宽</w:t>
            </w:r>
            <w:r>
              <w:rPr>
                <w:rFonts w:hint="eastAsia"/>
                <w:lang w:val="en-US" w:eastAsia="zh-CN"/>
              </w:rPr>
              <w:t>44.9</w:t>
            </w:r>
            <w:r>
              <w:rPr>
                <w:rFonts w:hint="eastAsia"/>
              </w:rPr>
              <w:t>m，高</w:t>
            </w:r>
            <w:r>
              <w:rPr>
                <w:rFonts w:hint="eastAsia"/>
                <w:lang w:val="en-US" w:eastAsia="zh-CN"/>
              </w:rPr>
              <w:t>4</w:t>
            </w:r>
            <w:r>
              <w:rPr>
                <w:rFonts w:hint="eastAsia"/>
              </w:rPr>
              <w:t>m，二级耐火等级</w:t>
            </w:r>
          </w:p>
        </w:tc>
        <w:tc>
          <w:tcPr>
            <w:tcW w:w="1772" w:type="dxa"/>
            <w:vAlign w:val="center"/>
          </w:tcPr>
          <w:p>
            <w:pPr>
              <w:pStyle w:val="100"/>
              <w:widowControl w:val="0"/>
              <w:bidi w:val="0"/>
              <w:adjustRightInd w:val="0"/>
              <w:snapToGrid w:val="0"/>
            </w:pPr>
            <w:r>
              <w:rPr>
                <w:rFonts w:hint="eastAsia"/>
              </w:rPr>
              <w:t>本项目依托</w:t>
            </w:r>
            <w:r>
              <w:rPr>
                <w:rFonts w:hint="eastAsia"/>
                <w:lang w:val="en-US" w:eastAsia="zh-CN"/>
              </w:rPr>
              <w:t>新厂房</w:t>
            </w:r>
            <w:r>
              <w:rPr>
                <w:rFonts w:hint="eastAsia"/>
              </w:rPr>
              <w:t>，区域划分见附图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vAlign w:val="center"/>
          </w:tcPr>
          <w:p>
            <w:pPr>
              <w:pStyle w:val="100"/>
              <w:widowControl w:val="0"/>
              <w:bidi w:val="0"/>
              <w:adjustRightInd w:val="0"/>
              <w:snapToGrid w:val="0"/>
            </w:pPr>
            <w:r>
              <w:t>贮运工程</w:t>
            </w:r>
          </w:p>
        </w:tc>
        <w:tc>
          <w:tcPr>
            <w:tcW w:w="1230" w:type="dxa"/>
            <w:gridSpan w:val="2"/>
            <w:vAlign w:val="center"/>
          </w:tcPr>
          <w:p>
            <w:pPr>
              <w:pStyle w:val="100"/>
              <w:widowControl w:val="0"/>
              <w:bidi w:val="0"/>
              <w:adjustRightInd w:val="0"/>
              <w:snapToGrid w:val="0"/>
            </w:pPr>
            <w:r>
              <w:t>原材料运输</w:t>
            </w:r>
          </w:p>
        </w:tc>
        <w:tc>
          <w:tcPr>
            <w:tcW w:w="1463" w:type="dxa"/>
            <w:vAlign w:val="center"/>
          </w:tcPr>
          <w:p>
            <w:pPr>
              <w:pStyle w:val="100"/>
              <w:widowControl w:val="0"/>
              <w:bidi w:val="0"/>
              <w:adjustRightInd w:val="0"/>
              <w:snapToGrid w:val="0"/>
            </w:pPr>
            <w:r>
              <w:rPr>
                <w:rFonts w:hint="eastAsia"/>
              </w:rPr>
              <w:t>运输原料约为</w:t>
            </w:r>
            <w:r>
              <w:rPr>
                <w:rFonts w:hint="eastAsia"/>
                <w:lang w:val="en-US" w:eastAsia="zh-CN"/>
              </w:rPr>
              <w:t>270</w:t>
            </w:r>
            <w:r>
              <w:rPr>
                <w:rFonts w:hint="eastAsia"/>
              </w:rPr>
              <w:t>t</w:t>
            </w:r>
          </w:p>
        </w:tc>
        <w:tc>
          <w:tcPr>
            <w:tcW w:w="1701" w:type="dxa"/>
            <w:vAlign w:val="center"/>
          </w:tcPr>
          <w:p>
            <w:pPr>
              <w:pStyle w:val="100"/>
              <w:widowControl w:val="0"/>
              <w:bidi w:val="0"/>
              <w:adjustRightInd w:val="0"/>
              <w:snapToGrid w:val="0"/>
            </w:pPr>
            <w:r>
              <w:rPr>
                <w:rFonts w:hint="eastAsia"/>
              </w:rPr>
              <w:t>运输原料约为</w:t>
            </w:r>
            <w:r>
              <w:rPr>
                <w:rFonts w:hint="eastAsia"/>
                <w:lang w:val="en-US" w:eastAsia="zh-CN"/>
              </w:rPr>
              <w:t>32</w:t>
            </w:r>
            <w:r>
              <w:t>t</w:t>
            </w:r>
          </w:p>
        </w:tc>
        <w:tc>
          <w:tcPr>
            <w:tcW w:w="1702" w:type="dxa"/>
            <w:vAlign w:val="center"/>
          </w:tcPr>
          <w:p>
            <w:pPr>
              <w:pStyle w:val="100"/>
              <w:widowControl w:val="0"/>
              <w:bidi w:val="0"/>
              <w:adjustRightInd w:val="0"/>
              <w:snapToGrid w:val="0"/>
            </w:pPr>
            <w:r>
              <w:rPr>
                <w:rFonts w:hint="eastAsia"/>
              </w:rPr>
              <w:t>运输原料约为</w:t>
            </w:r>
            <w:r>
              <w:rPr>
                <w:rFonts w:hint="eastAsia"/>
                <w:lang w:val="en-US" w:eastAsia="zh-CN"/>
              </w:rPr>
              <w:t>32</w:t>
            </w:r>
            <w:r>
              <w:rPr>
                <w:rFonts w:hint="eastAsia"/>
              </w:rPr>
              <w:t>t</w:t>
            </w:r>
          </w:p>
        </w:tc>
        <w:tc>
          <w:tcPr>
            <w:tcW w:w="1772" w:type="dxa"/>
            <w:vAlign w:val="center"/>
          </w:tcPr>
          <w:p>
            <w:pPr>
              <w:pStyle w:val="100"/>
              <w:widowControl w:val="0"/>
              <w:bidi w:val="0"/>
              <w:adjustRightInd w:val="0"/>
              <w:snapToGrid w:val="0"/>
              <w:rPr>
                <w:rFonts w:hint="default"/>
                <w:lang w:val="en-US" w:eastAsia="zh-CN"/>
              </w:rPr>
            </w:pPr>
            <w:r>
              <w:rPr>
                <w:rFonts w:hint="eastAsia"/>
                <w:lang w:val="en-US" w:eastAsia="zh-CN"/>
              </w:rPr>
              <w:t>原料削减238t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543" w:type="dxa"/>
            <w:vMerge w:val="restart"/>
            <w:vAlign w:val="center"/>
          </w:tcPr>
          <w:p>
            <w:pPr>
              <w:pStyle w:val="100"/>
              <w:widowControl w:val="0"/>
              <w:bidi w:val="0"/>
              <w:adjustRightInd w:val="0"/>
              <w:snapToGrid w:val="0"/>
            </w:pPr>
            <w:r>
              <w:t>仓库</w:t>
            </w:r>
          </w:p>
        </w:tc>
        <w:tc>
          <w:tcPr>
            <w:tcW w:w="687" w:type="dxa"/>
            <w:vAlign w:val="center"/>
          </w:tcPr>
          <w:p>
            <w:pPr>
              <w:pStyle w:val="100"/>
              <w:widowControl w:val="0"/>
              <w:bidi w:val="0"/>
              <w:adjustRightInd w:val="0"/>
              <w:snapToGrid w:val="0"/>
            </w:pPr>
            <w:r>
              <w:rPr>
                <w:rFonts w:hint="eastAsia"/>
              </w:rPr>
              <w:t>原料仓库</w:t>
            </w:r>
          </w:p>
        </w:tc>
        <w:tc>
          <w:tcPr>
            <w:tcW w:w="1463" w:type="dxa"/>
            <w:vAlign w:val="center"/>
          </w:tcPr>
          <w:p>
            <w:pPr>
              <w:pStyle w:val="100"/>
              <w:widowControl w:val="0"/>
              <w:bidi w:val="0"/>
              <w:adjustRightInd w:val="0"/>
              <w:snapToGrid w:val="0"/>
            </w:pPr>
            <w:r>
              <w:rPr>
                <w:rFonts w:hint="eastAsia"/>
                <w:lang w:val="en-US" w:eastAsia="zh-CN"/>
              </w:rPr>
              <w:t>80</w:t>
            </w:r>
            <w:r>
              <w:t>m2</w:t>
            </w:r>
          </w:p>
        </w:tc>
        <w:tc>
          <w:tcPr>
            <w:tcW w:w="1701" w:type="dxa"/>
            <w:vAlign w:val="center"/>
          </w:tcPr>
          <w:p>
            <w:pPr>
              <w:pStyle w:val="100"/>
              <w:widowControl w:val="0"/>
              <w:bidi w:val="0"/>
              <w:adjustRightInd w:val="0"/>
              <w:snapToGrid w:val="0"/>
            </w:pPr>
            <w:r>
              <w:rPr>
                <w:rFonts w:hint="eastAsia"/>
                <w:lang w:val="en-US" w:eastAsia="zh-CN"/>
              </w:rPr>
              <w:t>80</w:t>
            </w:r>
            <w:r>
              <w:t>m2</w:t>
            </w:r>
          </w:p>
        </w:tc>
        <w:tc>
          <w:tcPr>
            <w:tcW w:w="1702" w:type="dxa"/>
            <w:vAlign w:val="center"/>
          </w:tcPr>
          <w:p>
            <w:pPr>
              <w:pStyle w:val="100"/>
              <w:widowControl w:val="0"/>
              <w:bidi w:val="0"/>
              <w:adjustRightInd w:val="0"/>
              <w:snapToGrid w:val="0"/>
            </w:pPr>
            <w:r>
              <w:rPr>
                <w:rFonts w:hint="eastAsia"/>
                <w:lang w:val="en-US" w:eastAsia="zh-CN"/>
              </w:rPr>
              <w:t>80</w:t>
            </w:r>
            <w:r>
              <w:t>m2</w:t>
            </w:r>
          </w:p>
        </w:tc>
        <w:tc>
          <w:tcPr>
            <w:tcW w:w="1772" w:type="dxa"/>
            <w:vMerge w:val="restart"/>
            <w:vAlign w:val="center"/>
          </w:tcPr>
          <w:p>
            <w:pPr>
              <w:pStyle w:val="100"/>
              <w:widowControl w:val="0"/>
              <w:bidi w:val="0"/>
              <w:adjustRightInd w:val="0"/>
              <w:snapToGrid w:val="0"/>
              <w:rPr>
                <w:rFonts w:hint="eastAsia"/>
                <w:lang w:eastAsia="zh-CN"/>
              </w:rPr>
            </w:pPr>
            <w:r>
              <w:rPr>
                <w:rFonts w:hint="eastAsia"/>
              </w:rPr>
              <w:t>依托</w:t>
            </w:r>
            <w:r>
              <w:rPr>
                <w:rFonts w:hint="eastAsia"/>
                <w:lang w:val="en-US" w:eastAsia="zh-CN"/>
              </w:rPr>
              <w:t>新厂房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543" w:type="dxa"/>
            <w:vMerge w:val="continue"/>
            <w:vAlign w:val="center"/>
          </w:tcPr>
          <w:p>
            <w:pPr>
              <w:pStyle w:val="100"/>
              <w:widowControl w:val="0"/>
              <w:bidi w:val="0"/>
              <w:adjustRightInd w:val="0"/>
              <w:snapToGrid w:val="0"/>
            </w:pPr>
          </w:p>
        </w:tc>
        <w:tc>
          <w:tcPr>
            <w:tcW w:w="687" w:type="dxa"/>
            <w:vAlign w:val="center"/>
          </w:tcPr>
          <w:p>
            <w:pPr>
              <w:pStyle w:val="100"/>
              <w:widowControl w:val="0"/>
              <w:bidi w:val="0"/>
              <w:adjustRightInd w:val="0"/>
              <w:snapToGrid w:val="0"/>
            </w:pPr>
            <w:r>
              <w:rPr>
                <w:rFonts w:hint="eastAsia"/>
              </w:rPr>
              <w:t>成品仓库</w:t>
            </w:r>
          </w:p>
        </w:tc>
        <w:tc>
          <w:tcPr>
            <w:tcW w:w="1463" w:type="dxa"/>
            <w:vAlign w:val="center"/>
          </w:tcPr>
          <w:p>
            <w:pPr>
              <w:pStyle w:val="100"/>
              <w:widowControl w:val="0"/>
              <w:bidi w:val="0"/>
              <w:adjustRightInd w:val="0"/>
              <w:snapToGrid w:val="0"/>
            </w:pPr>
            <w:r>
              <w:rPr>
                <w:rFonts w:hint="eastAsia"/>
                <w:lang w:val="en-US" w:eastAsia="zh-CN"/>
              </w:rPr>
              <w:t>21</w:t>
            </w:r>
            <w:r>
              <w:t>m2</w:t>
            </w:r>
          </w:p>
        </w:tc>
        <w:tc>
          <w:tcPr>
            <w:tcW w:w="1701" w:type="dxa"/>
            <w:vAlign w:val="center"/>
          </w:tcPr>
          <w:p>
            <w:pPr>
              <w:pStyle w:val="100"/>
              <w:widowControl w:val="0"/>
              <w:bidi w:val="0"/>
              <w:adjustRightInd w:val="0"/>
              <w:snapToGrid w:val="0"/>
            </w:pPr>
            <w:r>
              <w:rPr>
                <w:rFonts w:hint="eastAsia"/>
                <w:lang w:val="en-US" w:eastAsia="zh-CN"/>
              </w:rPr>
              <w:t>21</w:t>
            </w:r>
            <w:r>
              <w:t>m2</w:t>
            </w:r>
          </w:p>
        </w:tc>
        <w:tc>
          <w:tcPr>
            <w:tcW w:w="1702" w:type="dxa"/>
            <w:vAlign w:val="center"/>
          </w:tcPr>
          <w:p>
            <w:pPr>
              <w:pStyle w:val="100"/>
              <w:widowControl w:val="0"/>
              <w:bidi w:val="0"/>
              <w:adjustRightInd w:val="0"/>
              <w:snapToGrid w:val="0"/>
            </w:pPr>
            <w:r>
              <w:rPr>
                <w:rFonts w:hint="eastAsia"/>
                <w:lang w:val="en-US" w:eastAsia="zh-CN"/>
              </w:rPr>
              <w:t>21</w:t>
            </w:r>
            <w:r>
              <w:t>m2</w:t>
            </w:r>
          </w:p>
        </w:tc>
        <w:tc>
          <w:tcPr>
            <w:tcW w:w="1772"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vAlign w:val="center"/>
          </w:tcPr>
          <w:p>
            <w:pPr>
              <w:pStyle w:val="100"/>
              <w:widowControl w:val="0"/>
              <w:bidi w:val="0"/>
              <w:adjustRightInd w:val="0"/>
              <w:snapToGrid w:val="0"/>
            </w:pPr>
            <w:r>
              <w:t>公用工程</w:t>
            </w:r>
          </w:p>
        </w:tc>
        <w:tc>
          <w:tcPr>
            <w:tcW w:w="1230" w:type="dxa"/>
            <w:gridSpan w:val="2"/>
            <w:vAlign w:val="center"/>
          </w:tcPr>
          <w:p>
            <w:pPr>
              <w:pStyle w:val="100"/>
              <w:widowControl w:val="0"/>
              <w:bidi w:val="0"/>
              <w:adjustRightInd w:val="0"/>
              <w:snapToGrid w:val="0"/>
            </w:pPr>
            <w:r>
              <w:t>给水</w:t>
            </w:r>
          </w:p>
        </w:tc>
        <w:tc>
          <w:tcPr>
            <w:tcW w:w="1463" w:type="dxa"/>
            <w:vAlign w:val="center"/>
          </w:tcPr>
          <w:p>
            <w:pPr>
              <w:pStyle w:val="100"/>
              <w:widowControl w:val="0"/>
              <w:bidi w:val="0"/>
              <w:adjustRightInd w:val="0"/>
              <w:snapToGrid w:val="0"/>
            </w:pPr>
            <w:r>
              <w:rPr>
                <w:rFonts w:hint="eastAsia"/>
              </w:rPr>
              <w:t>自来水</w:t>
            </w:r>
            <w:r>
              <w:rPr>
                <w:rFonts w:hint="eastAsia"/>
                <w:lang w:val="en-US" w:eastAsia="zh-CN"/>
              </w:rPr>
              <w:t>500</w:t>
            </w:r>
            <w:r>
              <w:t>m3/a</w:t>
            </w:r>
          </w:p>
        </w:tc>
        <w:tc>
          <w:tcPr>
            <w:tcW w:w="1701" w:type="dxa"/>
            <w:vAlign w:val="center"/>
          </w:tcPr>
          <w:p>
            <w:pPr>
              <w:pStyle w:val="100"/>
              <w:widowControl w:val="0"/>
              <w:bidi w:val="0"/>
              <w:adjustRightInd w:val="0"/>
              <w:snapToGrid w:val="0"/>
            </w:pPr>
            <w:r>
              <w:rPr>
                <w:rFonts w:hint="eastAsia"/>
              </w:rPr>
              <w:t>自来水</w:t>
            </w:r>
            <w:r>
              <w:rPr>
                <w:rFonts w:hint="eastAsia"/>
                <w:lang w:val="en-US" w:eastAsia="zh-CN"/>
              </w:rPr>
              <w:t>1008</w:t>
            </w:r>
            <w:r>
              <w:t>m3/a</w:t>
            </w:r>
          </w:p>
        </w:tc>
        <w:tc>
          <w:tcPr>
            <w:tcW w:w="1702" w:type="dxa"/>
            <w:vAlign w:val="center"/>
          </w:tcPr>
          <w:p>
            <w:pPr>
              <w:pStyle w:val="100"/>
              <w:widowControl w:val="0"/>
              <w:bidi w:val="0"/>
              <w:adjustRightInd w:val="0"/>
              <w:snapToGrid w:val="0"/>
            </w:pPr>
            <w:r>
              <w:rPr>
                <w:rFonts w:hint="eastAsia"/>
              </w:rPr>
              <w:t>自来水</w:t>
            </w:r>
            <w:r>
              <w:rPr>
                <w:rFonts w:hint="eastAsia"/>
                <w:lang w:val="en-US" w:eastAsia="zh-CN"/>
              </w:rPr>
              <w:t>1008</w:t>
            </w:r>
            <w:r>
              <w:t xml:space="preserve">m3/a </w:t>
            </w:r>
          </w:p>
        </w:tc>
        <w:tc>
          <w:tcPr>
            <w:tcW w:w="1772" w:type="dxa"/>
            <w:vAlign w:val="center"/>
          </w:tcPr>
          <w:p>
            <w:pPr>
              <w:pStyle w:val="100"/>
              <w:widowControl w:val="0"/>
              <w:bidi w:val="0"/>
              <w:adjustRightInd w:val="0"/>
              <w:snapToGrid w:val="0"/>
            </w:pPr>
            <w:r>
              <w:rPr>
                <w:rFonts w:hint="eastAsia"/>
              </w:rPr>
              <w:t>依托现有项目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t>排水</w:t>
            </w:r>
          </w:p>
        </w:tc>
        <w:tc>
          <w:tcPr>
            <w:tcW w:w="1463" w:type="dxa"/>
            <w:vAlign w:val="center"/>
          </w:tcPr>
          <w:p>
            <w:pPr>
              <w:pStyle w:val="100"/>
              <w:widowControl w:val="0"/>
              <w:bidi w:val="0"/>
              <w:adjustRightInd w:val="0"/>
              <w:snapToGrid w:val="0"/>
            </w:pPr>
            <w:r>
              <w:rPr>
                <w:rFonts w:hint="eastAsia"/>
              </w:rPr>
              <w:t>生活污水</w:t>
            </w:r>
            <w:r>
              <w:rPr>
                <w:rFonts w:hint="eastAsia"/>
                <w:lang w:val="en-US" w:eastAsia="zh-CN"/>
              </w:rPr>
              <w:t>425</w:t>
            </w:r>
            <w:r>
              <w:t>m3/a</w:t>
            </w:r>
          </w:p>
        </w:tc>
        <w:tc>
          <w:tcPr>
            <w:tcW w:w="1701" w:type="dxa"/>
            <w:vAlign w:val="center"/>
          </w:tcPr>
          <w:p>
            <w:pPr>
              <w:pStyle w:val="100"/>
              <w:widowControl w:val="0"/>
              <w:bidi w:val="0"/>
              <w:adjustRightInd w:val="0"/>
              <w:snapToGrid w:val="0"/>
            </w:pPr>
            <w:r>
              <w:rPr>
                <w:rFonts w:hint="eastAsia"/>
              </w:rPr>
              <w:t>生活污水</w:t>
            </w:r>
            <w:r>
              <w:rPr>
                <w:rFonts w:hint="eastAsia"/>
                <w:lang w:val="en-US" w:eastAsia="zh-CN"/>
              </w:rPr>
              <w:t>856.8</w:t>
            </w:r>
            <w:r>
              <w:t>m3/a</w:t>
            </w:r>
          </w:p>
        </w:tc>
        <w:tc>
          <w:tcPr>
            <w:tcW w:w="1702" w:type="dxa"/>
            <w:vAlign w:val="center"/>
          </w:tcPr>
          <w:p>
            <w:pPr>
              <w:pStyle w:val="100"/>
              <w:widowControl w:val="0"/>
              <w:bidi w:val="0"/>
              <w:adjustRightInd w:val="0"/>
              <w:snapToGrid w:val="0"/>
            </w:pPr>
            <w:r>
              <w:rPr>
                <w:rFonts w:hint="eastAsia"/>
              </w:rPr>
              <w:t>生活污水</w:t>
            </w:r>
            <w:r>
              <w:rPr>
                <w:rFonts w:hint="eastAsia"/>
                <w:lang w:val="en-US" w:eastAsia="zh-CN"/>
              </w:rPr>
              <w:t>856.8</w:t>
            </w:r>
            <w:r>
              <w:t>m3/a</w:t>
            </w:r>
          </w:p>
        </w:tc>
        <w:tc>
          <w:tcPr>
            <w:tcW w:w="1772" w:type="dxa"/>
            <w:vAlign w:val="center"/>
          </w:tcPr>
          <w:p>
            <w:pPr>
              <w:pStyle w:val="100"/>
              <w:widowControl w:val="0"/>
              <w:bidi w:val="0"/>
              <w:adjustRightInd w:val="0"/>
              <w:snapToGrid w:val="0"/>
            </w:pPr>
            <w:r>
              <w:rPr>
                <w:rFonts w:hint="eastAsia"/>
              </w:rPr>
              <w:t>生活污水经市政管网纳入</w:t>
            </w:r>
            <w:r>
              <w:rPr>
                <w:rFonts w:hint="eastAsia"/>
                <w:lang w:val="en-US" w:eastAsia="zh-CN"/>
              </w:rPr>
              <w:t>吴江经济技术开发区运东</w:t>
            </w:r>
            <w:r>
              <w:rPr>
                <w:rFonts w:hint="eastAsia"/>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rPr>
                <w:rFonts w:hint="eastAsia"/>
              </w:rPr>
              <w:t>供热</w:t>
            </w:r>
          </w:p>
        </w:tc>
        <w:tc>
          <w:tcPr>
            <w:tcW w:w="1463" w:type="dxa"/>
            <w:vAlign w:val="center"/>
          </w:tcPr>
          <w:p>
            <w:pPr>
              <w:pStyle w:val="100"/>
              <w:widowControl w:val="0"/>
              <w:bidi w:val="0"/>
              <w:adjustRightInd w:val="0"/>
              <w:snapToGrid w:val="0"/>
            </w:pPr>
            <w:r>
              <w:rPr>
                <w:rFonts w:hint="eastAsia"/>
              </w:rPr>
              <w:t>/</w:t>
            </w:r>
          </w:p>
        </w:tc>
        <w:tc>
          <w:tcPr>
            <w:tcW w:w="1701" w:type="dxa"/>
            <w:vAlign w:val="center"/>
          </w:tcPr>
          <w:p>
            <w:pPr>
              <w:pStyle w:val="100"/>
              <w:widowControl w:val="0"/>
              <w:bidi w:val="0"/>
              <w:adjustRightInd w:val="0"/>
              <w:snapToGrid w:val="0"/>
            </w:pPr>
            <w:r>
              <w:rPr>
                <w:rFonts w:hint="eastAsia"/>
              </w:rPr>
              <w:t>/</w:t>
            </w:r>
          </w:p>
        </w:tc>
        <w:tc>
          <w:tcPr>
            <w:tcW w:w="1702" w:type="dxa"/>
            <w:vAlign w:val="center"/>
          </w:tcPr>
          <w:p>
            <w:pPr>
              <w:pStyle w:val="100"/>
              <w:widowControl w:val="0"/>
              <w:bidi w:val="0"/>
              <w:adjustRightInd w:val="0"/>
              <w:snapToGrid w:val="0"/>
            </w:pPr>
            <w:r>
              <w:rPr>
                <w:rFonts w:hint="eastAsia"/>
              </w:rPr>
              <w:t>/</w:t>
            </w:r>
          </w:p>
        </w:tc>
        <w:tc>
          <w:tcPr>
            <w:tcW w:w="1772"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rPr>
                <w:rFonts w:hint="eastAsia"/>
              </w:rPr>
              <w:t>雨水</w:t>
            </w:r>
          </w:p>
        </w:tc>
        <w:tc>
          <w:tcPr>
            <w:tcW w:w="1463" w:type="dxa"/>
            <w:vAlign w:val="center"/>
          </w:tcPr>
          <w:p>
            <w:pPr>
              <w:pStyle w:val="100"/>
              <w:widowControl w:val="0"/>
              <w:bidi w:val="0"/>
              <w:adjustRightInd w:val="0"/>
              <w:snapToGrid w:val="0"/>
            </w:pPr>
            <w:r>
              <w:rPr>
                <w:rFonts w:hint="eastAsia"/>
              </w:rPr>
              <w:t>雨水经厂区内雨水管网排放至市政雨水管网，汇入就近河道。</w:t>
            </w:r>
          </w:p>
        </w:tc>
        <w:tc>
          <w:tcPr>
            <w:tcW w:w="1701" w:type="dxa"/>
            <w:vAlign w:val="center"/>
          </w:tcPr>
          <w:p>
            <w:pPr>
              <w:pStyle w:val="100"/>
              <w:widowControl w:val="0"/>
              <w:bidi w:val="0"/>
              <w:adjustRightInd w:val="0"/>
              <w:snapToGrid w:val="0"/>
            </w:pPr>
            <w:r>
              <w:rPr>
                <w:rFonts w:hint="eastAsia"/>
              </w:rPr>
              <w:t>雨水经厂区内雨水管网排放至市政雨水管网，汇入就近河道。</w:t>
            </w:r>
          </w:p>
        </w:tc>
        <w:tc>
          <w:tcPr>
            <w:tcW w:w="1702" w:type="dxa"/>
            <w:vAlign w:val="center"/>
          </w:tcPr>
          <w:p>
            <w:pPr>
              <w:pStyle w:val="100"/>
              <w:widowControl w:val="0"/>
              <w:bidi w:val="0"/>
              <w:adjustRightInd w:val="0"/>
              <w:snapToGrid w:val="0"/>
            </w:pPr>
            <w:r>
              <w:rPr>
                <w:rFonts w:hint="eastAsia"/>
              </w:rPr>
              <w:t>雨水经厂区内雨水管网排放至市政雨水管网，汇入就近河道。</w:t>
            </w:r>
          </w:p>
        </w:tc>
        <w:tc>
          <w:tcPr>
            <w:tcW w:w="1772" w:type="dxa"/>
            <w:vAlign w:val="center"/>
          </w:tcPr>
          <w:p>
            <w:pPr>
              <w:pStyle w:val="100"/>
              <w:widowControl w:val="0"/>
              <w:bidi w:val="0"/>
              <w:adjustRightInd w:val="0"/>
              <w:snapToGrid w:val="0"/>
            </w:pPr>
            <w:r>
              <w:rPr>
                <w:rFonts w:hint="eastAsia"/>
              </w:rPr>
              <w:t>项目物料均储存于室内，无需设置初期雨水池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t>供电</w:t>
            </w:r>
          </w:p>
        </w:tc>
        <w:tc>
          <w:tcPr>
            <w:tcW w:w="1463" w:type="dxa"/>
            <w:vAlign w:val="center"/>
          </w:tcPr>
          <w:p>
            <w:pPr>
              <w:pStyle w:val="100"/>
              <w:widowControl w:val="0"/>
              <w:bidi w:val="0"/>
              <w:adjustRightInd w:val="0"/>
              <w:snapToGrid w:val="0"/>
            </w:pPr>
            <w:r>
              <w:rPr>
                <w:rFonts w:hint="eastAsia"/>
                <w:lang w:val="en-US" w:eastAsia="zh-CN"/>
              </w:rPr>
              <w:t>5</w:t>
            </w:r>
            <w:r>
              <w:t>万千瓦时/年</w:t>
            </w:r>
          </w:p>
        </w:tc>
        <w:tc>
          <w:tcPr>
            <w:tcW w:w="1701" w:type="dxa"/>
            <w:vAlign w:val="center"/>
          </w:tcPr>
          <w:p>
            <w:pPr>
              <w:pStyle w:val="100"/>
              <w:widowControl w:val="0"/>
              <w:bidi w:val="0"/>
              <w:adjustRightInd w:val="0"/>
              <w:snapToGrid w:val="0"/>
            </w:pPr>
            <w:r>
              <w:rPr>
                <w:rFonts w:hint="eastAsia"/>
                <w:lang w:val="en-US" w:eastAsia="zh-CN"/>
              </w:rPr>
              <w:t>50</w:t>
            </w:r>
            <w:r>
              <w:t>万千瓦时/年</w:t>
            </w:r>
          </w:p>
        </w:tc>
        <w:tc>
          <w:tcPr>
            <w:tcW w:w="1702" w:type="dxa"/>
            <w:vAlign w:val="center"/>
          </w:tcPr>
          <w:p>
            <w:pPr>
              <w:pStyle w:val="100"/>
              <w:widowControl w:val="0"/>
              <w:bidi w:val="0"/>
              <w:adjustRightInd w:val="0"/>
              <w:snapToGrid w:val="0"/>
            </w:pPr>
            <w:r>
              <w:rPr>
                <w:rFonts w:hint="eastAsia"/>
                <w:lang w:val="en-US" w:eastAsia="zh-CN"/>
              </w:rPr>
              <w:t>50</w:t>
            </w:r>
            <w:r>
              <w:t>万千瓦时/年</w:t>
            </w:r>
          </w:p>
        </w:tc>
        <w:tc>
          <w:tcPr>
            <w:tcW w:w="1772" w:type="dxa"/>
            <w:vAlign w:val="center"/>
          </w:tcPr>
          <w:p>
            <w:pPr>
              <w:pStyle w:val="100"/>
              <w:widowControl w:val="0"/>
              <w:bidi w:val="0"/>
              <w:adjustRightInd w:val="0"/>
              <w:snapToGrid w:val="0"/>
            </w:pPr>
            <w:r>
              <w:rPr>
                <w:rFonts w:hint="eastAsia"/>
              </w:rPr>
              <w:t>由区域供电所供电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rPr>
                <w:rFonts w:hint="eastAsia"/>
              </w:rPr>
              <w:t>供汽</w:t>
            </w:r>
          </w:p>
        </w:tc>
        <w:tc>
          <w:tcPr>
            <w:tcW w:w="1463" w:type="dxa"/>
            <w:vAlign w:val="center"/>
          </w:tcPr>
          <w:p>
            <w:pPr>
              <w:pStyle w:val="100"/>
              <w:widowControl w:val="0"/>
              <w:bidi w:val="0"/>
              <w:adjustRightInd w:val="0"/>
              <w:snapToGrid w:val="0"/>
            </w:pPr>
            <w:r>
              <w:rPr>
                <w:rFonts w:hint="eastAsia"/>
              </w:rPr>
              <w:t>/</w:t>
            </w:r>
          </w:p>
        </w:tc>
        <w:tc>
          <w:tcPr>
            <w:tcW w:w="1701" w:type="dxa"/>
            <w:vAlign w:val="center"/>
          </w:tcPr>
          <w:p>
            <w:pPr>
              <w:pStyle w:val="100"/>
              <w:widowControl w:val="0"/>
              <w:bidi w:val="0"/>
              <w:adjustRightInd w:val="0"/>
              <w:snapToGrid w:val="0"/>
            </w:pPr>
            <w:r>
              <w:rPr>
                <w:rFonts w:hint="eastAsia"/>
              </w:rPr>
              <w:t>/</w:t>
            </w:r>
          </w:p>
        </w:tc>
        <w:tc>
          <w:tcPr>
            <w:tcW w:w="1702" w:type="dxa"/>
            <w:vAlign w:val="center"/>
          </w:tcPr>
          <w:p>
            <w:pPr>
              <w:pStyle w:val="100"/>
              <w:widowControl w:val="0"/>
              <w:bidi w:val="0"/>
              <w:adjustRightInd w:val="0"/>
              <w:snapToGrid w:val="0"/>
            </w:pPr>
            <w:r>
              <w:rPr>
                <w:rFonts w:hint="eastAsia"/>
              </w:rPr>
              <w:t>/</w:t>
            </w:r>
          </w:p>
        </w:tc>
        <w:tc>
          <w:tcPr>
            <w:tcW w:w="1772"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rPr>
                <w:rFonts w:hint="eastAsia"/>
              </w:rPr>
              <w:t>空气压缩</w:t>
            </w:r>
          </w:p>
        </w:tc>
        <w:tc>
          <w:tcPr>
            <w:tcW w:w="1463" w:type="dxa"/>
            <w:vAlign w:val="center"/>
          </w:tcPr>
          <w:p>
            <w:pPr>
              <w:pStyle w:val="100"/>
              <w:widowControl w:val="0"/>
              <w:bidi w:val="0"/>
              <w:adjustRightInd w:val="0"/>
              <w:snapToGrid w:val="0"/>
            </w:pPr>
            <w:r>
              <w:rPr>
                <w:rFonts w:hint="eastAsia"/>
              </w:rPr>
              <w:t>/</w:t>
            </w:r>
          </w:p>
        </w:tc>
        <w:tc>
          <w:tcPr>
            <w:tcW w:w="1701" w:type="dxa"/>
            <w:vAlign w:val="center"/>
          </w:tcPr>
          <w:p>
            <w:pPr>
              <w:pStyle w:val="100"/>
              <w:widowControl w:val="0"/>
              <w:bidi w:val="0"/>
              <w:adjustRightInd w:val="0"/>
              <w:snapToGrid w:val="0"/>
              <w:rPr>
                <w:rFonts w:hint="eastAsia"/>
                <w:lang w:eastAsia="zh-CN"/>
              </w:rPr>
            </w:pPr>
            <w:r>
              <w:rPr>
                <w:rFonts w:hint="eastAsia"/>
                <w:lang w:val="en-US" w:eastAsia="zh-CN"/>
              </w:rPr>
              <w:t>/</w:t>
            </w:r>
          </w:p>
        </w:tc>
        <w:tc>
          <w:tcPr>
            <w:tcW w:w="1702" w:type="dxa"/>
            <w:vAlign w:val="center"/>
          </w:tcPr>
          <w:p>
            <w:pPr>
              <w:pStyle w:val="100"/>
              <w:widowControl w:val="0"/>
              <w:bidi w:val="0"/>
              <w:adjustRightInd w:val="0"/>
              <w:snapToGrid w:val="0"/>
              <w:rPr>
                <w:rFonts w:hint="eastAsia"/>
                <w:lang w:eastAsia="zh-CN"/>
              </w:rPr>
            </w:pPr>
            <w:r>
              <w:rPr>
                <w:rFonts w:hint="eastAsia"/>
                <w:lang w:val="en-US" w:eastAsia="zh-CN"/>
              </w:rPr>
              <w:t>/</w:t>
            </w:r>
          </w:p>
        </w:tc>
        <w:tc>
          <w:tcPr>
            <w:tcW w:w="1772" w:type="dxa"/>
            <w:vAlign w:val="center"/>
          </w:tcPr>
          <w:p>
            <w:pPr>
              <w:pStyle w:val="100"/>
              <w:widowControl w:val="0"/>
              <w:bidi w:val="0"/>
              <w:adjustRightInd w:val="0"/>
              <w:snapToGrid w:val="0"/>
              <w:rPr>
                <w:rFonts w:hint="eastAsia"/>
                <w:lang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t>绿化</w:t>
            </w:r>
          </w:p>
        </w:tc>
        <w:tc>
          <w:tcPr>
            <w:tcW w:w="1463" w:type="dxa"/>
            <w:vAlign w:val="center"/>
          </w:tcPr>
          <w:p>
            <w:pPr>
              <w:pStyle w:val="100"/>
              <w:widowControl w:val="0"/>
              <w:bidi w:val="0"/>
              <w:adjustRightInd w:val="0"/>
              <w:snapToGrid w:val="0"/>
            </w:pPr>
            <w:r>
              <w:rPr>
                <w:rFonts w:hint="eastAsia"/>
              </w:rPr>
              <w:t>整个厂区绿化率约为</w:t>
            </w:r>
            <w:r>
              <w:rPr>
                <w:rFonts w:hint="eastAsia"/>
                <w:lang w:val="en-US" w:eastAsia="zh-CN"/>
              </w:rPr>
              <w:t>1.2</w:t>
            </w:r>
            <w:r>
              <w:rPr>
                <w:rFonts w:hint="eastAsia"/>
              </w:rPr>
              <w:t>%。</w:t>
            </w:r>
          </w:p>
        </w:tc>
        <w:tc>
          <w:tcPr>
            <w:tcW w:w="1701" w:type="dxa"/>
            <w:vAlign w:val="center"/>
          </w:tcPr>
          <w:p>
            <w:pPr>
              <w:pStyle w:val="100"/>
              <w:widowControl w:val="0"/>
              <w:bidi w:val="0"/>
              <w:adjustRightInd w:val="0"/>
              <w:snapToGrid w:val="0"/>
              <w:rPr>
                <w:rFonts w:hint="default"/>
                <w:lang w:val="en-US" w:eastAsia="zh-CN"/>
              </w:rPr>
            </w:pPr>
            <w:r>
              <w:rPr>
                <w:rFonts w:hint="eastAsia"/>
                <w:lang w:val="en-US" w:eastAsia="zh-CN"/>
              </w:rPr>
              <w:t>整个厂区绿化率约为1.7%</w:t>
            </w:r>
          </w:p>
        </w:tc>
        <w:tc>
          <w:tcPr>
            <w:tcW w:w="1702" w:type="dxa"/>
            <w:vAlign w:val="center"/>
          </w:tcPr>
          <w:p>
            <w:pPr>
              <w:pStyle w:val="100"/>
              <w:widowControl w:val="0"/>
              <w:bidi w:val="0"/>
              <w:adjustRightInd w:val="0"/>
              <w:snapToGrid w:val="0"/>
            </w:pPr>
            <w:r>
              <w:rPr>
                <w:rFonts w:hint="eastAsia"/>
              </w:rPr>
              <w:t>整个厂区绿化率约为</w:t>
            </w:r>
            <w:r>
              <w:rPr>
                <w:rFonts w:hint="eastAsia"/>
                <w:lang w:val="en-US" w:eastAsia="zh-CN"/>
              </w:rPr>
              <w:t>1.7</w:t>
            </w:r>
            <w:r>
              <w:rPr>
                <w:rFonts w:hint="eastAsia"/>
              </w:rPr>
              <w:t>%。</w:t>
            </w:r>
          </w:p>
        </w:tc>
        <w:tc>
          <w:tcPr>
            <w:tcW w:w="1772" w:type="dxa"/>
            <w:vAlign w:val="center"/>
          </w:tcPr>
          <w:p>
            <w:pPr>
              <w:pStyle w:val="100"/>
              <w:widowControl w:val="0"/>
              <w:bidi w:val="0"/>
              <w:adjustRightInd w:val="0"/>
              <w:snapToGrid w:val="0"/>
              <w:rPr>
                <w:rFonts w:hint="eastAsia"/>
                <w:lang w:eastAsia="zh-CN"/>
              </w:rPr>
            </w:pPr>
            <w:r>
              <w:rPr>
                <w:rFonts w:hint="eastAsia"/>
              </w:rPr>
              <w:t>依托</w:t>
            </w:r>
            <w:r>
              <w:rPr>
                <w:rFonts w:hint="eastAsia"/>
                <w:lang w:val="en-US" w:eastAsia="zh-CN"/>
              </w:rPr>
              <w:t>新厂区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vAlign w:val="center"/>
          </w:tcPr>
          <w:p>
            <w:pPr>
              <w:pStyle w:val="100"/>
              <w:widowControl w:val="0"/>
              <w:bidi w:val="0"/>
              <w:adjustRightInd w:val="0"/>
              <w:snapToGrid w:val="0"/>
            </w:pPr>
            <w:r>
              <w:rPr>
                <w:rFonts w:hint="eastAsia"/>
              </w:rPr>
              <w:t>环保工程</w:t>
            </w:r>
          </w:p>
        </w:tc>
        <w:tc>
          <w:tcPr>
            <w:tcW w:w="1230" w:type="dxa"/>
            <w:gridSpan w:val="2"/>
            <w:vAlign w:val="center"/>
          </w:tcPr>
          <w:p>
            <w:pPr>
              <w:pStyle w:val="100"/>
              <w:widowControl w:val="0"/>
              <w:bidi w:val="0"/>
              <w:adjustRightInd w:val="0"/>
              <w:snapToGrid w:val="0"/>
              <w:rPr>
                <w:rFonts w:hint="default"/>
                <w:lang w:val="en-US" w:eastAsia="zh-CN"/>
              </w:rPr>
            </w:pPr>
            <w:r>
              <w:rPr>
                <w:rFonts w:hint="eastAsia"/>
                <w:lang w:val="en-US" w:eastAsia="zh-CN"/>
              </w:rPr>
              <w:t>印刷车间废气</w:t>
            </w:r>
          </w:p>
        </w:tc>
        <w:tc>
          <w:tcPr>
            <w:tcW w:w="1463" w:type="dxa"/>
            <w:vAlign w:val="center"/>
          </w:tcPr>
          <w:p>
            <w:pPr>
              <w:pStyle w:val="100"/>
              <w:widowControl w:val="0"/>
              <w:bidi w:val="0"/>
              <w:adjustRightInd w:val="0"/>
              <w:snapToGrid w:val="0"/>
              <w:rPr>
                <w:rFonts w:hint="default"/>
                <w:lang w:val="en-US" w:eastAsia="zh-CN"/>
              </w:rPr>
            </w:pPr>
            <w:r>
              <w:rPr>
                <w:rFonts w:hint="eastAsia"/>
                <w:lang w:val="en-US" w:eastAsia="zh-CN"/>
              </w:rPr>
              <w:t>原有项目无废气产生</w:t>
            </w:r>
          </w:p>
        </w:tc>
        <w:tc>
          <w:tcPr>
            <w:tcW w:w="1701" w:type="dxa"/>
            <w:vAlign w:val="center"/>
          </w:tcPr>
          <w:p>
            <w:pPr>
              <w:pStyle w:val="100"/>
              <w:widowControl w:val="0"/>
              <w:bidi w:val="0"/>
              <w:adjustRightInd w:val="0"/>
              <w:snapToGrid w:val="0"/>
            </w:pPr>
            <w:r>
              <w:rPr>
                <w:rFonts w:hint="eastAsia"/>
                <w:lang w:val="en-US" w:eastAsia="zh-CN"/>
              </w:rPr>
              <w:t>新增“二级活性炭”废气治理设施TA001一套，废气收集率90%，废气处理效率90%，尾气通过15米高排气筒DA001排放。</w:t>
            </w:r>
          </w:p>
        </w:tc>
        <w:tc>
          <w:tcPr>
            <w:tcW w:w="1702" w:type="dxa"/>
            <w:vAlign w:val="center"/>
          </w:tcPr>
          <w:p>
            <w:pPr>
              <w:pStyle w:val="100"/>
              <w:widowControl w:val="0"/>
              <w:bidi w:val="0"/>
              <w:adjustRightInd w:val="0"/>
              <w:snapToGrid w:val="0"/>
            </w:pPr>
            <w:r>
              <w:rPr>
                <w:rFonts w:hint="eastAsia"/>
                <w:lang w:val="en-US" w:eastAsia="zh-CN"/>
              </w:rPr>
              <w:t>新增“二级活性炭”废气治理设施TA001一套，废气收集率90%，废气处理效率90%，尾气通过15米高排气筒DA001排放。</w:t>
            </w:r>
          </w:p>
        </w:tc>
        <w:tc>
          <w:tcPr>
            <w:tcW w:w="1772" w:type="dxa"/>
            <w:vAlign w:val="center"/>
          </w:tcPr>
          <w:p>
            <w:pPr>
              <w:pStyle w:val="100"/>
              <w:widowControl w:val="0"/>
              <w:bidi w:val="0"/>
              <w:adjustRightInd w:val="0"/>
              <w:snapToGrid w:val="0"/>
              <w:rPr>
                <w:rFonts w:hint="default"/>
                <w:lang w:val="en-US"/>
              </w:rPr>
            </w:pPr>
            <w:r>
              <w:rPr>
                <w:rFonts w:hint="eastAsia"/>
                <w:lang w:val="en-US" w:eastAsia="zh-CN"/>
              </w:rPr>
              <w:t>废气主要为油墨和水胶挥发产生的非甲烷总烃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rPr>
                <w:rFonts w:hint="eastAsia"/>
              </w:rPr>
              <w:t>废水处理</w:t>
            </w:r>
          </w:p>
        </w:tc>
        <w:tc>
          <w:tcPr>
            <w:tcW w:w="1463" w:type="dxa"/>
            <w:shd w:val="clear" w:color="auto" w:fill="auto"/>
            <w:vAlign w:val="center"/>
          </w:tcPr>
          <w:p>
            <w:pPr>
              <w:pStyle w:val="100"/>
              <w:widowControl w:val="0"/>
              <w:bidi w:val="0"/>
              <w:adjustRightInd w:val="0"/>
              <w:snapToGrid w:val="0"/>
              <w:rPr>
                <w:rFonts w:hint="default"/>
                <w:lang w:val="en-US" w:eastAsia="zh-CN"/>
              </w:rPr>
            </w:pPr>
            <w:r>
              <w:rPr>
                <w:rFonts w:hint="eastAsia"/>
                <w:lang w:val="en-US" w:eastAsia="zh-CN"/>
              </w:rPr>
              <w:t>原有项目无生产废水产生</w:t>
            </w:r>
          </w:p>
        </w:tc>
        <w:tc>
          <w:tcPr>
            <w:tcW w:w="1701" w:type="dxa"/>
            <w:vAlign w:val="center"/>
          </w:tcPr>
          <w:p>
            <w:pPr>
              <w:pStyle w:val="100"/>
              <w:widowControl w:val="0"/>
              <w:bidi w:val="0"/>
              <w:adjustRightInd w:val="0"/>
              <w:snapToGrid w:val="0"/>
              <w:rPr>
                <w:rFonts w:hint="default"/>
                <w:lang w:val="en-US" w:eastAsia="zh-CN"/>
              </w:rPr>
            </w:pPr>
            <w:r>
              <w:rPr>
                <w:rFonts w:hint="eastAsia"/>
                <w:lang w:val="en-US" w:eastAsia="zh-CN"/>
              </w:rPr>
              <w:t>本项目无生产废水产生</w:t>
            </w:r>
          </w:p>
        </w:tc>
        <w:tc>
          <w:tcPr>
            <w:tcW w:w="1702" w:type="dxa"/>
            <w:vAlign w:val="center"/>
          </w:tcPr>
          <w:p>
            <w:pPr>
              <w:pStyle w:val="100"/>
              <w:widowControl w:val="0"/>
              <w:bidi w:val="0"/>
              <w:adjustRightInd w:val="0"/>
              <w:snapToGrid w:val="0"/>
              <w:rPr>
                <w:rFonts w:hint="default"/>
                <w:lang w:val="en-US" w:eastAsia="zh-CN"/>
              </w:rPr>
            </w:pPr>
            <w:r>
              <w:rPr>
                <w:rFonts w:hint="eastAsia"/>
                <w:lang w:val="en-US" w:eastAsia="zh-CN"/>
              </w:rPr>
              <w:t>本项目无生产废水产生</w:t>
            </w:r>
          </w:p>
        </w:tc>
        <w:tc>
          <w:tcPr>
            <w:tcW w:w="1772" w:type="dxa"/>
            <w:vAlign w:val="center"/>
          </w:tcPr>
          <w:p>
            <w:pPr>
              <w:pStyle w:val="100"/>
              <w:widowControl w:val="0"/>
              <w:bidi w:val="0"/>
              <w:adjustRightInd w:val="0"/>
              <w:snapToGrid w:val="0"/>
              <w:rPr>
                <w:rFonts w:hint="eastAsia"/>
                <w:lang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Align w:val="center"/>
          </w:tcPr>
          <w:p>
            <w:pPr>
              <w:pStyle w:val="100"/>
              <w:widowControl w:val="0"/>
              <w:bidi w:val="0"/>
              <w:adjustRightInd w:val="0"/>
              <w:snapToGrid w:val="0"/>
            </w:pPr>
            <w:r>
              <w:t>噪声</w:t>
            </w:r>
          </w:p>
        </w:tc>
        <w:tc>
          <w:tcPr>
            <w:tcW w:w="1463" w:type="dxa"/>
            <w:vAlign w:val="center"/>
          </w:tcPr>
          <w:p>
            <w:pPr>
              <w:pStyle w:val="100"/>
              <w:widowControl w:val="0"/>
              <w:bidi w:val="0"/>
              <w:adjustRightInd w:val="0"/>
              <w:snapToGrid w:val="0"/>
            </w:pPr>
            <w:r>
              <w:rPr>
                <w:rFonts w:hint="eastAsia"/>
              </w:rPr>
              <w:t>隔声量≥</w:t>
            </w:r>
            <w:r>
              <w:t>30dB（A）</w:t>
            </w:r>
          </w:p>
        </w:tc>
        <w:tc>
          <w:tcPr>
            <w:tcW w:w="1701" w:type="dxa"/>
            <w:vAlign w:val="center"/>
          </w:tcPr>
          <w:p>
            <w:pPr>
              <w:pStyle w:val="100"/>
              <w:widowControl w:val="0"/>
              <w:bidi w:val="0"/>
              <w:adjustRightInd w:val="0"/>
              <w:snapToGrid w:val="0"/>
            </w:pPr>
            <w:r>
              <w:rPr>
                <w:rFonts w:hint="eastAsia"/>
              </w:rPr>
              <w:t>隔声量≥</w:t>
            </w:r>
            <w:r>
              <w:t>30dB（A）</w:t>
            </w:r>
          </w:p>
        </w:tc>
        <w:tc>
          <w:tcPr>
            <w:tcW w:w="1702" w:type="dxa"/>
            <w:vAlign w:val="center"/>
          </w:tcPr>
          <w:p>
            <w:pPr>
              <w:pStyle w:val="100"/>
              <w:widowControl w:val="0"/>
              <w:bidi w:val="0"/>
              <w:adjustRightInd w:val="0"/>
              <w:snapToGrid w:val="0"/>
            </w:pPr>
            <w:r>
              <w:rPr>
                <w:rFonts w:hint="eastAsia"/>
              </w:rPr>
              <w:t>隔声量≥</w:t>
            </w:r>
            <w:r>
              <w:t>30dB（A）</w:t>
            </w:r>
          </w:p>
        </w:tc>
        <w:tc>
          <w:tcPr>
            <w:tcW w:w="1772" w:type="dxa"/>
            <w:vAlign w:val="center"/>
          </w:tcPr>
          <w:p>
            <w:pPr>
              <w:pStyle w:val="100"/>
              <w:widowControl w:val="0"/>
              <w:bidi w:val="0"/>
              <w:adjustRightInd w:val="0"/>
              <w:snapToGrid w:val="0"/>
            </w:pPr>
            <w:r>
              <w:t>采用减震、隔声、设置绿化带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Merge w:val="restart"/>
            <w:vAlign w:val="center"/>
          </w:tcPr>
          <w:p>
            <w:pPr>
              <w:pStyle w:val="100"/>
              <w:widowControl w:val="0"/>
              <w:bidi w:val="0"/>
              <w:adjustRightInd w:val="0"/>
              <w:snapToGrid w:val="0"/>
            </w:pPr>
            <w:r>
              <w:t>固废处理</w:t>
            </w:r>
          </w:p>
        </w:tc>
        <w:tc>
          <w:tcPr>
            <w:tcW w:w="1463" w:type="dxa"/>
            <w:vAlign w:val="center"/>
          </w:tcPr>
          <w:p>
            <w:pPr>
              <w:pStyle w:val="100"/>
              <w:widowControl w:val="0"/>
              <w:bidi w:val="0"/>
              <w:adjustRightInd w:val="0"/>
              <w:snapToGrid w:val="0"/>
            </w:pPr>
            <w:r>
              <w:rPr>
                <w:rFonts w:hint="eastAsia"/>
              </w:rPr>
              <w:t>固废仓库</w:t>
            </w:r>
            <w:r>
              <w:rPr>
                <w:rFonts w:hint="eastAsia"/>
                <w:lang w:val="en-US" w:eastAsia="zh-CN"/>
              </w:rPr>
              <w:t>20</w:t>
            </w:r>
            <w:r>
              <w:t>m2</w:t>
            </w:r>
          </w:p>
        </w:tc>
        <w:tc>
          <w:tcPr>
            <w:tcW w:w="1701" w:type="dxa"/>
            <w:vAlign w:val="center"/>
          </w:tcPr>
          <w:p>
            <w:pPr>
              <w:pStyle w:val="100"/>
              <w:widowControl w:val="0"/>
              <w:bidi w:val="0"/>
              <w:adjustRightInd w:val="0"/>
              <w:snapToGrid w:val="0"/>
            </w:pPr>
            <w:r>
              <w:rPr>
                <w:rFonts w:hint="eastAsia"/>
              </w:rPr>
              <w:t>固废仓库</w:t>
            </w:r>
            <w:r>
              <w:rPr>
                <w:rFonts w:hint="eastAsia"/>
                <w:lang w:val="en-US" w:eastAsia="zh-CN"/>
              </w:rPr>
              <w:t>20</w:t>
            </w:r>
            <w:r>
              <w:t>m2</w:t>
            </w:r>
          </w:p>
        </w:tc>
        <w:tc>
          <w:tcPr>
            <w:tcW w:w="1702" w:type="dxa"/>
            <w:vAlign w:val="center"/>
          </w:tcPr>
          <w:p>
            <w:pPr>
              <w:pStyle w:val="100"/>
              <w:widowControl w:val="0"/>
              <w:bidi w:val="0"/>
              <w:adjustRightInd w:val="0"/>
              <w:snapToGrid w:val="0"/>
            </w:pPr>
            <w:r>
              <w:rPr>
                <w:rFonts w:hint="eastAsia"/>
              </w:rPr>
              <w:t>固废仓库</w:t>
            </w:r>
            <w:r>
              <w:rPr>
                <w:rFonts w:hint="eastAsia"/>
                <w:lang w:val="en-US" w:eastAsia="zh-CN"/>
              </w:rPr>
              <w:t>20</w:t>
            </w:r>
            <w:r>
              <w:rPr>
                <w:rFonts w:hint="eastAsia"/>
              </w:rPr>
              <w:t>m2</w:t>
            </w:r>
          </w:p>
        </w:tc>
        <w:tc>
          <w:tcPr>
            <w:tcW w:w="1772" w:type="dxa"/>
            <w:vAlign w:val="center"/>
          </w:tcPr>
          <w:p>
            <w:pPr>
              <w:pStyle w:val="100"/>
              <w:widowControl w:val="0"/>
              <w:bidi w:val="0"/>
              <w:adjustRightInd w:val="0"/>
              <w:snapToGrid w:val="0"/>
              <w:rPr>
                <w:rFonts w:hint="eastAsia"/>
                <w:lang w:eastAsia="zh-CN"/>
              </w:rPr>
            </w:pPr>
            <w:r>
              <w:rPr>
                <w:rFonts w:hint="eastAsia"/>
              </w:rPr>
              <w:t>依托</w:t>
            </w:r>
            <w:r>
              <w:rPr>
                <w:rFonts w:hint="eastAsia"/>
                <w:lang w:val="en-US" w:eastAsia="zh-CN"/>
              </w:rPr>
              <w:t>新厂房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pPr>
              <w:pStyle w:val="100"/>
              <w:widowControl w:val="0"/>
              <w:bidi w:val="0"/>
              <w:adjustRightInd w:val="0"/>
              <w:snapToGrid w:val="0"/>
            </w:pPr>
          </w:p>
        </w:tc>
        <w:tc>
          <w:tcPr>
            <w:tcW w:w="1230" w:type="dxa"/>
            <w:gridSpan w:val="2"/>
            <w:vMerge w:val="continue"/>
            <w:vAlign w:val="center"/>
          </w:tcPr>
          <w:p>
            <w:pPr>
              <w:pStyle w:val="100"/>
              <w:widowControl w:val="0"/>
              <w:bidi w:val="0"/>
              <w:adjustRightInd w:val="0"/>
              <w:snapToGrid w:val="0"/>
            </w:pPr>
          </w:p>
        </w:tc>
        <w:tc>
          <w:tcPr>
            <w:tcW w:w="1463" w:type="dxa"/>
            <w:vAlign w:val="center"/>
          </w:tcPr>
          <w:p>
            <w:pPr>
              <w:pStyle w:val="100"/>
              <w:widowControl w:val="0"/>
              <w:bidi w:val="0"/>
              <w:adjustRightInd w:val="0"/>
              <w:snapToGrid w:val="0"/>
            </w:pPr>
            <w:r>
              <w:rPr>
                <w:rFonts w:hint="eastAsia"/>
              </w:rPr>
              <w:t>危废仓库</w:t>
            </w:r>
            <w:r>
              <w:rPr>
                <w:rFonts w:hint="eastAsia"/>
                <w:lang w:val="en-US" w:eastAsia="zh-CN"/>
              </w:rPr>
              <w:t>21</w:t>
            </w:r>
            <w:r>
              <w:t>m2</w:t>
            </w:r>
          </w:p>
        </w:tc>
        <w:tc>
          <w:tcPr>
            <w:tcW w:w="1701" w:type="dxa"/>
            <w:vAlign w:val="center"/>
          </w:tcPr>
          <w:p>
            <w:pPr>
              <w:pStyle w:val="100"/>
              <w:widowControl w:val="0"/>
              <w:bidi w:val="0"/>
              <w:adjustRightInd w:val="0"/>
              <w:snapToGrid w:val="0"/>
            </w:pPr>
            <w:r>
              <w:rPr>
                <w:rFonts w:hint="eastAsia"/>
              </w:rPr>
              <w:t>危废仓库</w:t>
            </w:r>
            <w:r>
              <w:rPr>
                <w:rFonts w:hint="eastAsia"/>
                <w:lang w:val="en-US" w:eastAsia="zh-CN"/>
              </w:rPr>
              <w:t>21</w:t>
            </w:r>
            <w:r>
              <w:t>m2</w:t>
            </w:r>
          </w:p>
        </w:tc>
        <w:tc>
          <w:tcPr>
            <w:tcW w:w="1702" w:type="dxa"/>
            <w:vAlign w:val="center"/>
          </w:tcPr>
          <w:p>
            <w:pPr>
              <w:pStyle w:val="100"/>
              <w:widowControl w:val="0"/>
              <w:bidi w:val="0"/>
              <w:adjustRightInd w:val="0"/>
              <w:snapToGrid w:val="0"/>
            </w:pPr>
            <w:r>
              <w:rPr>
                <w:rFonts w:hint="eastAsia"/>
              </w:rPr>
              <w:t>危废仓库</w:t>
            </w:r>
            <w:r>
              <w:rPr>
                <w:rFonts w:hint="eastAsia"/>
                <w:lang w:val="en-US" w:eastAsia="zh-CN"/>
              </w:rPr>
              <w:t>21</w:t>
            </w:r>
            <w:r>
              <w:rPr>
                <w:rFonts w:hint="eastAsia"/>
              </w:rPr>
              <w:t>m2</w:t>
            </w:r>
          </w:p>
        </w:tc>
        <w:tc>
          <w:tcPr>
            <w:tcW w:w="1772" w:type="dxa"/>
            <w:vAlign w:val="center"/>
          </w:tcPr>
          <w:p>
            <w:pPr>
              <w:pStyle w:val="100"/>
              <w:widowControl w:val="0"/>
              <w:bidi w:val="0"/>
              <w:adjustRightInd w:val="0"/>
              <w:snapToGrid w:val="0"/>
              <w:rPr>
                <w:rFonts w:hint="eastAsia"/>
                <w:lang w:val="en-US" w:eastAsia="zh-CN"/>
              </w:rPr>
            </w:pPr>
            <w:r>
              <w:rPr>
                <w:rFonts w:hint="eastAsia"/>
              </w:rPr>
              <w:t>依托</w:t>
            </w:r>
            <w:r>
              <w:rPr>
                <w:rFonts w:hint="eastAsia"/>
                <w:lang w:val="en-US" w:eastAsia="zh-CN"/>
              </w:rPr>
              <w:t>新厂房</w:t>
            </w:r>
          </w:p>
        </w:tc>
      </w:tr>
      <w:bookmarkEnd w:id="21"/>
    </w:tbl>
    <w:p>
      <w:pPr>
        <w:pStyle w:val="104"/>
      </w:pPr>
      <w:r>
        <w:t>建设项目地理位置、厂区平面布置及厂界周围环境概况</w:t>
      </w:r>
    </w:p>
    <w:p>
      <w:pPr>
        <w:pStyle w:val="103"/>
        <w:bidi w:val="0"/>
      </w:pPr>
      <w:r>
        <w:rPr>
          <w:rFonts w:hint="eastAsia"/>
        </w:rPr>
        <w:t>本项目位于苏州市吴江经济技术开发区吉市东路217号</w:t>
      </w:r>
      <w:r>
        <w:t>，地理位置见附图1。项目东</w:t>
      </w:r>
      <w:r>
        <w:rPr>
          <w:rFonts w:hint="eastAsia"/>
        </w:rPr>
        <w:t>侧为新浜路</w:t>
      </w:r>
      <w:r>
        <w:t>、南侧均</w:t>
      </w:r>
      <w:r>
        <w:rPr>
          <w:rFonts w:hint="eastAsia"/>
        </w:rPr>
        <w:t>为星晖印刷厂厂房；西侧为帏翔电子科技科技有限公司；北侧为吉市东路。本项目周围</w:t>
      </w:r>
      <w:r>
        <w:t>300米内无居民。本项目实行雨污分流，生活</w:t>
      </w:r>
      <w:r>
        <w:rPr>
          <w:rFonts w:hint="eastAsia"/>
        </w:rPr>
        <w:t>污水排放口设置在厂区南侧，雨水排放口设置在厂区东北侧，厂区雨水进入市政雨水管网后最终进入东侧同里运河。项目周边环境图见附图</w:t>
      </w:r>
      <w:r>
        <w:t>2。</w:t>
      </w:r>
    </w:p>
    <w:p>
      <w:pPr>
        <w:pStyle w:val="103"/>
        <w:bidi w:val="0"/>
      </w:pPr>
      <w:r>
        <w:rPr>
          <w:rFonts w:hint="eastAsia"/>
        </w:rPr>
        <w:t>本项目共租用1</w:t>
      </w:r>
      <w:r>
        <w:t>层，</w:t>
      </w:r>
      <w:r>
        <w:rPr>
          <w:rFonts w:hint="eastAsia"/>
        </w:rPr>
        <w:t>分别设置印刷车间、裁切室、冲压车间、品检区、成品仓库、原料仓库、</w:t>
      </w:r>
      <w:r>
        <w:rPr>
          <w:rFonts w:hint="eastAsia"/>
          <w:lang w:val="en-US" w:eastAsia="zh-CN"/>
        </w:rPr>
        <w:t>固废仓库、</w:t>
      </w:r>
      <w:r>
        <w:rPr>
          <w:rFonts w:hint="eastAsia"/>
        </w:rPr>
        <w:t>危废仓库、办公区域以及洗手间</w:t>
      </w:r>
      <w:r>
        <w:t>，具体厂区总体布局见</w:t>
      </w:r>
      <w:r>
        <w:rPr>
          <w:rFonts w:hint="eastAsia"/>
        </w:rPr>
        <w:t>附图</w:t>
      </w:r>
      <w:r>
        <w:t>3-1、3-2。</w:t>
      </w:r>
    </w:p>
    <w:p>
      <w:pPr>
        <w:pStyle w:val="104"/>
        <w:rPr>
          <w:rFonts w:hint="eastAsia"/>
        </w:rPr>
      </w:pPr>
      <w:r>
        <w:rPr>
          <w:rFonts w:hint="eastAsia"/>
          <w:lang w:val="en-US" w:eastAsia="zh-CN"/>
        </w:rPr>
        <w:t>本项目所用油墨分析</w:t>
      </w:r>
    </w:p>
    <w:p>
      <w:pPr>
        <w:pStyle w:val="103"/>
        <w:bidi w:val="0"/>
        <w:rPr>
          <w:rFonts w:hint="default"/>
          <w:lang w:val="en-US" w:eastAsia="zh-CN"/>
        </w:rPr>
      </w:pPr>
      <w:r>
        <w:rPr>
          <w:rFonts w:hint="eastAsia"/>
          <w:lang w:val="en-US" w:eastAsia="zh-CN"/>
        </w:rPr>
        <w:t>本项目所使用的油墨为滁州金桥德克新材料有限公司制造的WPT-A-8501 水性黑 水性丝网印刷油墨，以下内容为对该款油墨的分析：</w:t>
      </w:r>
    </w:p>
    <w:p>
      <w:pPr>
        <w:pStyle w:val="103"/>
        <w:rPr>
          <w:rFonts w:hint="eastAsia"/>
          <w:b/>
          <w:bCs w:val="0"/>
          <w:lang w:val="en-US" w:eastAsia="zh-CN"/>
        </w:rPr>
      </w:pPr>
      <w:r>
        <w:rPr>
          <w:rFonts w:hint="eastAsia"/>
          <w:b/>
          <w:bCs w:val="0"/>
          <w:lang w:val="en-US" w:eastAsia="zh-CN"/>
        </w:rPr>
        <w:t>1.1.4.1 与《环境标志产品技术要求 凹印油墨和柔印油墨》相符性分析</w:t>
      </w:r>
    </w:p>
    <w:p>
      <w:pPr>
        <w:pStyle w:val="103"/>
        <w:bidi w:val="0"/>
        <w:rPr>
          <w:rFonts w:hint="default"/>
          <w:lang w:val="en-US" w:eastAsia="zh-CN"/>
        </w:rPr>
      </w:pPr>
      <w:r>
        <w:rPr>
          <w:rFonts w:hint="eastAsia"/>
          <w:lang w:val="en-US" w:eastAsia="zh-CN"/>
        </w:rPr>
        <w:t>与《环境标志产品技术要求 凹印油墨和柔印油墨》相符性分析见表1-11。</w:t>
      </w:r>
    </w:p>
    <w:p>
      <w:pPr>
        <w:pStyle w:val="273"/>
        <w:bidi w:val="0"/>
        <w:rPr>
          <w:rFonts w:hint="default"/>
          <w:lang w:val="en-US" w:eastAsia="zh-CN"/>
        </w:rPr>
      </w:pPr>
      <w:r>
        <w:rPr>
          <w:rFonts w:hint="eastAsia"/>
          <w:lang w:val="en-US" w:eastAsia="zh-CN"/>
        </w:rPr>
        <w:t>表1-11 与《环境标志产品技术要求 凹印油墨和柔印油墨》相符性分析</w:t>
      </w:r>
    </w:p>
    <w:tbl>
      <w:tblPr>
        <w:tblStyle w:val="260"/>
        <w:tblpPr w:leftFromText="180" w:rightFromText="180" w:vertAnchor="text" w:tblpXSpec="center" w:tblpY="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00"/>
        <w:gridCol w:w="4509"/>
        <w:gridCol w:w="1561"/>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pPr>
              <w:pStyle w:val="100"/>
              <w:widowControl w:val="0"/>
              <w:bidi w:val="0"/>
              <w:adjustRightInd w:val="0"/>
              <w:snapToGrid w:val="0"/>
            </w:pPr>
            <w:r>
              <w:rPr>
                <w:rFonts w:hint="eastAsia"/>
              </w:rPr>
              <w:t>类别</w:t>
            </w:r>
          </w:p>
        </w:tc>
        <w:tc>
          <w:tcPr>
            <w:tcW w:w="410" w:type="pct"/>
            <w:vAlign w:val="center"/>
          </w:tcPr>
          <w:p>
            <w:pPr>
              <w:pStyle w:val="100"/>
              <w:widowControl w:val="0"/>
              <w:bidi w:val="0"/>
              <w:adjustRightInd w:val="0"/>
              <w:snapToGrid w:val="0"/>
            </w:pPr>
            <w:r>
              <w:rPr>
                <w:rFonts w:hint="eastAsia"/>
              </w:rPr>
              <w:t>序号</w:t>
            </w:r>
          </w:p>
        </w:tc>
        <w:tc>
          <w:tcPr>
            <w:tcW w:w="2643" w:type="pct"/>
            <w:vAlign w:val="center"/>
          </w:tcPr>
          <w:p>
            <w:pPr>
              <w:pStyle w:val="100"/>
              <w:widowControl w:val="0"/>
              <w:bidi w:val="0"/>
              <w:adjustRightInd w:val="0"/>
              <w:snapToGrid w:val="0"/>
            </w:pPr>
            <w:r>
              <w:rPr>
                <w:rFonts w:hint="eastAsia"/>
              </w:rPr>
              <w:t>要求</w:t>
            </w:r>
          </w:p>
        </w:tc>
        <w:tc>
          <w:tcPr>
            <w:tcW w:w="915" w:type="pct"/>
            <w:vAlign w:val="center"/>
          </w:tcPr>
          <w:p>
            <w:pPr>
              <w:pStyle w:val="100"/>
              <w:widowControl w:val="0"/>
              <w:bidi w:val="0"/>
              <w:adjustRightInd w:val="0"/>
              <w:snapToGrid w:val="0"/>
            </w:pPr>
            <w:r>
              <w:rPr>
                <w:rFonts w:hint="eastAsia"/>
              </w:rPr>
              <w:t>本项目情况</w:t>
            </w:r>
          </w:p>
        </w:tc>
        <w:tc>
          <w:tcPr>
            <w:tcW w:w="515"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pStyle w:val="100"/>
              <w:widowControl w:val="0"/>
              <w:bidi w:val="0"/>
              <w:adjustRightInd w:val="0"/>
              <w:snapToGrid w:val="0"/>
            </w:pPr>
            <w:r>
              <w:rPr>
                <w:rFonts w:hint="eastAsia"/>
                <w:lang w:val="en-US" w:eastAsia="zh-CN"/>
              </w:rPr>
              <w:t>《环境标志产品技术要求 凹印油墨和柔印油墨》</w:t>
            </w:r>
          </w:p>
        </w:tc>
        <w:tc>
          <w:tcPr>
            <w:tcW w:w="410" w:type="pct"/>
            <w:vAlign w:val="center"/>
          </w:tcPr>
          <w:p>
            <w:pPr>
              <w:pStyle w:val="100"/>
              <w:widowControl w:val="0"/>
              <w:bidi w:val="0"/>
              <w:adjustRightInd w:val="0"/>
              <w:snapToGrid w:val="0"/>
            </w:pPr>
            <w:r>
              <w:t>1</w:t>
            </w:r>
          </w:p>
        </w:tc>
        <w:tc>
          <w:tcPr>
            <w:tcW w:w="2643" w:type="pct"/>
            <w:vAlign w:val="center"/>
          </w:tcPr>
          <w:p>
            <w:pPr>
              <w:pStyle w:val="100"/>
              <w:widowControl w:val="0"/>
              <w:bidi w:val="0"/>
              <w:adjustRightInd w:val="0"/>
              <w:snapToGrid w:val="0"/>
            </w:pPr>
            <w:r>
              <w:rPr>
                <w:rFonts w:hint="eastAsia"/>
                <w:lang w:val="en-US" w:eastAsia="zh-CN"/>
              </w:rPr>
              <w:t>产品中不应添加甲醇、甲醛、卤代烃、丙酮、丁酮、环己酮、甲基异丁基甲酮、异佛尔酮、对苯二酚、对甲氧基苯酚及苯类溶剂。</w:t>
            </w:r>
          </w:p>
        </w:tc>
        <w:tc>
          <w:tcPr>
            <w:tcW w:w="915" w:type="pct"/>
            <w:vAlign w:val="center"/>
          </w:tcPr>
          <w:p>
            <w:pPr>
              <w:pStyle w:val="100"/>
              <w:widowControl w:val="0"/>
              <w:bidi w:val="0"/>
              <w:adjustRightInd w:val="0"/>
              <w:snapToGrid w:val="0"/>
              <w:rPr>
                <w:rFonts w:hint="eastAsia"/>
                <w:lang w:eastAsia="zh-CN"/>
              </w:rPr>
            </w:pPr>
            <w:r>
              <w:rPr>
                <w:rFonts w:hint="eastAsia"/>
                <w:lang w:val="en-US" w:eastAsia="zh-CN"/>
              </w:rP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100"/>
              <w:widowControl w:val="0"/>
              <w:bidi w:val="0"/>
              <w:adjustRightInd w:val="0"/>
              <w:snapToGrid w:val="0"/>
            </w:pPr>
          </w:p>
        </w:tc>
        <w:tc>
          <w:tcPr>
            <w:tcW w:w="410" w:type="pct"/>
            <w:vAlign w:val="center"/>
          </w:tcPr>
          <w:p>
            <w:pPr>
              <w:pStyle w:val="100"/>
              <w:widowControl w:val="0"/>
              <w:bidi w:val="0"/>
              <w:adjustRightInd w:val="0"/>
              <w:snapToGrid w:val="0"/>
            </w:pPr>
            <w:r>
              <w:t>2</w:t>
            </w:r>
          </w:p>
        </w:tc>
        <w:tc>
          <w:tcPr>
            <w:tcW w:w="2643" w:type="pct"/>
            <w:vAlign w:val="center"/>
          </w:tcPr>
          <w:p>
            <w:pPr>
              <w:pStyle w:val="100"/>
              <w:widowControl w:val="0"/>
              <w:bidi w:val="0"/>
              <w:adjustRightInd w:val="0"/>
              <w:snapToGrid w:val="0"/>
              <w:rPr>
                <w:rFonts w:hint="default"/>
                <w:lang w:val="en-US" w:eastAsia="zh-CN"/>
              </w:rPr>
            </w:pPr>
            <w:r>
              <w:rPr>
                <w:rFonts w:hint="eastAsia"/>
                <w:lang w:val="en-US" w:eastAsia="zh-CN"/>
              </w:rPr>
              <w:t>产品中不应添加烷基酚聚氧乙烯醚（APEOs）及附录A中列出的乙二醇醚类物质。</w:t>
            </w:r>
          </w:p>
        </w:tc>
        <w:tc>
          <w:tcPr>
            <w:tcW w:w="915" w:type="pct"/>
            <w:vAlign w:val="center"/>
          </w:tcPr>
          <w:p>
            <w:pPr>
              <w:pStyle w:val="100"/>
              <w:widowControl w:val="0"/>
              <w:bidi w:val="0"/>
              <w:adjustRightInd w:val="0"/>
              <w:snapToGrid w:val="0"/>
            </w:pPr>
            <w: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100"/>
              <w:widowControl w:val="0"/>
              <w:bidi w:val="0"/>
              <w:adjustRightInd w:val="0"/>
              <w:snapToGrid w:val="0"/>
            </w:pPr>
          </w:p>
        </w:tc>
        <w:tc>
          <w:tcPr>
            <w:tcW w:w="410" w:type="pct"/>
            <w:vAlign w:val="center"/>
          </w:tcPr>
          <w:p>
            <w:pPr>
              <w:pStyle w:val="100"/>
              <w:widowControl w:val="0"/>
              <w:bidi w:val="0"/>
              <w:adjustRightInd w:val="0"/>
              <w:snapToGrid w:val="0"/>
            </w:pPr>
            <w:r>
              <w:t>3</w:t>
            </w:r>
          </w:p>
        </w:tc>
        <w:tc>
          <w:tcPr>
            <w:tcW w:w="2643" w:type="pct"/>
            <w:vAlign w:val="center"/>
          </w:tcPr>
          <w:p>
            <w:pPr>
              <w:pStyle w:val="100"/>
              <w:widowControl w:val="0"/>
              <w:bidi w:val="0"/>
              <w:adjustRightInd w:val="0"/>
              <w:snapToGrid w:val="0"/>
              <w:rPr>
                <w:rFonts w:hint="default"/>
                <w:lang w:val="en-US" w:eastAsia="zh-CN"/>
              </w:rPr>
            </w:pPr>
            <w:r>
              <w:rPr>
                <w:rFonts w:hint="eastAsia"/>
                <w:lang w:val="en-US" w:eastAsia="zh-CN"/>
              </w:rPr>
              <w:t>产品中不应添加附录B中列出的领苯二甲酸酯类增塑剂。</w:t>
            </w:r>
          </w:p>
        </w:tc>
        <w:tc>
          <w:tcPr>
            <w:tcW w:w="915" w:type="pct"/>
            <w:vAlign w:val="center"/>
          </w:tcPr>
          <w:p>
            <w:pPr>
              <w:pStyle w:val="100"/>
              <w:widowControl w:val="0"/>
              <w:bidi w:val="0"/>
              <w:adjustRightInd w:val="0"/>
              <w:snapToGrid w:val="0"/>
            </w:pPr>
            <w: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100"/>
              <w:widowControl w:val="0"/>
              <w:bidi w:val="0"/>
              <w:adjustRightInd w:val="0"/>
              <w:snapToGrid w:val="0"/>
            </w:pPr>
          </w:p>
        </w:tc>
        <w:tc>
          <w:tcPr>
            <w:tcW w:w="410" w:type="pct"/>
            <w:vAlign w:val="center"/>
          </w:tcPr>
          <w:p>
            <w:pPr>
              <w:pStyle w:val="100"/>
              <w:widowControl w:val="0"/>
              <w:bidi w:val="0"/>
              <w:adjustRightInd w:val="0"/>
              <w:snapToGrid w:val="0"/>
              <w:rPr>
                <w:rFonts w:hint="eastAsia"/>
                <w:lang w:val="en-US" w:eastAsia="zh-CN"/>
              </w:rPr>
            </w:pPr>
            <w:r>
              <w:rPr>
                <w:rFonts w:hint="eastAsia"/>
                <w:lang w:val="en-US" w:eastAsia="zh-CN"/>
              </w:rPr>
              <w:t>4</w:t>
            </w:r>
          </w:p>
        </w:tc>
        <w:tc>
          <w:tcPr>
            <w:tcW w:w="2643" w:type="pct"/>
            <w:vAlign w:val="center"/>
          </w:tcPr>
          <w:p>
            <w:pPr>
              <w:pStyle w:val="100"/>
              <w:widowControl w:val="0"/>
              <w:bidi w:val="0"/>
              <w:adjustRightInd w:val="0"/>
              <w:snapToGrid w:val="0"/>
              <w:rPr>
                <w:rFonts w:hint="default"/>
                <w:lang w:val="en-US" w:eastAsia="zh-CN"/>
              </w:rPr>
            </w:pPr>
            <w:r>
              <w:rPr>
                <w:rFonts w:hint="eastAsia"/>
                <w:lang w:val="en-US" w:eastAsia="zh-CN"/>
              </w:rPr>
              <w:t>产品中不应添加HJ 2546-2016中附录A、附录B和附录C规定的偶氮染料、致癌染料、致敏性分散染料。</w:t>
            </w:r>
          </w:p>
        </w:tc>
        <w:tc>
          <w:tcPr>
            <w:tcW w:w="915" w:type="pct"/>
            <w:vAlign w:val="center"/>
          </w:tcPr>
          <w:p>
            <w:pPr>
              <w:pStyle w:val="100"/>
              <w:widowControl w:val="0"/>
              <w:bidi w:val="0"/>
              <w:adjustRightInd w:val="0"/>
              <w:snapToGrid w:val="0"/>
              <w:rPr>
                <w:rFonts w:hint="eastAsia"/>
                <w:lang w:val="en-US" w:eastAsia="zh-CN"/>
              </w:rPr>
            </w:pPr>
            <w:r>
              <w:rPr>
                <w:rFonts w:hint="eastAsia"/>
                <w:lang w:val="en-US" w:eastAsia="zh-CN"/>
              </w:rP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100"/>
              <w:widowControl w:val="0"/>
              <w:bidi w:val="0"/>
              <w:adjustRightInd w:val="0"/>
              <w:snapToGrid w:val="0"/>
            </w:pPr>
          </w:p>
        </w:tc>
        <w:tc>
          <w:tcPr>
            <w:tcW w:w="410" w:type="pct"/>
            <w:vAlign w:val="center"/>
          </w:tcPr>
          <w:p>
            <w:pPr>
              <w:pStyle w:val="100"/>
              <w:widowControl w:val="0"/>
              <w:bidi w:val="0"/>
              <w:adjustRightInd w:val="0"/>
              <w:snapToGrid w:val="0"/>
              <w:rPr>
                <w:rFonts w:hint="eastAsia"/>
                <w:lang w:val="en-US" w:eastAsia="zh-CN"/>
              </w:rPr>
            </w:pPr>
            <w:r>
              <w:rPr>
                <w:rFonts w:hint="eastAsia"/>
                <w:lang w:val="en-US" w:eastAsia="zh-CN"/>
              </w:rPr>
              <w:t>5</w:t>
            </w:r>
          </w:p>
        </w:tc>
        <w:tc>
          <w:tcPr>
            <w:tcW w:w="2643" w:type="pct"/>
            <w:vAlign w:val="center"/>
          </w:tcPr>
          <w:p>
            <w:pPr>
              <w:pStyle w:val="100"/>
              <w:widowControl w:val="0"/>
              <w:bidi w:val="0"/>
              <w:adjustRightInd w:val="0"/>
              <w:snapToGrid w:val="0"/>
              <w:rPr>
                <w:rFonts w:hint="default"/>
                <w:lang w:val="en-US" w:eastAsia="zh-CN"/>
              </w:rPr>
            </w:pPr>
            <w:r>
              <w:rPr>
                <w:rFonts w:hint="eastAsia"/>
                <w:lang w:val="en-US" w:eastAsia="zh-CN"/>
              </w:rPr>
              <w:t>产品中不应添加二苯甲酮（BP）、异丙基硫杂蒽酮（ITX）、2-甲基-1-（4-甲硫基苯基）-2-吗啉基-1-丙酮（907）等光引发剂。</w:t>
            </w:r>
          </w:p>
        </w:tc>
        <w:tc>
          <w:tcPr>
            <w:tcW w:w="915" w:type="pct"/>
            <w:vAlign w:val="center"/>
          </w:tcPr>
          <w:p>
            <w:pPr>
              <w:pStyle w:val="100"/>
              <w:widowControl w:val="0"/>
              <w:bidi w:val="0"/>
              <w:adjustRightInd w:val="0"/>
              <w:snapToGrid w:val="0"/>
              <w:rPr>
                <w:rFonts w:hint="eastAsia"/>
                <w:lang w:val="en-US" w:eastAsia="zh-CN"/>
              </w:rPr>
            </w:pPr>
            <w:r>
              <w:rPr>
                <w:rFonts w:hint="eastAsia"/>
                <w:lang w:val="en-US" w:eastAsia="zh-CN"/>
              </w:rP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bl>
    <w:p>
      <w:pPr>
        <w:pStyle w:val="134"/>
        <w:ind w:firstLine="482" w:firstLineChars="200"/>
        <w:jc w:val="both"/>
        <w:rPr>
          <w:rFonts w:hint="default" w:eastAsia="宋体"/>
          <w:lang w:val="en-US" w:eastAsia="zh-CN"/>
        </w:rPr>
      </w:pPr>
      <w:r>
        <w:rPr>
          <w:rFonts w:hint="eastAsia"/>
          <w:b/>
          <w:bCs w:val="0"/>
          <w:lang w:val="en-US" w:eastAsia="zh-CN"/>
        </w:rPr>
        <w:t>1.1.4.2 与《环境标志产品技术要求 胶印油墨》相符性分析</w:t>
      </w:r>
    </w:p>
    <w:p>
      <w:pPr>
        <w:pStyle w:val="103"/>
        <w:bidi w:val="0"/>
        <w:rPr>
          <w:rFonts w:hint="eastAsia"/>
          <w:lang w:val="en-US" w:eastAsia="zh-CN"/>
        </w:rPr>
      </w:pPr>
      <w:r>
        <w:rPr>
          <w:rFonts w:hint="eastAsia"/>
          <w:lang w:val="en-US" w:eastAsia="zh-CN"/>
        </w:rPr>
        <w:t>与《环境标志产品技术要求 胶印油墨》相符性分析见表1-12。</w:t>
      </w:r>
    </w:p>
    <w:p>
      <w:pPr>
        <w:pStyle w:val="273"/>
        <w:bidi w:val="0"/>
      </w:pPr>
      <w:r>
        <w:rPr>
          <w:rFonts w:hint="eastAsia"/>
          <w:lang w:val="en-US" w:eastAsia="zh-CN"/>
        </w:rPr>
        <w:t>表1-12 与《环境标志产品技术要求 胶印油墨》相符性分析</w:t>
      </w:r>
    </w:p>
    <w:tbl>
      <w:tblPr>
        <w:tblStyle w:val="260"/>
        <w:tblpPr w:leftFromText="180" w:rightFromText="180" w:vertAnchor="text" w:tblpXSpec="center" w:tblpY="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00"/>
        <w:gridCol w:w="4509"/>
        <w:gridCol w:w="1561"/>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pPr>
              <w:pStyle w:val="100"/>
              <w:widowControl w:val="0"/>
              <w:bidi w:val="0"/>
              <w:adjustRightInd w:val="0"/>
              <w:snapToGrid w:val="0"/>
            </w:pPr>
            <w:r>
              <w:rPr>
                <w:rFonts w:hint="eastAsia"/>
              </w:rPr>
              <w:t>类别</w:t>
            </w:r>
          </w:p>
        </w:tc>
        <w:tc>
          <w:tcPr>
            <w:tcW w:w="410" w:type="pct"/>
            <w:vAlign w:val="center"/>
          </w:tcPr>
          <w:p>
            <w:pPr>
              <w:pStyle w:val="100"/>
              <w:widowControl w:val="0"/>
              <w:bidi w:val="0"/>
              <w:adjustRightInd w:val="0"/>
              <w:snapToGrid w:val="0"/>
            </w:pPr>
            <w:r>
              <w:rPr>
                <w:rFonts w:hint="eastAsia"/>
              </w:rPr>
              <w:t>序号</w:t>
            </w:r>
          </w:p>
        </w:tc>
        <w:tc>
          <w:tcPr>
            <w:tcW w:w="2643" w:type="pct"/>
            <w:vAlign w:val="center"/>
          </w:tcPr>
          <w:p>
            <w:pPr>
              <w:pStyle w:val="100"/>
              <w:widowControl w:val="0"/>
              <w:bidi w:val="0"/>
              <w:adjustRightInd w:val="0"/>
              <w:snapToGrid w:val="0"/>
            </w:pPr>
            <w:r>
              <w:rPr>
                <w:rFonts w:hint="eastAsia"/>
              </w:rPr>
              <w:t>要求</w:t>
            </w:r>
          </w:p>
        </w:tc>
        <w:tc>
          <w:tcPr>
            <w:tcW w:w="915" w:type="pct"/>
            <w:vAlign w:val="center"/>
          </w:tcPr>
          <w:p>
            <w:pPr>
              <w:pStyle w:val="100"/>
              <w:widowControl w:val="0"/>
              <w:bidi w:val="0"/>
              <w:adjustRightInd w:val="0"/>
              <w:snapToGrid w:val="0"/>
            </w:pPr>
            <w:r>
              <w:rPr>
                <w:rFonts w:hint="eastAsia"/>
              </w:rPr>
              <w:t>本项目情况</w:t>
            </w:r>
          </w:p>
        </w:tc>
        <w:tc>
          <w:tcPr>
            <w:tcW w:w="515"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pStyle w:val="100"/>
              <w:widowControl w:val="0"/>
              <w:bidi w:val="0"/>
              <w:adjustRightInd w:val="0"/>
              <w:snapToGrid w:val="0"/>
            </w:pPr>
            <w:r>
              <w:rPr>
                <w:rFonts w:hint="eastAsia"/>
                <w:lang w:val="en-US" w:eastAsia="zh-CN"/>
              </w:rPr>
              <w:t>《环境标志产品技术要求 胶印油墨》</w:t>
            </w:r>
          </w:p>
        </w:tc>
        <w:tc>
          <w:tcPr>
            <w:tcW w:w="410" w:type="pct"/>
            <w:vAlign w:val="center"/>
          </w:tcPr>
          <w:p>
            <w:pPr>
              <w:pStyle w:val="100"/>
              <w:widowControl w:val="0"/>
              <w:bidi w:val="0"/>
              <w:adjustRightInd w:val="0"/>
              <w:snapToGrid w:val="0"/>
            </w:pPr>
            <w:r>
              <w:t>1</w:t>
            </w:r>
          </w:p>
        </w:tc>
        <w:tc>
          <w:tcPr>
            <w:tcW w:w="2643" w:type="pct"/>
            <w:vAlign w:val="center"/>
          </w:tcPr>
          <w:p>
            <w:pPr>
              <w:pStyle w:val="100"/>
              <w:widowControl w:val="0"/>
              <w:bidi w:val="0"/>
              <w:adjustRightInd w:val="0"/>
              <w:snapToGrid w:val="0"/>
              <w:rPr>
                <w:rFonts w:hint="default"/>
                <w:lang w:val="en-US"/>
              </w:rPr>
            </w:pPr>
            <w:r>
              <w:rPr>
                <w:rFonts w:hint="eastAsia"/>
                <w:lang w:val="en-US" w:eastAsia="zh-CN"/>
              </w:rPr>
              <w:t>不添加卤代烃、异佛尔酮、对苯二酚、对甲氧基苯酚及附录A中列出的领苯二甲酸酯类物质。</w:t>
            </w:r>
          </w:p>
        </w:tc>
        <w:tc>
          <w:tcPr>
            <w:tcW w:w="915" w:type="pct"/>
            <w:vAlign w:val="center"/>
          </w:tcPr>
          <w:p>
            <w:pPr>
              <w:pStyle w:val="100"/>
              <w:widowControl w:val="0"/>
              <w:bidi w:val="0"/>
              <w:adjustRightInd w:val="0"/>
              <w:snapToGrid w:val="0"/>
              <w:rPr>
                <w:rFonts w:hint="eastAsia"/>
                <w:lang w:eastAsia="zh-CN"/>
              </w:rPr>
            </w:pPr>
            <w:r>
              <w:rPr>
                <w:rFonts w:hint="eastAsia"/>
                <w:lang w:val="en-US" w:eastAsia="zh-CN"/>
              </w:rP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100"/>
              <w:widowControl w:val="0"/>
              <w:bidi w:val="0"/>
              <w:adjustRightInd w:val="0"/>
              <w:snapToGrid w:val="0"/>
            </w:pPr>
          </w:p>
        </w:tc>
        <w:tc>
          <w:tcPr>
            <w:tcW w:w="410" w:type="pct"/>
            <w:vAlign w:val="center"/>
          </w:tcPr>
          <w:p>
            <w:pPr>
              <w:pStyle w:val="100"/>
              <w:widowControl w:val="0"/>
              <w:bidi w:val="0"/>
              <w:adjustRightInd w:val="0"/>
              <w:snapToGrid w:val="0"/>
            </w:pPr>
            <w:r>
              <w:t>2</w:t>
            </w:r>
          </w:p>
        </w:tc>
        <w:tc>
          <w:tcPr>
            <w:tcW w:w="2643" w:type="pct"/>
            <w:vAlign w:val="center"/>
          </w:tcPr>
          <w:p>
            <w:pPr>
              <w:pStyle w:val="100"/>
              <w:widowControl w:val="0"/>
              <w:bidi w:val="0"/>
              <w:adjustRightInd w:val="0"/>
              <w:snapToGrid w:val="0"/>
              <w:rPr>
                <w:rFonts w:hint="default"/>
                <w:lang w:val="en-US" w:eastAsia="zh-CN"/>
              </w:rPr>
            </w:pPr>
            <w:r>
              <w:rPr>
                <w:rFonts w:hint="eastAsia"/>
                <w:lang w:val="en-US" w:eastAsia="zh-CN"/>
              </w:rPr>
              <w:t>不使用沥青作为原料。</w:t>
            </w:r>
          </w:p>
        </w:tc>
        <w:tc>
          <w:tcPr>
            <w:tcW w:w="915" w:type="pct"/>
            <w:vAlign w:val="center"/>
          </w:tcPr>
          <w:p>
            <w:pPr>
              <w:pStyle w:val="100"/>
              <w:widowControl w:val="0"/>
              <w:bidi w:val="0"/>
              <w:adjustRightInd w:val="0"/>
              <w:snapToGrid w:val="0"/>
            </w:pPr>
            <w: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100"/>
              <w:widowControl w:val="0"/>
              <w:bidi w:val="0"/>
              <w:adjustRightInd w:val="0"/>
              <w:snapToGrid w:val="0"/>
            </w:pPr>
          </w:p>
        </w:tc>
        <w:tc>
          <w:tcPr>
            <w:tcW w:w="410" w:type="pct"/>
            <w:vAlign w:val="center"/>
          </w:tcPr>
          <w:p>
            <w:pPr>
              <w:pStyle w:val="100"/>
              <w:widowControl w:val="0"/>
              <w:bidi w:val="0"/>
              <w:adjustRightInd w:val="0"/>
              <w:snapToGrid w:val="0"/>
            </w:pPr>
            <w:r>
              <w:t>3</w:t>
            </w:r>
          </w:p>
        </w:tc>
        <w:tc>
          <w:tcPr>
            <w:tcW w:w="2643" w:type="pct"/>
            <w:vAlign w:val="center"/>
          </w:tcPr>
          <w:p>
            <w:pPr>
              <w:pStyle w:val="100"/>
              <w:widowControl w:val="0"/>
              <w:bidi w:val="0"/>
              <w:adjustRightInd w:val="0"/>
              <w:snapToGrid w:val="0"/>
              <w:rPr>
                <w:rFonts w:hint="default"/>
                <w:lang w:val="en-US" w:eastAsia="zh-CN"/>
              </w:rPr>
            </w:pPr>
            <w:r>
              <w:rPr>
                <w:rFonts w:hint="eastAsia"/>
                <w:lang w:val="en-US" w:eastAsia="zh-CN"/>
              </w:rPr>
              <w:t>能量固化油墨不添加二苯甲酮（BP）、异丙基硫杂蒽酮（ITX）、2-甲基-1-（4-甲硫基苯基）-2-吗啉基-1-丙酮（907）作为光引发剂。</w:t>
            </w:r>
          </w:p>
        </w:tc>
        <w:tc>
          <w:tcPr>
            <w:tcW w:w="915" w:type="pct"/>
            <w:vAlign w:val="center"/>
          </w:tcPr>
          <w:p>
            <w:pPr>
              <w:pStyle w:val="100"/>
              <w:widowControl w:val="0"/>
              <w:bidi w:val="0"/>
              <w:adjustRightInd w:val="0"/>
              <w:snapToGrid w:val="0"/>
            </w:pPr>
            <w: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bl>
    <w:p>
      <w:pPr>
        <w:pStyle w:val="134"/>
        <w:ind w:firstLine="482" w:firstLineChars="200"/>
        <w:jc w:val="both"/>
        <w:rPr>
          <w:rFonts w:hint="eastAsia"/>
          <w:b/>
          <w:bCs w:val="0"/>
          <w:lang w:val="en-US" w:eastAsia="zh-CN"/>
        </w:rPr>
      </w:pPr>
      <w:r>
        <w:rPr>
          <w:rFonts w:hint="eastAsia"/>
          <w:b/>
          <w:bCs w:val="0"/>
          <w:lang w:val="en-US" w:eastAsia="zh-CN"/>
        </w:rPr>
        <w:t>1.1.4.3 与《油墨中可挥发性有机化合物VOCs含量的限制》相符性分析</w:t>
      </w:r>
    </w:p>
    <w:p>
      <w:pPr>
        <w:pStyle w:val="103"/>
        <w:bidi w:val="0"/>
        <w:rPr>
          <w:rFonts w:hint="eastAsia"/>
          <w:lang w:val="en-US" w:eastAsia="zh-CN"/>
        </w:rPr>
      </w:pPr>
      <w:r>
        <w:rPr>
          <w:rFonts w:hint="eastAsia"/>
          <w:lang w:val="en-US" w:eastAsia="zh-CN"/>
        </w:rPr>
        <w:t>根据《油墨中可挥发性有机化合物VOCs含量的限制》中“表1 油墨中可挥发性有机化合物含量的限制”中关于水性油墨的部分，水性油墨可分为凹印油墨、柔印油墨、喷墨印刷油墨以及网印油墨，本项目所使用的油墨为“WPT-A-8501 水性黑 水性丝网印刷油墨”，属于网印油墨，关于网印油墨中挥发性有机化合物的限制规定为≤30%，而本项目所用油墨中可挥发的有机组分为醇类溶剂（4%）以及醚类溶剂（6%），其组分和为10%，故符合《油墨中可挥发性有机化合物VOCs含量的限制》。</w:t>
      </w:r>
    </w:p>
    <w:p>
      <w:pPr>
        <w:pStyle w:val="103"/>
        <w:bidi w:val="0"/>
        <w:rPr>
          <w:rFonts w:hint="default"/>
          <w:lang w:val="en-US" w:eastAsia="zh-CN"/>
        </w:rPr>
      </w:pPr>
      <w:r>
        <w:rPr>
          <w:rFonts w:hint="eastAsia"/>
          <w:lang w:val="en-US" w:eastAsia="zh-CN"/>
        </w:rPr>
        <w:t>综上，本项目使用“WPT-A-8501 水性黑 水性丝网印刷油墨”是可行的。</w:t>
      </w:r>
    </w:p>
    <w:p>
      <w:pPr>
        <w:pStyle w:val="104"/>
      </w:pPr>
      <w:r>
        <w:rPr>
          <w:rFonts w:hint="eastAsia"/>
          <w:lang w:val="en-US" w:eastAsia="zh-CN"/>
        </w:rPr>
        <w:t>本项目所用粘胶剂分析</w:t>
      </w:r>
    </w:p>
    <w:p>
      <w:pPr>
        <w:pStyle w:val="103"/>
        <w:rPr>
          <w:rFonts w:hint="eastAsia"/>
          <w:b/>
          <w:bCs w:val="0"/>
          <w:lang w:val="en-US" w:eastAsia="zh-CN"/>
        </w:rPr>
      </w:pPr>
      <w:r>
        <w:rPr>
          <w:rFonts w:hint="eastAsia"/>
          <w:b/>
          <w:bCs w:val="0"/>
          <w:lang w:val="en-US" w:eastAsia="zh-CN"/>
        </w:rPr>
        <w:t>1.1.5.1 与《环境标志产品技术要求 胶黏剂》相符性分析</w:t>
      </w:r>
    </w:p>
    <w:p>
      <w:pPr>
        <w:pStyle w:val="103"/>
        <w:bidi w:val="0"/>
        <w:rPr>
          <w:rFonts w:hint="default"/>
          <w:lang w:val="en-US" w:eastAsia="zh-CN"/>
        </w:rPr>
      </w:pPr>
      <w:r>
        <w:rPr>
          <w:rFonts w:hint="eastAsia"/>
          <w:lang w:val="en-US" w:eastAsia="zh-CN"/>
        </w:rPr>
        <w:t>与《环境标志产品技术要求 胶黏剂》相符性分析见表1-13。</w:t>
      </w:r>
    </w:p>
    <w:p>
      <w:pPr>
        <w:pStyle w:val="273"/>
        <w:bidi w:val="0"/>
        <w:rPr>
          <w:rFonts w:hint="eastAsia"/>
          <w:lang w:val="en-US" w:eastAsia="zh-CN"/>
        </w:rPr>
      </w:pPr>
      <w:r>
        <w:rPr>
          <w:rFonts w:hint="eastAsia"/>
          <w:lang w:val="en-US" w:eastAsia="zh-CN"/>
        </w:rPr>
        <w:t>表1-13 与《环境标志产品技术要求 胶黏剂》相符性分析</w:t>
      </w:r>
    </w:p>
    <w:tbl>
      <w:tblPr>
        <w:tblStyle w:val="260"/>
        <w:tblpPr w:leftFromText="180" w:rightFromText="180" w:vertAnchor="text" w:tblpXSpec="center" w:tblpY="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00"/>
        <w:gridCol w:w="4509"/>
        <w:gridCol w:w="1561"/>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pPr>
              <w:pStyle w:val="100"/>
              <w:widowControl w:val="0"/>
              <w:bidi w:val="0"/>
              <w:adjustRightInd w:val="0"/>
              <w:snapToGrid w:val="0"/>
            </w:pPr>
            <w:r>
              <w:rPr>
                <w:rFonts w:hint="eastAsia"/>
              </w:rPr>
              <w:t>类别</w:t>
            </w:r>
          </w:p>
        </w:tc>
        <w:tc>
          <w:tcPr>
            <w:tcW w:w="410" w:type="pct"/>
            <w:vAlign w:val="center"/>
          </w:tcPr>
          <w:p>
            <w:pPr>
              <w:pStyle w:val="100"/>
              <w:widowControl w:val="0"/>
              <w:bidi w:val="0"/>
              <w:adjustRightInd w:val="0"/>
              <w:snapToGrid w:val="0"/>
            </w:pPr>
            <w:r>
              <w:rPr>
                <w:rFonts w:hint="eastAsia"/>
              </w:rPr>
              <w:t>序号</w:t>
            </w:r>
          </w:p>
        </w:tc>
        <w:tc>
          <w:tcPr>
            <w:tcW w:w="2643" w:type="pct"/>
            <w:vAlign w:val="center"/>
          </w:tcPr>
          <w:p>
            <w:pPr>
              <w:pStyle w:val="100"/>
              <w:widowControl w:val="0"/>
              <w:bidi w:val="0"/>
              <w:adjustRightInd w:val="0"/>
              <w:snapToGrid w:val="0"/>
            </w:pPr>
            <w:r>
              <w:rPr>
                <w:rFonts w:hint="eastAsia"/>
              </w:rPr>
              <w:t>要求</w:t>
            </w:r>
          </w:p>
        </w:tc>
        <w:tc>
          <w:tcPr>
            <w:tcW w:w="915" w:type="pct"/>
            <w:vAlign w:val="center"/>
          </w:tcPr>
          <w:p>
            <w:pPr>
              <w:pStyle w:val="100"/>
              <w:widowControl w:val="0"/>
              <w:bidi w:val="0"/>
              <w:adjustRightInd w:val="0"/>
              <w:snapToGrid w:val="0"/>
            </w:pPr>
            <w:r>
              <w:rPr>
                <w:rFonts w:hint="eastAsia"/>
              </w:rPr>
              <w:t>本项目情况</w:t>
            </w:r>
          </w:p>
        </w:tc>
        <w:tc>
          <w:tcPr>
            <w:tcW w:w="515"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pStyle w:val="100"/>
              <w:widowControl w:val="0"/>
              <w:bidi w:val="0"/>
              <w:adjustRightInd w:val="0"/>
              <w:snapToGrid w:val="0"/>
            </w:pPr>
            <w:r>
              <w:rPr>
                <w:rFonts w:hint="eastAsia"/>
                <w:lang w:val="en-US" w:eastAsia="zh-CN"/>
              </w:rPr>
              <w:t>《环境标志产品技术要求 胶黏剂》</w:t>
            </w:r>
          </w:p>
        </w:tc>
        <w:tc>
          <w:tcPr>
            <w:tcW w:w="410" w:type="pct"/>
            <w:vAlign w:val="center"/>
          </w:tcPr>
          <w:p>
            <w:pPr>
              <w:pStyle w:val="100"/>
              <w:widowControl w:val="0"/>
              <w:bidi w:val="0"/>
              <w:adjustRightInd w:val="0"/>
              <w:snapToGrid w:val="0"/>
            </w:pPr>
            <w:r>
              <w:t>1</w:t>
            </w:r>
          </w:p>
        </w:tc>
        <w:tc>
          <w:tcPr>
            <w:tcW w:w="2643" w:type="pct"/>
            <w:vAlign w:val="center"/>
          </w:tcPr>
          <w:p>
            <w:pPr>
              <w:pStyle w:val="100"/>
              <w:widowControl w:val="0"/>
              <w:bidi w:val="0"/>
              <w:adjustRightInd w:val="0"/>
              <w:snapToGrid w:val="0"/>
              <w:rPr>
                <w:rFonts w:hint="default"/>
                <w:lang w:val="en-US"/>
              </w:rPr>
            </w:pPr>
            <w:r>
              <w:rPr>
                <w:rFonts w:hint="eastAsia"/>
                <w:lang w:val="en-US" w:eastAsia="zh-CN"/>
              </w:rPr>
              <w:t>产品生产过程中不添加苯、甲苯、二甲苯、乙苯、卤代烃。</w:t>
            </w:r>
          </w:p>
        </w:tc>
        <w:tc>
          <w:tcPr>
            <w:tcW w:w="915" w:type="pct"/>
            <w:vAlign w:val="center"/>
          </w:tcPr>
          <w:p>
            <w:pPr>
              <w:pStyle w:val="100"/>
              <w:widowControl w:val="0"/>
              <w:bidi w:val="0"/>
              <w:adjustRightInd w:val="0"/>
              <w:snapToGrid w:val="0"/>
              <w:rPr>
                <w:rFonts w:hint="eastAsia"/>
                <w:lang w:eastAsia="zh-CN"/>
              </w:rPr>
            </w:pPr>
            <w:r>
              <w:rPr>
                <w:rFonts w:hint="eastAsia"/>
                <w:lang w:val="en-US" w:eastAsia="zh-CN"/>
              </w:rP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pStyle w:val="100"/>
              <w:widowControl w:val="0"/>
              <w:bidi w:val="0"/>
              <w:adjustRightInd w:val="0"/>
              <w:snapToGrid w:val="0"/>
            </w:pPr>
          </w:p>
        </w:tc>
        <w:tc>
          <w:tcPr>
            <w:tcW w:w="410" w:type="pct"/>
            <w:vAlign w:val="center"/>
          </w:tcPr>
          <w:p>
            <w:pPr>
              <w:pStyle w:val="100"/>
              <w:widowControl w:val="0"/>
              <w:bidi w:val="0"/>
              <w:adjustRightInd w:val="0"/>
              <w:snapToGrid w:val="0"/>
            </w:pPr>
            <w:r>
              <w:t>2</w:t>
            </w:r>
          </w:p>
        </w:tc>
        <w:tc>
          <w:tcPr>
            <w:tcW w:w="2643" w:type="pct"/>
            <w:vAlign w:val="center"/>
          </w:tcPr>
          <w:p>
            <w:pPr>
              <w:pStyle w:val="100"/>
              <w:widowControl w:val="0"/>
              <w:bidi w:val="0"/>
              <w:adjustRightInd w:val="0"/>
              <w:snapToGrid w:val="0"/>
              <w:rPr>
                <w:rFonts w:hint="default"/>
                <w:lang w:val="en-US" w:eastAsia="zh-CN"/>
              </w:rPr>
            </w:pPr>
            <w:r>
              <w:rPr>
                <w:rFonts w:hint="eastAsia"/>
                <w:lang w:val="en-US" w:eastAsia="zh-CN"/>
              </w:rPr>
              <w:t>产品生产过程中不添加邻苯二甲酸酯、烷基酚聚氧乙烯醚、异噻唑酮、有机锡、铜、镉、铅、铬（VI）汞、砷、钡（硫酸钡除外）、硒和锑。</w:t>
            </w:r>
          </w:p>
        </w:tc>
        <w:tc>
          <w:tcPr>
            <w:tcW w:w="915" w:type="pct"/>
            <w:vAlign w:val="center"/>
          </w:tcPr>
          <w:p>
            <w:pPr>
              <w:pStyle w:val="100"/>
              <w:widowControl w:val="0"/>
              <w:bidi w:val="0"/>
              <w:adjustRightInd w:val="0"/>
              <w:snapToGrid w:val="0"/>
            </w:pPr>
            <w:r>
              <w:t>不涉及</w:t>
            </w:r>
          </w:p>
        </w:tc>
        <w:tc>
          <w:tcPr>
            <w:tcW w:w="515"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bl>
    <w:p>
      <w:pPr>
        <w:pStyle w:val="103"/>
        <w:rPr>
          <w:rFonts w:hint="default"/>
          <w:b/>
          <w:bCs w:val="0"/>
          <w:lang w:val="en-US" w:eastAsia="zh-CN"/>
        </w:rPr>
      </w:pPr>
      <w:r>
        <w:rPr>
          <w:rFonts w:hint="eastAsia"/>
          <w:b/>
          <w:bCs w:val="0"/>
          <w:lang w:val="en-US" w:eastAsia="zh-CN"/>
        </w:rPr>
        <w:t>1.1.5.2 与《胶粘剂挥发性有机化合物限量GB33372-2020》相符性分析</w:t>
      </w:r>
    </w:p>
    <w:p>
      <w:pPr>
        <w:pStyle w:val="103"/>
        <w:bidi w:val="0"/>
        <w:rPr>
          <w:rFonts w:hint="default"/>
          <w:lang w:val="en-US" w:eastAsia="zh-CN"/>
        </w:rPr>
      </w:pPr>
      <w:r>
        <w:rPr>
          <w:rFonts w:hint="eastAsia"/>
          <w:lang w:val="en-US" w:eastAsia="zh-CN"/>
        </w:rPr>
        <w:t>与《胶粘剂挥发性有机化合物限量GB33372-2020》相符性分析见表1-14。</w:t>
      </w:r>
    </w:p>
    <w:p>
      <w:pPr>
        <w:pStyle w:val="103"/>
        <w:rPr>
          <w:rFonts w:hint="default"/>
          <w:lang w:val="en-US" w:eastAsia="zh-CN"/>
        </w:rPr>
      </w:pPr>
      <w:r>
        <w:rPr>
          <w:rFonts w:hint="eastAsia" w:ascii="Times New Roman" w:hAnsi="Times New Roman" w:eastAsia="宋体" w:cs="Times New Roman"/>
          <w:b/>
          <w:bCs w:val="0"/>
          <w:snapToGrid/>
          <w:spacing w:val="0"/>
          <w:kern w:val="0"/>
          <w:sz w:val="24"/>
          <w:szCs w:val="24"/>
          <w:lang w:val="en-US" w:eastAsia="zh-CN" w:bidi="ar-SA"/>
        </w:rPr>
        <w:t>表1-1</w:t>
      </w:r>
      <w:r>
        <w:rPr>
          <w:rFonts w:hint="eastAsia" w:cs="Times New Roman"/>
          <w:b/>
          <w:bCs w:val="0"/>
          <w:snapToGrid/>
          <w:spacing w:val="0"/>
          <w:kern w:val="0"/>
          <w:sz w:val="24"/>
          <w:szCs w:val="24"/>
          <w:lang w:val="en-US" w:eastAsia="zh-CN" w:bidi="ar-SA"/>
        </w:rPr>
        <w:t>4</w:t>
      </w:r>
      <w:r>
        <w:rPr>
          <w:rFonts w:hint="eastAsia" w:ascii="Times New Roman" w:hAnsi="Times New Roman" w:eastAsia="宋体" w:cs="Times New Roman"/>
          <w:b/>
          <w:bCs w:val="0"/>
          <w:snapToGrid/>
          <w:spacing w:val="0"/>
          <w:kern w:val="0"/>
          <w:sz w:val="24"/>
          <w:szCs w:val="24"/>
          <w:lang w:val="en-US" w:eastAsia="zh-CN" w:bidi="ar-SA"/>
        </w:rPr>
        <w:t xml:space="preserve"> 与《胶粘剂挥发性有机化合物限量GB33372-2020》相符性分析</w:t>
      </w:r>
    </w:p>
    <w:tbl>
      <w:tblPr>
        <w:tblStyle w:val="260"/>
        <w:tblpPr w:leftFromText="180" w:rightFromText="180" w:vertAnchor="text" w:tblpXSpec="center" w:tblpY="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5"/>
        <w:gridCol w:w="698"/>
        <w:gridCol w:w="4516"/>
        <w:gridCol w:w="1549"/>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pPr>
              <w:pStyle w:val="100"/>
              <w:widowControl w:val="0"/>
              <w:bidi w:val="0"/>
              <w:adjustRightInd w:val="0"/>
              <w:snapToGrid w:val="0"/>
            </w:pPr>
            <w:r>
              <w:rPr>
                <w:rFonts w:hint="eastAsia"/>
              </w:rPr>
              <w:t>类别</w:t>
            </w:r>
          </w:p>
        </w:tc>
        <w:tc>
          <w:tcPr>
            <w:tcW w:w="409" w:type="pct"/>
            <w:vAlign w:val="center"/>
          </w:tcPr>
          <w:p>
            <w:pPr>
              <w:pStyle w:val="100"/>
              <w:widowControl w:val="0"/>
              <w:bidi w:val="0"/>
              <w:adjustRightInd w:val="0"/>
              <w:snapToGrid w:val="0"/>
            </w:pPr>
            <w:r>
              <w:rPr>
                <w:rFonts w:hint="eastAsia"/>
              </w:rPr>
              <w:t>序号</w:t>
            </w:r>
          </w:p>
        </w:tc>
        <w:tc>
          <w:tcPr>
            <w:tcW w:w="2647" w:type="pct"/>
            <w:vAlign w:val="center"/>
          </w:tcPr>
          <w:p>
            <w:pPr>
              <w:pStyle w:val="100"/>
              <w:widowControl w:val="0"/>
              <w:bidi w:val="0"/>
              <w:adjustRightInd w:val="0"/>
              <w:snapToGrid w:val="0"/>
            </w:pPr>
            <w:r>
              <w:rPr>
                <w:rFonts w:hint="eastAsia"/>
              </w:rPr>
              <w:t>要求</w:t>
            </w:r>
          </w:p>
        </w:tc>
        <w:tc>
          <w:tcPr>
            <w:tcW w:w="908" w:type="pct"/>
            <w:vAlign w:val="center"/>
          </w:tcPr>
          <w:p>
            <w:pPr>
              <w:pStyle w:val="100"/>
              <w:widowControl w:val="0"/>
              <w:bidi w:val="0"/>
              <w:adjustRightInd w:val="0"/>
              <w:snapToGrid w:val="0"/>
            </w:pPr>
            <w:r>
              <w:rPr>
                <w:rFonts w:hint="eastAsia"/>
              </w:rPr>
              <w:t>本项目情况</w:t>
            </w:r>
          </w:p>
        </w:tc>
        <w:tc>
          <w:tcPr>
            <w:tcW w:w="521"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pPr>
              <w:pStyle w:val="100"/>
              <w:widowControl w:val="0"/>
              <w:bidi w:val="0"/>
              <w:adjustRightInd w:val="0"/>
              <w:snapToGrid w:val="0"/>
            </w:pPr>
            <w:r>
              <w:rPr>
                <w:rFonts w:hint="eastAsia"/>
                <w:lang w:val="en-US" w:eastAsia="zh-CN"/>
              </w:rPr>
              <w:t>《胶粘剂挥发性有机化合物限量GB33372-2020》</w:t>
            </w:r>
          </w:p>
        </w:tc>
        <w:tc>
          <w:tcPr>
            <w:tcW w:w="409" w:type="pct"/>
            <w:vAlign w:val="center"/>
          </w:tcPr>
          <w:p>
            <w:pPr>
              <w:pStyle w:val="100"/>
              <w:widowControl w:val="0"/>
              <w:bidi w:val="0"/>
              <w:adjustRightInd w:val="0"/>
              <w:snapToGrid w:val="0"/>
            </w:pPr>
            <w:r>
              <w:t>1</w:t>
            </w:r>
          </w:p>
        </w:tc>
        <w:tc>
          <w:tcPr>
            <w:tcW w:w="2647" w:type="pct"/>
            <w:vAlign w:val="center"/>
          </w:tcPr>
          <w:p>
            <w:pPr>
              <w:pStyle w:val="100"/>
              <w:widowControl w:val="0"/>
              <w:bidi w:val="0"/>
              <w:adjustRightInd w:val="0"/>
              <w:snapToGrid w:val="0"/>
              <w:rPr>
                <w:rFonts w:hint="default"/>
                <w:lang w:val="en-US" w:eastAsia="zh-CN"/>
              </w:rPr>
            </w:pPr>
            <w:r>
              <w:rPr>
                <w:rFonts w:hint="eastAsia"/>
                <w:lang w:val="en-US" w:eastAsia="zh-CN"/>
              </w:rPr>
              <w:t>胶粘剂产品中苯系（苯、甲苯、二甲苯）、卤代烃（二氯甲烷、1,2-二氯乙烷、1,1,1-三氯乙烷、1,1,2-三氯乙烷）、甲苯二异氰酸酯、游离甲醛等单个挥发性有机化合物含量，应满足GB30982或GB19340中的规定。</w:t>
            </w:r>
          </w:p>
        </w:tc>
        <w:tc>
          <w:tcPr>
            <w:tcW w:w="908" w:type="pct"/>
            <w:vAlign w:val="center"/>
          </w:tcPr>
          <w:p>
            <w:pPr>
              <w:pStyle w:val="100"/>
              <w:widowControl w:val="0"/>
              <w:bidi w:val="0"/>
              <w:adjustRightInd w:val="0"/>
              <w:snapToGrid w:val="0"/>
              <w:rPr>
                <w:rFonts w:hint="default"/>
                <w:lang w:val="en-US" w:eastAsia="zh-CN"/>
              </w:rPr>
            </w:pPr>
            <w:r>
              <w:rPr>
                <w:rFonts w:hint="eastAsia"/>
                <w:lang w:val="en-US" w:eastAsia="zh-CN"/>
              </w:rPr>
              <w:t>以上化合物在本项目所使用的胶粘剂中均不涉及</w:t>
            </w:r>
          </w:p>
        </w:tc>
        <w:tc>
          <w:tcPr>
            <w:tcW w:w="521" w:type="pct"/>
            <w:vAlign w:val="center"/>
          </w:tcPr>
          <w:p>
            <w:pPr>
              <w:pStyle w:val="100"/>
              <w:widowControl w:val="0"/>
              <w:bidi w:val="0"/>
              <w:adjustRightInd w:val="0"/>
              <w:snapToGrid w:val="0"/>
              <w:rPr>
                <w:rFonts w:hint="eastAsia"/>
                <w:lang w:val="en-US" w:eastAsia="zh-CN"/>
              </w:rPr>
            </w:pPr>
            <w:r>
              <w:rPr>
                <w:rFonts w:hint="eastAsia"/>
                <w:lang w:val="en-US" w:eastAsia="zh-CN"/>
              </w:rPr>
              <w:t>相符</w:t>
            </w:r>
          </w:p>
        </w:tc>
      </w:tr>
    </w:tbl>
    <w:p>
      <w:pPr>
        <w:pStyle w:val="103"/>
        <w:bidi w:val="0"/>
        <w:rPr>
          <w:rFonts w:hint="eastAsia"/>
          <w:lang w:val="en-US" w:eastAsia="zh-CN"/>
        </w:rPr>
      </w:pPr>
      <w:r>
        <w:rPr>
          <w:rFonts w:hint="eastAsia"/>
          <w:lang w:val="en-US" w:eastAsia="zh-CN"/>
        </w:rPr>
        <w:t>《胶粘剂挥发性有机化合物限量GB33372-2020》中，对溶剂型胶粘剂的定义为“以挥发性有机溶剂为主体分散介质的胶粘剂”。本项目所使用的胶粘剂组分为“</w:t>
      </w:r>
      <w:r>
        <w:rPr>
          <w:rFonts w:hint="eastAsia"/>
        </w:rPr>
        <w:t>乙烯基乙酸酯和丙烯酸酯的共聚物62%，异丙醇0.25%，乙酸乙烯酯0.15%，壬基苯氧基聚（氧乙烯）乙醇0.1%，水37.5%</w:t>
      </w:r>
      <w:r>
        <w:rPr>
          <w:rFonts w:hint="eastAsia"/>
          <w:lang w:val="en-US" w:eastAsia="zh-CN"/>
        </w:rPr>
        <w:t>”，从而可以确定本项目所使用的胶粘剂为溶剂型胶粘剂，对溶剂型胶粘剂挥发性有机化合物含量限量见下表1-15。</w:t>
      </w:r>
    </w:p>
    <w:p>
      <w:pPr>
        <w:pStyle w:val="110"/>
        <w:spacing w:before="62" w:beforeLines="20"/>
        <w:rPr>
          <w:rFonts w:hint="default" w:ascii="Times New Roman" w:hAnsi="Times New Roman" w:eastAsia="宋体" w:cs="Times New Roman"/>
          <w:b/>
          <w:bCs w:val="0"/>
          <w:snapToGrid/>
          <w:spacing w:val="0"/>
          <w:kern w:val="0"/>
          <w:sz w:val="24"/>
          <w:szCs w:val="24"/>
          <w:lang w:val="en-US" w:eastAsia="zh-CN" w:bidi="ar-SA"/>
        </w:rPr>
      </w:pPr>
      <w:r>
        <w:rPr>
          <w:rFonts w:hint="eastAsia" w:ascii="Times New Roman" w:hAnsi="Times New Roman" w:eastAsia="宋体" w:cs="Times New Roman"/>
          <w:b/>
          <w:bCs w:val="0"/>
          <w:snapToGrid/>
          <w:spacing w:val="0"/>
          <w:kern w:val="0"/>
          <w:sz w:val="24"/>
          <w:szCs w:val="24"/>
          <w:lang w:val="en-US" w:eastAsia="zh-CN" w:bidi="ar-SA"/>
        </w:rPr>
        <w:t>表1-15  溶剂型胶粘剂VOC含量限量</w:t>
      </w:r>
    </w:p>
    <w:tbl>
      <w:tblPr>
        <w:tblStyle w:val="260"/>
        <w:tblW w:w="85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356"/>
        <w:gridCol w:w="2435"/>
        <w:gridCol w:w="1153"/>
        <w:gridCol w:w="1308"/>
        <w:gridCol w:w="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81" w:type="dxa"/>
            <w:vMerge w:val="restart"/>
            <w:vAlign w:val="center"/>
          </w:tcPr>
          <w:p>
            <w:pPr>
              <w:pStyle w:val="100"/>
              <w:widowControl w:val="0"/>
              <w:bidi w:val="0"/>
              <w:adjustRightInd w:val="0"/>
              <w:snapToGrid w:val="0"/>
              <w:rPr>
                <w:rFonts w:hint="default"/>
                <w:lang w:val="en-US" w:eastAsia="zh-CN"/>
              </w:rPr>
            </w:pPr>
            <w:r>
              <w:rPr>
                <w:rFonts w:hint="eastAsia"/>
                <w:lang w:val="en-US" w:eastAsia="zh-CN"/>
              </w:rPr>
              <w:t>应用领域</w:t>
            </w:r>
          </w:p>
        </w:tc>
        <w:tc>
          <w:tcPr>
            <w:tcW w:w="7249" w:type="dxa"/>
            <w:gridSpan w:val="5"/>
            <w:vAlign w:val="center"/>
          </w:tcPr>
          <w:p>
            <w:pPr>
              <w:pStyle w:val="100"/>
              <w:widowControl w:val="0"/>
              <w:bidi w:val="0"/>
              <w:adjustRightInd w:val="0"/>
              <w:snapToGrid w:val="0"/>
              <w:rPr>
                <w:rFonts w:hint="eastAsia"/>
                <w:lang w:val="en-US" w:eastAsia="zh-CN"/>
              </w:rPr>
            </w:pPr>
            <w:r>
              <w:rPr>
                <w:rFonts w:hint="eastAsia"/>
                <w:lang w:val="en-US" w:eastAsia="zh-CN"/>
              </w:rPr>
              <w:t>限量值/（g/L）</w:t>
            </w:r>
          </w:p>
          <w:p>
            <w:pPr>
              <w:pStyle w:val="100"/>
              <w:widowControl w:val="0"/>
              <w:bidi w:val="0"/>
              <w:adjustRightInd w:val="0"/>
              <w:snapToGrid w:val="0"/>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81" w:type="dxa"/>
            <w:vMerge w:val="continue"/>
            <w:vAlign w:val="center"/>
          </w:tcPr>
          <w:p>
            <w:pPr>
              <w:pStyle w:val="100"/>
              <w:widowControl w:val="0"/>
              <w:bidi w:val="0"/>
              <w:adjustRightInd w:val="0"/>
              <w:snapToGrid w:val="0"/>
            </w:pPr>
          </w:p>
        </w:tc>
        <w:tc>
          <w:tcPr>
            <w:tcW w:w="1356" w:type="dxa"/>
            <w:vAlign w:val="center"/>
          </w:tcPr>
          <w:p>
            <w:pPr>
              <w:pStyle w:val="100"/>
              <w:widowControl w:val="0"/>
              <w:bidi w:val="0"/>
              <w:adjustRightInd w:val="0"/>
              <w:snapToGrid w:val="0"/>
              <w:rPr>
                <w:rFonts w:hint="eastAsia"/>
                <w:lang w:val="en-US" w:eastAsia="zh-CN"/>
              </w:rPr>
            </w:pPr>
            <w:r>
              <w:rPr>
                <w:rFonts w:hint="eastAsia"/>
                <w:lang w:val="en-US" w:eastAsia="zh-CN"/>
              </w:rPr>
              <w:t>氯丁橡胶类</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苯乙烯-丁二烯-苯乙烯嵌段共聚物橡胶类</w:t>
            </w:r>
          </w:p>
        </w:tc>
        <w:tc>
          <w:tcPr>
            <w:tcW w:w="1153" w:type="dxa"/>
            <w:vAlign w:val="center"/>
          </w:tcPr>
          <w:p>
            <w:pPr>
              <w:pStyle w:val="100"/>
              <w:widowControl w:val="0"/>
              <w:bidi w:val="0"/>
              <w:adjustRightInd w:val="0"/>
              <w:snapToGrid w:val="0"/>
              <w:rPr>
                <w:rFonts w:hint="eastAsia"/>
                <w:lang w:val="en-US" w:eastAsia="zh-CN"/>
              </w:rPr>
            </w:pPr>
            <w:r>
              <w:rPr>
                <w:rFonts w:hint="eastAsia"/>
                <w:lang w:val="en-US" w:eastAsia="zh-CN"/>
              </w:rPr>
              <w:t>聚氨酯类</w:t>
            </w:r>
          </w:p>
        </w:tc>
        <w:tc>
          <w:tcPr>
            <w:tcW w:w="1308" w:type="dxa"/>
            <w:vAlign w:val="center"/>
          </w:tcPr>
          <w:p>
            <w:pPr>
              <w:pStyle w:val="100"/>
              <w:widowControl w:val="0"/>
              <w:bidi w:val="0"/>
              <w:adjustRightInd w:val="0"/>
              <w:snapToGrid w:val="0"/>
              <w:rPr>
                <w:rFonts w:hint="eastAsia"/>
                <w:lang w:val="en-US" w:eastAsia="zh-CN"/>
              </w:rPr>
            </w:pPr>
            <w:r>
              <w:rPr>
                <w:rFonts w:hint="eastAsia"/>
                <w:lang w:val="en-US" w:eastAsia="zh-CN"/>
              </w:rPr>
              <w:t>丙烯酸酯类</w:t>
            </w:r>
          </w:p>
        </w:tc>
        <w:tc>
          <w:tcPr>
            <w:tcW w:w="997" w:type="dxa"/>
            <w:vAlign w:val="center"/>
          </w:tcPr>
          <w:p>
            <w:pPr>
              <w:pStyle w:val="100"/>
              <w:widowControl w:val="0"/>
              <w:bidi w:val="0"/>
              <w:adjustRightInd w:val="0"/>
              <w:snapToGrid w:val="0"/>
              <w:rPr>
                <w:rFonts w:hint="eastAsia"/>
                <w:lang w:val="en-US" w:eastAsia="zh-CN"/>
              </w:rPr>
            </w:pPr>
            <w:r>
              <w:rPr>
                <w:rFonts w:hint="eastAsia"/>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1" w:type="dxa"/>
            <w:vAlign w:val="center"/>
          </w:tcPr>
          <w:p>
            <w:pPr>
              <w:pStyle w:val="100"/>
              <w:widowControl w:val="0"/>
              <w:bidi w:val="0"/>
              <w:adjustRightInd w:val="0"/>
              <w:snapToGrid w:val="0"/>
              <w:rPr>
                <w:rFonts w:hint="eastAsia"/>
                <w:lang w:val="en-US" w:eastAsia="zh-CN"/>
              </w:rPr>
            </w:pPr>
            <w:r>
              <w:rPr>
                <w:rFonts w:hint="eastAsia"/>
                <w:lang w:val="en-US" w:eastAsia="zh-CN"/>
              </w:rPr>
              <w:t>建筑</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650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550</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c>
          <w:tcPr>
            <w:tcW w:w="1308" w:type="dxa"/>
            <w:vAlign w:val="center"/>
          </w:tcPr>
          <w:p>
            <w:pPr>
              <w:pStyle w:val="100"/>
              <w:widowControl w:val="0"/>
              <w:bidi w:val="0"/>
              <w:adjustRightInd w:val="0"/>
              <w:snapToGrid w:val="0"/>
              <w:rPr>
                <w:rFonts w:hint="default"/>
                <w:lang w:val="en-US" w:eastAsia="zh-CN"/>
              </w:rPr>
            </w:pPr>
            <w:r>
              <w:rPr>
                <w:rFonts w:hint="eastAsia"/>
                <w:lang w:val="en-US" w:eastAsia="zh-CN"/>
              </w:rPr>
              <w:t>510</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81" w:type="dxa"/>
            <w:vAlign w:val="center"/>
          </w:tcPr>
          <w:p>
            <w:pPr>
              <w:pStyle w:val="100"/>
              <w:widowControl w:val="0"/>
              <w:bidi w:val="0"/>
              <w:adjustRightInd w:val="0"/>
              <w:snapToGrid w:val="0"/>
              <w:rPr>
                <w:rFonts w:hint="default"/>
                <w:lang w:val="en-US" w:eastAsia="zh-CN"/>
              </w:rPr>
            </w:pPr>
            <w:r>
              <w:rPr>
                <w:rFonts w:hint="eastAsia"/>
                <w:lang w:val="en-US" w:eastAsia="zh-CN"/>
              </w:rPr>
              <w:t>室内装饰装修</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600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400</w:t>
            </w:r>
          </w:p>
        </w:tc>
        <w:tc>
          <w:tcPr>
            <w:tcW w:w="1308" w:type="dxa"/>
            <w:vAlign w:val="center"/>
          </w:tcPr>
          <w:p>
            <w:pPr>
              <w:pStyle w:val="100"/>
              <w:widowControl w:val="0"/>
              <w:bidi w:val="0"/>
              <w:adjustRightInd w:val="0"/>
              <w:snapToGrid w:val="0"/>
              <w:rPr>
                <w:rFonts w:hint="default"/>
                <w:lang w:val="en-US" w:eastAsia="zh-CN"/>
              </w:rPr>
            </w:pPr>
            <w:r>
              <w:rPr>
                <w:rFonts w:hint="eastAsia"/>
                <w:lang w:val="en-US" w:eastAsia="zh-CN"/>
              </w:rPr>
              <w:t>510</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81" w:type="dxa"/>
            <w:vAlign w:val="center"/>
          </w:tcPr>
          <w:p>
            <w:pPr>
              <w:pStyle w:val="100"/>
              <w:widowControl w:val="0"/>
              <w:bidi w:val="0"/>
              <w:adjustRightInd w:val="0"/>
              <w:snapToGrid w:val="0"/>
              <w:rPr>
                <w:rFonts w:hint="default"/>
                <w:lang w:val="en-US" w:eastAsia="zh-CN"/>
              </w:rPr>
            </w:pPr>
            <w:r>
              <w:rPr>
                <w:rFonts w:hint="eastAsia"/>
                <w:lang w:val="en-US" w:eastAsia="zh-CN"/>
              </w:rPr>
              <w:t>鞋和箱包</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600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400</w:t>
            </w:r>
          </w:p>
        </w:tc>
        <w:tc>
          <w:tcPr>
            <w:tcW w:w="1308" w:type="dxa"/>
            <w:vAlign w:val="center"/>
          </w:tcPr>
          <w:p>
            <w:pPr>
              <w:pStyle w:val="100"/>
              <w:widowControl w:val="0"/>
              <w:bidi w:val="0"/>
              <w:adjustRightInd w:val="0"/>
              <w:snapToGrid w:val="0"/>
              <w:rPr>
                <w:rFonts w:hint="eastAsia"/>
                <w:lang w:val="en-US" w:eastAsia="zh-CN"/>
              </w:rPr>
            </w:pPr>
            <w:r>
              <w:rPr>
                <w:rFonts w:hint="eastAsia"/>
                <w:lang w:val="en-US" w:eastAsia="zh-CN"/>
              </w:rPr>
              <w:t>-</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81" w:type="dxa"/>
            <w:vAlign w:val="center"/>
          </w:tcPr>
          <w:p>
            <w:pPr>
              <w:pStyle w:val="100"/>
              <w:widowControl w:val="0"/>
              <w:bidi w:val="0"/>
              <w:adjustRightInd w:val="0"/>
              <w:snapToGrid w:val="0"/>
              <w:rPr>
                <w:rFonts w:hint="default"/>
                <w:lang w:val="en-US" w:eastAsia="zh-CN"/>
              </w:rPr>
            </w:pPr>
            <w:r>
              <w:rPr>
                <w:rFonts w:hint="eastAsia"/>
                <w:lang w:val="en-US" w:eastAsia="zh-CN"/>
              </w:rPr>
              <w:t>木工与家具</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600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400</w:t>
            </w:r>
          </w:p>
        </w:tc>
        <w:tc>
          <w:tcPr>
            <w:tcW w:w="1308" w:type="dxa"/>
            <w:vAlign w:val="center"/>
          </w:tcPr>
          <w:p>
            <w:pPr>
              <w:pStyle w:val="100"/>
              <w:widowControl w:val="0"/>
              <w:bidi w:val="0"/>
              <w:adjustRightInd w:val="0"/>
              <w:snapToGrid w:val="0"/>
              <w:rPr>
                <w:rFonts w:hint="default"/>
                <w:lang w:val="en-US" w:eastAsia="zh-CN"/>
              </w:rPr>
            </w:pPr>
            <w:r>
              <w:rPr>
                <w:rFonts w:hint="eastAsia"/>
                <w:lang w:val="en-US" w:eastAsia="zh-CN"/>
              </w:rPr>
              <w:t>510</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81" w:type="dxa"/>
            <w:vAlign w:val="center"/>
          </w:tcPr>
          <w:p>
            <w:pPr>
              <w:pStyle w:val="100"/>
              <w:widowControl w:val="0"/>
              <w:bidi w:val="0"/>
              <w:adjustRightInd w:val="0"/>
              <w:snapToGrid w:val="0"/>
              <w:rPr>
                <w:rFonts w:hint="eastAsia"/>
                <w:lang w:val="en-US" w:eastAsia="zh-CN"/>
              </w:rPr>
            </w:pPr>
            <w:r>
              <w:rPr>
                <w:rFonts w:hint="eastAsia"/>
                <w:lang w:val="en-US" w:eastAsia="zh-CN"/>
              </w:rPr>
              <w:t>装配业</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600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550</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250</w:t>
            </w:r>
          </w:p>
        </w:tc>
        <w:tc>
          <w:tcPr>
            <w:tcW w:w="1308" w:type="dxa"/>
            <w:vAlign w:val="center"/>
          </w:tcPr>
          <w:p>
            <w:pPr>
              <w:pStyle w:val="100"/>
              <w:widowControl w:val="0"/>
              <w:bidi w:val="0"/>
              <w:adjustRightInd w:val="0"/>
              <w:snapToGrid w:val="0"/>
              <w:rPr>
                <w:rFonts w:hint="default"/>
                <w:lang w:val="en-US" w:eastAsia="zh-CN"/>
              </w:rPr>
            </w:pPr>
            <w:r>
              <w:rPr>
                <w:rFonts w:hint="eastAsia"/>
                <w:lang w:val="en-US" w:eastAsia="zh-CN"/>
              </w:rPr>
              <w:t>510</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81" w:type="dxa"/>
            <w:vAlign w:val="center"/>
          </w:tcPr>
          <w:p>
            <w:pPr>
              <w:pStyle w:val="100"/>
              <w:widowControl w:val="0"/>
              <w:bidi w:val="0"/>
              <w:adjustRightInd w:val="0"/>
              <w:snapToGrid w:val="0"/>
              <w:rPr>
                <w:rFonts w:hint="eastAsia"/>
                <w:lang w:val="en-US" w:eastAsia="zh-CN"/>
              </w:rPr>
            </w:pPr>
            <w:r>
              <w:rPr>
                <w:rFonts w:hint="eastAsia"/>
                <w:lang w:val="en-US" w:eastAsia="zh-CN"/>
              </w:rPr>
              <w:t>包装</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600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400</w:t>
            </w:r>
          </w:p>
        </w:tc>
        <w:tc>
          <w:tcPr>
            <w:tcW w:w="1308" w:type="dxa"/>
            <w:vAlign w:val="center"/>
          </w:tcPr>
          <w:p>
            <w:pPr>
              <w:pStyle w:val="100"/>
              <w:widowControl w:val="0"/>
              <w:bidi w:val="0"/>
              <w:adjustRightInd w:val="0"/>
              <w:snapToGrid w:val="0"/>
              <w:rPr>
                <w:rFonts w:hint="default"/>
                <w:lang w:val="en-US" w:eastAsia="zh-CN"/>
              </w:rPr>
            </w:pPr>
            <w:r>
              <w:rPr>
                <w:rFonts w:hint="eastAsia"/>
                <w:lang w:val="en-US" w:eastAsia="zh-CN"/>
              </w:rPr>
              <w:t>510</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81" w:type="dxa"/>
            <w:vAlign w:val="center"/>
          </w:tcPr>
          <w:p>
            <w:pPr>
              <w:pStyle w:val="100"/>
              <w:widowControl w:val="0"/>
              <w:bidi w:val="0"/>
              <w:adjustRightInd w:val="0"/>
              <w:snapToGrid w:val="0"/>
              <w:rPr>
                <w:rFonts w:hint="eastAsia"/>
                <w:lang w:val="en-US" w:eastAsia="zh-CN"/>
              </w:rPr>
            </w:pPr>
            <w:r>
              <w:rPr>
                <w:rFonts w:hint="eastAsia"/>
                <w:lang w:val="en-US" w:eastAsia="zh-CN"/>
              </w:rPr>
              <w:t>特殊</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850*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550</w:t>
            </w:r>
          </w:p>
        </w:tc>
        <w:tc>
          <w:tcPr>
            <w:tcW w:w="1308" w:type="dxa"/>
            <w:vAlign w:val="center"/>
          </w:tcPr>
          <w:p>
            <w:pPr>
              <w:pStyle w:val="100"/>
              <w:widowControl w:val="0"/>
              <w:bidi w:val="0"/>
              <w:adjustRightInd w:val="0"/>
              <w:snapToGrid w:val="0"/>
              <w:rPr>
                <w:rFonts w:hint="eastAsia"/>
                <w:lang w:val="en-US" w:eastAsia="zh-CN"/>
              </w:rPr>
            </w:pPr>
            <w:r>
              <w:rPr>
                <w:rFonts w:hint="eastAsia"/>
                <w:lang w:val="en-US" w:eastAsia="zh-CN"/>
              </w:rPr>
              <w:t>-</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81" w:type="dxa"/>
            <w:vAlign w:val="center"/>
          </w:tcPr>
          <w:p>
            <w:pPr>
              <w:pStyle w:val="100"/>
              <w:widowControl w:val="0"/>
              <w:bidi w:val="0"/>
              <w:adjustRightInd w:val="0"/>
              <w:snapToGrid w:val="0"/>
              <w:rPr>
                <w:rFonts w:hint="eastAsia"/>
                <w:lang w:val="en-US" w:eastAsia="zh-CN"/>
              </w:rPr>
            </w:pPr>
            <w:r>
              <w:rPr>
                <w:rFonts w:hint="eastAsia"/>
                <w:lang w:val="en-US" w:eastAsia="zh-CN"/>
              </w:rPr>
              <w:t>其他</w:t>
            </w:r>
          </w:p>
        </w:tc>
        <w:tc>
          <w:tcPr>
            <w:tcW w:w="1356" w:type="dxa"/>
            <w:vAlign w:val="center"/>
          </w:tcPr>
          <w:p>
            <w:pPr>
              <w:pStyle w:val="100"/>
              <w:widowControl w:val="0"/>
              <w:bidi w:val="0"/>
              <w:adjustRightInd w:val="0"/>
              <w:snapToGrid w:val="0"/>
              <w:rPr>
                <w:rFonts w:hint="default"/>
                <w:lang w:val="en-US" w:eastAsia="zh-CN"/>
              </w:rPr>
            </w:pPr>
            <w:r>
              <w:rPr>
                <w:rFonts w:hint="eastAsia"/>
                <w:lang w:val="en-US" w:eastAsia="zh-CN"/>
              </w:rPr>
              <w:t>600</w:t>
            </w:r>
          </w:p>
        </w:tc>
        <w:tc>
          <w:tcPr>
            <w:tcW w:w="2435" w:type="dxa"/>
            <w:vAlign w:val="center"/>
          </w:tcPr>
          <w:p>
            <w:pPr>
              <w:pStyle w:val="100"/>
              <w:widowControl w:val="0"/>
              <w:bidi w:val="0"/>
              <w:adjustRightInd w:val="0"/>
              <w:snapToGrid w:val="0"/>
              <w:rPr>
                <w:rFonts w:hint="default"/>
                <w:lang w:val="en-US" w:eastAsia="zh-CN"/>
              </w:rPr>
            </w:pPr>
            <w:r>
              <w:rPr>
                <w:rFonts w:hint="eastAsia"/>
                <w:lang w:val="en-US" w:eastAsia="zh-CN"/>
              </w:rPr>
              <w:t>500</w:t>
            </w:r>
          </w:p>
        </w:tc>
        <w:tc>
          <w:tcPr>
            <w:tcW w:w="1153" w:type="dxa"/>
            <w:vAlign w:val="center"/>
          </w:tcPr>
          <w:p>
            <w:pPr>
              <w:pStyle w:val="100"/>
              <w:widowControl w:val="0"/>
              <w:bidi w:val="0"/>
              <w:adjustRightInd w:val="0"/>
              <w:snapToGrid w:val="0"/>
              <w:rPr>
                <w:rFonts w:hint="default"/>
                <w:lang w:val="en-US" w:eastAsia="zh-CN"/>
              </w:rPr>
            </w:pPr>
            <w:r>
              <w:rPr>
                <w:rFonts w:hint="eastAsia"/>
                <w:lang w:val="en-US" w:eastAsia="zh-CN"/>
              </w:rPr>
              <w:t>250</w:t>
            </w:r>
          </w:p>
        </w:tc>
        <w:tc>
          <w:tcPr>
            <w:tcW w:w="1308" w:type="dxa"/>
            <w:vAlign w:val="center"/>
          </w:tcPr>
          <w:p>
            <w:pPr>
              <w:pStyle w:val="100"/>
              <w:widowControl w:val="0"/>
              <w:bidi w:val="0"/>
              <w:adjustRightInd w:val="0"/>
              <w:snapToGrid w:val="0"/>
              <w:rPr>
                <w:rFonts w:hint="default"/>
                <w:lang w:val="en-US" w:eastAsia="zh-CN"/>
              </w:rPr>
            </w:pPr>
            <w:r>
              <w:rPr>
                <w:rFonts w:hint="eastAsia"/>
                <w:lang w:val="en-US" w:eastAsia="zh-CN"/>
              </w:rPr>
              <w:t>510</w:t>
            </w:r>
          </w:p>
        </w:tc>
        <w:tc>
          <w:tcPr>
            <w:tcW w:w="997" w:type="dxa"/>
            <w:vAlign w:val="center"/>
          </w:tcPr>
          <w:p>
            <w:pPr>
              <w:pStyle w:val="100"/>
              <w:widowControl w:val="0"/>
              <w:bidi w:val="0"/>
              <w:adjustRightInd w:val="0"/>
              <w:snapToGrid w:val="0"/>
              <w:rPr>
                <w:rFonts w:hint="default"/>
                <w:lang w:val="en-US" w:eastAsia="zh-CN"/>
              </w:rPr>
            </w:pPr>
            <w:r>
              <w:rPr>
                <w:rFonts w:hint="eastAsia"/>
                <w:lang w:val="en-US" w:eastAsia="zh-CN"/>
              </w:rPr>
              <w:t>250</w:t>
            </w:r>
          </w:p>
        </w:tc>
      </w:tr>
    </w:tbl>
    <w:p>
      <w:pPr>
        <w:pStyle w:val="103"/>
        <w:bidi w:val="0"/>
        <w:rPr>
          <w:rFonts w:hint="eastAsia"/>
          <w:lang w:val="en-US" w:eastAsia="zh-CN"/>
        </w:rPr>
      </w:pPr>
      <w:r>
        <w:rPr>
          <w:rFonts w:hint="eastAsia"/>
          <w:lang w:val="en-US" w:eastAsia="zh-CN"/>
        </w:rPr>
        <w:t>由此可知，溶剂型胶粘剂中丙烯酸酯类的可挥发性有机化合物含量应小于等于510g/L，本项目所使用的油墨为3M公司所生产的“SP-7533 丝网印刷胶”，其安全技术说明书中写明该款胶粘剂中挥发性有机化合物含量≤5g/L。</w:t>
      </w:r>
    </w:p>
    <w:p>
      <w:pPr>
        <w:pStyle w:val="103"/>
        <w:bidi w:val="0"/>
        <w:rPr>
          <w:rFonts w:hint="default"/>
          <w:lang w:val="en-US" w:eastAsia="zh-CN"/>
        </w:rPr>
      </w:pPr>
      <w:r>
        <w:rPr>
          <w:rFonts w:hint="eastAsia"/>
          <w:lang w:val="en-US" w:eastAsia="zh-CN"/>
        </w:rPr>
        <w:t>综上，本项目使用该款胶粘剂是可行的。</w:t>
      </w:r>
    </w:p>
    <w:p>
      <w:pPr>
        <w:pStyle w:val="104"/>
      </w:pPr>
      <w:r>
        <w:rPr>
          <w:rFonts w:hint="eastAsia"/>
        </w:rPr>
        <w:t>产业政策相符性分析</w:t>
      </w:r>
    </w:p>
    <w:p>
      <w:pPr>
        <w:pStyle w:val="103"/>
        <w:bidi w:val="0"/>
      </w:pPr>
      <w:r>
        <w:t>本项目已取得苏州市</w:t>
      </w:r>
      <w:r>
        <w:rPr>
          <w:rFonts w:hint="eastAsia"/>
        </w:rPr>
        <w:t>吴江经济技术开发区管理委员会</w:t>
      </w:r>
      <w:r>
        <w:t>备案文件（</w:t>
      </w:r>
      <w:r>
        <w:rPr>
          <w:rFonts w:hint="eastAsia"/>
        </w:rPr>
        <w:t>吴开审备〔2020〕193号</w:t>
      </w:r>
      <w:r>
        <w:t>；项目代码：</w:t>
      </w:r>
      <w:r>
        <w:rPr>
          <w:rFonts w:hint="eastAsia"/>
        </w:rPr>
        <w:t>2020-320509-21-03-625289</w:t>
      </w:r>
      <w:r>
        <w:t>），经对照，本项目不属于国家发展和改革委员会令2019第29号《产业结构调整指导目录(2019年本)》中限制类、淘汰类项目；不属于《江苏省工业和信息产业结构调整指导目录》（2012年本）和《关于修改＜江苏省工业和信息产业结构调整指导目录（2012年本）＞部分条目的通知》（苏经信产业）[2013]183号）中鼓励类、限制类、淘汰类项目；不属于《江苏省工业和信息产业结构调整限制、淘汰目录和能耗限额》（苏政办发[2015]118号文）中规定的限制、淘汰目录和能耗限额类；亦不属于《苏州市产业发展导向目录（2007年本）》鼓励类、限制类、禁止类和淘汰类项目，故为允许类。因此，项目符合国家和地方产业政策。</w:t>
      </w:r>
    </w:p>
    <w:p>
      <w:pPr>
        <w:pStyle w:val="104"/>
      </w:pPr>
      <w:r>
        <w:rPr>
          <w:rFonts w:hint="eastAsia"/>
        </w:rPr>
        <w:t>与备案文件相符性分析</w:t>
      </w:r>
    </w:p>
    <w:p>
      <w:pPr>
        <w:pStyle w:val="103"/>
        <w:bidi w:val="0"/>
      </w:pPr>
      <w:r>
        <w:t>根据本项目（</w:t>
      </w:r>
      <w:r>
        <w:rPr>
          <w:rFonts w:hint="eastAsia"/>
        </w:rPr>
        <w:t>吴开审备〔2020〕193号</w:t>
      </w:r>
      <w:r>
        <w:t>）备案文件，本项目</w:t>
      </w:r>
      <w:r>
        <w:rPr>
          <w:rFonts w:hint="eastAsia"/>
          <w:lang w:val="en-US" w:eastAsia="zh-CN"/>
        </w:rPr>
        <w:t>为</w:t>
      </w:r>
      <w:r>
        <w:t>公司整体搬迁改造，主要搬迁打孔机、冲床等设备28台（套）</w:t>
      </w:r>
      <w:r>
        <w:rPr>
          <w:rFonts w:hint="eastAsia"/>
          <w:lang w:eastAsia="zh-CN"/>
        </w:rPr>
        <w:t>。</w:t>
      </w:r>
      <w:r>
        <w:t>新增</w:t>
      </w:r>
      <w:r>
        <w:rPr>
          <w:rFonts w:hint="eastAsia"/>
          <w:lang w:val="en-US" w:eastAsia="zh-CN"/>
        </w:rPr>
        <w:t>设备有</w:t>
      </w:r>
      <w:r>
        <w:t>国产印刷机、空压机等设备22台</w:t>
      </w:r>
      <w:r>
        <w:rPr>
          <w:rFonts w:hint="eastAsia"/>
        </w:rPr>
        <w:t>（套），不新增变压器</w:t>
      </w:r>
      <w:r>
        <w:rPr>
          <w:rFonts w:hint="eastAsia"/>
          <w:lang w:eastAsia="zh-CN"/>
        </w:rPr>
        <w:t>。</w:t>
      </w:r>
      <w:r>
        <w:t>因此本项目建设内容与备案文件相符。</w:t>
      </w:r>
    </w:p>
    <w:p>
      <w:pPr>
        <w:pStyle w:val="104"/>
      </w:pPr>
      <w:r>
        <w:rPr>
          <w:rFonts w:hint="eastAsia"/>
        </w:rPr>
        <w:t>相关规划相符性分析</w:t>
      </w:r>
    </w:p>
    <w:p>
      <w:pPr>
        <w:pStyle w:val="105"/>
      </w:pPr>
      <w:r>
        <w:rPr>
          <w:rFonts w:hint="eastAsia"/>
        </w:rPr>
        <w:t>选址与规划相容性分析</w:t>
      </w:r>
    </w:p>
    <w:p>
      <w:pPr>
        <w:pStyle w:val="103"/>
        <w:bidi w:val="0"/>
      </w:pPr>
      <w:r>
        <w:rPr>
          <w:rFonts w:hint="eastAsia"/>
        </w:rPr>
        <w:t>本项目所在地块位于《苏州市吴江区建设项目环境影响评价特别管理措施（试行）》（吴政办[2019]32号）中附件表四“</w:t>
      </w:r>
      <w:r>
        <w:rPr>
          <w:rFonts w:hint="eastAsia"/>
          <w:lang w:val="en-US" w:eastAsia="zh-CN"/>
        </w:rPr>
        <w:t>吴江经济技术开发区</w:t>
      </w:r>
      <w:r>
        <w:rPr>
          <w:rFonts w:hint="eastAsia"/>
        </w:rPr>
        <w:t>”划定的“</w:t>
      </w:r>
      <w:r>
        <w:rPr>
          <w:rFonts w:hint="eastAsia"/>
          <w:lang w:val="en-US" w:eastAsia="zh-CN"/>
        </w:rPr>
        <w:t>东至同津大道—长牵路河—长胜路—光明路—富家路，南至东西快速干线，西至东太湖—花园路，北至兴中路—吴淞江。</w:t>
      </w:r>
      <w:r>
        <w:t>”范围内，</w:t>
      </w:r>
      <w:r>
        <w:rPr>
          <w:rFonts w:hint="eastAsia"/>
          <w:lang w:val="en-US" w:eastAsia="zh-CN"/>
        </w:rPr>
        <w:t>吴江经济技术</w:t>
      </w:r>
      <w:r>
        <w:t>开发区是</w:t>
      </w:r>
      <w:r>
        <w:rPr>
          <w:rFonts w:hint="eastAsia"/>
          <w:lang w:val="en-US" w:eastAsia="zh-CN"/>
        </w:rPr>
        <w:t>同里</w:t>
      </w:r>
      <w:r>
        <w:t>镇总体规划中规划的工业区，故符合</w:t>
      </w:r>
      <w:r>
        <w:rPr>
          <w:rFonts w:hint="eastAsia"/>
          <w:lang w:val="en-US" w:eastAsia="zh-CN"/>
        </w:rPr>
        <w:t>同里</w:t>
      </w:r>
      <w:r>
        <w:t>镇总体规划，满足当地产业结构的发展方向。</w:t>
      </w:r>
    </w:p>
    <w:p>
      <w:pPr>
        <w:pStyle w:val="103"/>
        <w:bidi w:val="0"/>
      </w:pPr>
      <w:r>
        <w:rPr>
          <w:rFonts w:hint="eastAsia"/>
        </w:rPr>
        <w:t>本项目位于苏州市吴江区</w:t>
      </w:r>
      <w:r>
        <w:rPr>
          <w:rFonts w:hint="eastAsia"/>
          <w:lang w:val="en-US" w:eastAsia="zh-CN"/>
        </w:rPr>
        <w:t>吴江经济技术开发区吉市东路217</w:t>
      </w:r>
      <w:r>
        <w:t>号，属于</w:t>
      </w:r>
      <w:r>
        <w:rPr>
          <w:rFonts w:hint="eastAsia"/>
          <w:lang w:val="en-US" w:eastAsia="zh-CN"/>
        </w:rPr>
        <w:t>吴江经济技术</w:t>
      </w:r>
      <w:r>
        <w:t>开发区，本项目属于</w:t>
      </w:r>
      <w:r>
        <w:rPr>
          <w:rFonts w:hint="eastAsia"/>
          <w:lang w:val="en-US" w:eastAsia="zh-CN"/>
        </w:rPr>
        <w:t>电子专用材料</w:t>
      </w:r>
      <w:r>
        <w:t>制造，与</w:t>
      </w:r>
      <w:r>
        <w:rPr>
          <w:rFonts w:hint="eastAsia"/>
          <w:lang w:val="en-US" w:eastAsia="zh-CN"/>
        </w:rPr>
        <w:t>吴江经济技术</w:t>
      </w:r>
      <w:r>
        <w:t>开发区规划的产业定位相符。本项目所在地属于</w:t>
      </w:r>
      <w:r>
        <w:rPr>
          <w:rFonts w:hint="eastAsia"/>
          <w:lang w:val="en-US" w:eastAsia="zh-CN"/>
        </w:rPr>
        <w:t>吴江经济技术</w:t>
      </w:r>
      <w:r>
        <w:t>开发区规划的工业用地，因此本项目与《</w:t>
      </w:r>
      <w:r>
        <w:rPr>
          <w:rFonts w:hint="eastAsia"/>
          <w:lang w:val="en-US" w:eastAsia="zh-CN"/>
        </w:rPr>
        <w:t>吴江经济技术开发区控制性详细规划》</w:t>
      </w:r>
      <w:r>
        <w:t>及《</w:t>
      </w:r>
      <w:r>
        <w:rPr>
          <w:rFonts w:hint="eastAsia"/>
          <w:lang w:val="en-US" w:eastAsia="zh-CN"/>
        </w:rPr>
        <w:t>江苏省吴江市同里镇总体规划（2009-2030）</w:t>
      </w:r>
      <w:r>
        <w:t>》相符。本项目生产过程产生的非甲烷总烃经处理后达标排放，未收集的部分在加强通风的情况下在车间内无组</w:t>
      </w:r>
      <w:r>
        <w:rPr>
          <w:rFonts w:hint="eastAsia"/>
        </w:rPr>
        <w:t>织排放，其排放浓度小于标准限值，对周围大气环境影响较小；本项目无生产性废水排放，生活污水经</w:t>
      </w:r>
      <w:r>
        <w:rPr>
          <w:rFonts w:hint="eastAsia"/>
          <w:lang w:val="en-US" w:eastAsia="zh-CN"/>
        </w:rPr>
        <w:t>市政管网</w:t>
      </w:r>
      <w:r>
        <w:rPr>
          <w:rFonts w:hint="eastAsia"/>
        </w:rPr>
        <w:t>收集后</w:t>
      </w:r>
      <w:r>
        <w:rPr>
          <w:rFonts w:hint="eastAsia"/>
          <w:lang w:val="en-US" w:eastAsia="zh-CN"/>
        </w:rPr>
        <w:t>排放至</w:t>
      </w:r>
      <w:r>
        <w:rPr>
          <w:rFonts w:hint="eastAsia"/>
        </w:rPr>
        <w:t>至</w:t>
      </w:r>
      <w:r>
        <w:rPr>
          <w:rFonts w:hint="eastAsia"/>
          <w:lang w:val="en-US" w:eastAsia="zh-CN"/>
        </w:rPr>
        <w:t>吴江经济技术开发区运东</w:t>
      </w:r>
      <w:r>
        <w:rPr>
          <w:rFonts w:hint="eastAsia"/>
        </w:rPr>
        <w:t>污水处理</w:t>
      </w:r>
      <w:r>
        <w:rPr>
          <w:rFonts w:hint="eastAsia"/>
          <w:lang w:val="en-US" w:eastAsia="zh-CN"/>
        </w:rPr>
        <w:t>厂</w:t>
      </w:r>
      <w:r>
        <w:rPr>
          <w:rFonts w:hint="eastAsia"/>
        </w:rPr>
        <w:t>进行处理，处理达标后排入</w:t>
      </w:r>
      <w:r>
        <w:rPr>
          <w:rFonts w:hint="eastAsia"/>
          <w:lang w:val="en-US" w:eastAsia="zh-CN"/>
        </w:rPr>
        <w:t>吴淞江</w:t>
      </w:r>
      <w:r>
        <w:rPr>
          <w:rFonts w:hint="eastAsia"/>
        </w:rPr>
        <w:t>。本项目根据设备产生的噪声源强对设备车间的布置进行了合理的规划，同时选用了低噪声设备，并采取减振、隔声，以及距离衰减等措施，项目周围噪声均能达标。本项目固体废物均采用综合利用、委托处理等方法处理、处置后，不会产生二次污染的问题，不会对环境造成污染和不良影响。故本项目不违背</w:t>
      </w:r>
      <w:r>
        <w:rPr>
          <w:rFonts w:hint="eastAsia"/>
          <w:lang w:val="en-US" w:eastAsia="zh-CN"/>
        </w:rPr>
        <w:t>吴江经济技术开发区规划</w:t>
      </w:r>
      <w:r>
        <w:rPr>
          <w:rFonts w:hint="eastAsia"/>
        </w:rPr>
        <w:t>的</w:t>
      </w:r>
      <w:r>
        <w:rPr>
          <w:rFonts w:hint="eastAsia"/>
          <w:lang w:val="en-US" w:eastAsia="zh-CN"/>
        </w:rPr>
        <w:t>相关</w:t>
      </w:r>
      <w:r>
        <w:rPr>
          <w:rFonts w:hint="eastAsia"/>
        </w:rPr>
        <w:t>要求。</w:t>
      </w:r>
    </w:p>
    <w:p>
      <w:pPr>
        <w:pStyle w:val="105"/>
      </w:pPr>
      <w:r>
        <w:rPr>
          <w:rFonts w:hint="eastAsia"/>
        </w:rPr>
        <w:t>与规划环评相符相符性分析</w:t>
      </w:r>
    </w:p>
    <w:p>
      <w:pPr>
        <w:pStyle w:val="110"/>
        <w:spacing w:before="62" w:beforeLines="20"/>
        <w:rPr>
          <w:rFonts w:hint="default" w:ascii="Times New Roman" w:hAnsi="Times New Roman" w:eastAsia="宋体" w:cs="Times New Roman"/>
          <w:b/>
          <w:bCs w:val="0"/>
          <w:snapToGrid/>
          <w:spacing w:val="0"/>
          <w:kern w:val="0"/>
          <w:sz w:val="24"/>
          <w:szCs w:val="24"/>
          <w:lang w:val="en-US" w:eastAsia="zh-CN" w:bidi="ar-SA"/>
        </w:rPr>
      </w:pPr>
      <w:r>
        <w:rPr>
          <w:rFonts w:hint="eastAsia" w:ascii="Times New Roman" w:hAnsi="Times New Roman" w:eastAsia="宋体" w:cs="Times New Roman"/>
          <w:b/>
          <w:bCs w:val="0"/>
          <w:snapToGrid/>
          <w:spacing w:val="0"/>
          <w:kern w:val="0"/>
          <w:sz w:val="24"/>
          <w:szCs w:val="24"/>
          <w:lang w:val="en-US" w:eastAsia="zh-CN" w:bidi="ar-SA"/>
        </w:rPr>
        <w:t>表1.1.8.2-1  与规划环评相符性分析</w:t>
      </w:r>
    </w:p>
    <w:tbl>
      <w:tblPr>
        <w:tblStyle w:val="260"/>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5470"/>
        <w:gridCol w:w="1600"/>
        <w:gridCol w:w="7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67" w:type="pct"/>
            <w:shd w:val="clear" w:color="auto" w:fill="auto"/>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序号</w:t>
            </w:r>
          </w:p>
        </w:tc>
        <w:tc>
          <w:tcPr>
            <w:tcW w:w="3234" w:type="pct"/>
            <w:shd w:val="clear" w:color="auto" w:fill="auto"/>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要求</w:t>
            </w:r>
          </w:p>
        </w:tc>
        <w:tc>
          <w:tcPr>
            <w:tcW w:w="946" w:type="pct"/>
            <w:shd w:val="clear" w:color="auto" w:fill="auto"/>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本项目情况</w:t>
            </w:r>
          </w:p>
        </w:tc>
        <w:tc>
          <w:tcPr>
            <w:tcW w:w="452" w:type="pct"/>
            <w:shd w:val="clear" w:color="auto" w:fill="auto"/>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1</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已科学发展观指导开发区建设和环境管理，实现区域产业和环境的可持续发展。针对所在区域目前存在的主要环境问题，加快区域内水环境综合整治，严格控制污染物总量排放，改善区域环境质量。开发区建设必须坚持环境效益、经济效益和社会效益相统一原则，高起点规划、高标准建设、高水平管理。执行循环经济生产，走新型工业化道路，并按照 ISO14000 标准体系建立环境管理体系，努力将开发区建成生态工业园区。鼓励并扶持企业内部和企业之间副产品与能源梯级利用，废弃减量化、资源化、循环利用。</w:t>
            </w:r>
          </w:p>
        </w:tc>
        <w:tc>
          <w:tcPr>
            <w:tcW w:w="946" w:type="pct"/>
            <w:vAlign w:val="center"/>
          </w:tcPr>
          <w:p>
            <w:pPr>
              <w:pStyle w:val="100"/>
              <w:widowControl w:val="0"/>
              <w:bidi w:val="0"/>
              <w:adjustRightInd w:val="0"/>
              <w:snapToGrid w:val="0"/>
              <w:rPr>
                <w:rFonts w:hint="default"/>
                <w:szCs w:val="22"/>
                <w:lang w:val="en-US" w:eastAsia="zh-CN"/>
              </w:rPr>
            </w:pPr>
            <w:r>
              <w:rPr>
                <w:rFonts w:hint="eastAsia"/>
                <w:szCs w:val="22"/>
                <w:lang w:val="en-US" w:eastAsia="zh-CN"/>
              </w:rPr>
              <w:t>本项目为电子专用材料制造项目，本项目生活污水接管到运东污水处理厂处理之后达标排放；本项目无生产废水产生；本项目固废均处理，实现零排放；本项目废气经过废气处理设施处理之后达标排放。</w:t>
            </w:r>
          </w:p>
        </w:tc>
        <w:tc>
          <w:tcPr>
            <w:tcW w:w="452"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2</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按照报告书提出的规划调整建议，优化各组团布局，根据《江苏省太湖水污染防治条例》，位于太湖一级、二级保护区的开发区西北部工业用地不宜扩大，该区域应该以发展现代服务业为主。从环境保护角度合理控制工业用地与居住用地的布局，期间必须设置绿化过渡带，开发区西侧边界应与东太湖保持 1 公里，同古里镇保持 2 公里以上的距离，并在边界设置 50 米宽的绿化带，切实做好耕地的占补平衡。</w:t>
            </w:r>
          </w:p>
        </w:tc>
        <w:tc>
          <w:tcPr>
            <w:tcW w:w="946" w:type="pct"/>
            <w:vAlign w:val="center"/>
          </w:tcPr>
          <w:p>
            <w:pPr>
              <w:pStyle w:val="100"/>
              <w:widowControl w:val="0"/>
              <w:bidi w:val="0"/>
              <w:adjustRightInd w:val="0"/>
              <w:snapToGrid w:val="0"/>
              <w:rPr>
                <w:rFonts w:hint="default"/>
                <w:szCs w:val="22"/>
                <w:lang w:val="en-US" w:eastAsia="zh-CN"/>
              </w:rPr>
            </w:pPr>
            <w:r>
              <w:rPr>
                <w:rFonts w:hint="eastAsia"/>
                <w:szCs w:val="22"/>
                <w:lang w:val="en-US" w:eastAsia="zh-CN"/>
              </w:rPr>
              <w:t>本项目西距东太湖7.1km</w:t>
            </w:r>
          </w:p>
        </w:tc>
        <w:tc>
          <w:tcPr>
            <w:tcW w:w="452" w:type="pct"/>
            <w:vAlign w:val="center"/>
          </w:tcPr>
          <w:p>
            <w:pPr>
              <w:pStyle w:val="100"/>
              <w:widowControl w:val="0"/>
              <w:bidi w:val="0"/>
              <w:adjustRightInd w:val="0"/>
              <w:snapToGrid w:val="0"/>
              <w:rPr>
                <w:rFonts w:hint="eastAsia"/>
                <w:szCs w:val="22"/>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3</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全区实施清污分流、雨污分流。区内污水、雨水管网和污水处理厂建设应按照环保规划尽快实施，确保全部废水接管处理，努力实现区域水污染物总量削减，废水全部送往松陵污水处理厂、民营污水处理厂、和运东污水处理厂集中处理，尾水分别排入江南运河与吴淞江。清下水、污水处理厂尾水（必须深度处理）应当竟可能用作绿化用水、地面冲洗水、道路喷洒水等低水质用水。严格控制区域内企业金属废水，特别是含铜、镍、铬、镉废水的排放。</w:t>
            </w:r>
          </w:p>
        </w:tc>
        <w:tc>
          <w:tcPr>
            <w:tcW w:w="946" w:type="pct"/>
            <w:vAlign w:val="center"/>
          </w:tcPr>
          <w:p>
            <w:pPr>
              <w:pStyle w:val="100"/>
              <w:widowControl w:val="0"/>
              <w:bidi w:val="0"/>
              <w:adjustRightInd w:val="0"/>
              <w:snapToGrid w:val="0"/>
              <w:rPr>
                <w:rFonts w:hint="default"/>
                <w:szCs w:val="22"/>
                <w:lang w:val="en-US" w:eastAsia="zh-CN"/>
              </w:rPr>
            </w:pPr>
            <w:r>
              <w:rPr>
                <w:rFonts w:hint="eastAsia"/>
                <w:szCs w:val="22"/>
                <w:lang w:val="en-US" w:eastAsia="zh-CN"/>
              </w:rPr>
              <w:t>本项目已实行清污分流、雨污分流；本项目无生产废水产生生活污水接管到运东污水处理厂处理之后达标排放。</w:t>
            </w:r>
          </w:p>
        </w:tc>
        <w:tc>
          <w:tcPr>
            <w:tcW w:w="452"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4</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入区企业必须全部使用清洁燃料，区内已建成的小锅炉应当改变能源结构，使用天然气、轻质油等清洁能源。</w:t>
            </w:r>
          </w:p>
        </w:tc>
        <w:tc>
          <w:tcPr>
            <w:tcW w:w="946" w:type="pct"/>
            <w:vAlign w:val="center"/>
          </w:tcPr>
          <w:p>
            <w:pPr>
              <w:pStyle w:val="100"/>
              <w:widowControl w:val="0"/>
              <w:bidi w:val="0"/>
              <w:adjustRightInd w:val="0"/>
              <w:snapToGrid w:val="0"/>
              <w:rPr>
                <w:rFonts w:hint="default"/>
                <w:szCs w:val="22"/>
                <w:lang w:val="en-US" w:eastAsia="zh-CN"/>
              </w:rPr>
            </w:pPr>
            <w:r>
              <w:rPr>
                <w:rFonts w:hint="eastAsia"/>
                <w:szCs w:val="22"/>
                <w:lang w:val="en-US" w:eastAsia="zh-CN"/>
              </w:rPr>
              <w:t>本项目不涉及燃料的使用。</w:t>
            </w:r>
          </w:p>
        </w:tc>
        <w:tc>
          <w:tcPr>
            <w:tcW w:w="452"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5</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区内不设置固废处置中心，危险固废送具资质的处理单位处置。园区内建立统一的固废（特别是危险废物）收集、贮存、运输、综合利用和安全处置运营管理体系。园区内危险废物的收集、贮存要符合国家《危险废物贮存污染控制标准》。鼓励工业固废在区内综合利用，同时做好二次污染防治工作。</w:t>
            </w:r>
          </w:p>
        </w:tc>
        <w:tc>
          <w:tcPr>
            <w:tcW w:w="946" w:type="pct"/>
            <w:vAlign w:val="center"/>
          </w:tcPr>
          <w:p>
            <w:pPr>
              <w:pStyle w:val="100"/>
              <w:widowControl w:val="0"/>
              <w:bidi w:val="0"/>
              <w:adjustRightInd w:val="0"/>
              <w:snapToGrid w:val="0"/>
              <w:rPr>
                <w:rFonts w:hint="default"/>
                <w:szCs w:val="22"/>
                <w:lang w:val="en-US" w:eastAsia="zh-CN"/>
              </w:rPr>
            </w:pPr>
            <w:r>
              <w:rPr>
                <w:rFonts w:hint="eastAsia"/>
                <w:szCs w:val="22"/>
                <w:lang w:val="en-US" w:eastAsia="zh-CN"/>
              </w:rPr>
              <w:t>本项目副产物主要为PET边角料、废油墨罐、废胶水罐、废纸箱、废活性炭、不合格品及生活垃圾。本项目一般固废外售利用单位，危险废物委托资质单位处理，实现固废零排放。</w:t>
            </w:r>
          </w:p>
        </w:tc>
        <w:tc>
          <w:tcPr>
            <w:tcW w:w="452"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6</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按照国家产业政策、省有关建设项目环保准入要求和报告书要 求控制和遴选入区企业，进区企业要贯彻循环经济、清洁生产和安全生 产原则，采用国内乃至国际先进水平的生产工艺和污染治理技术。严禁 重污染、不符合产业政策与清洁生产要求的项目入区，控制大耗水、大排水项目入驻。入区企业应当严格执行环境影响评价和“三同时”制度。</w:t>
            </w:r>
          </w:p>
        </w:tc>
        <w:tc>
          <w:tcPr>
            <w:tcW w:w="946"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本项目无生产废水产生生活污水接管到运东污水处理厂处理之后达标排放。</w:t>
            </w:r>
          </w:p>
        </w:tc>
        <w:tc>
          <w:tcPr>
            <w:tcW w:w="452"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7</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对开发区内外环境实施跟踪监控，特别是加强对太湖及污水处理厂排口河段的监测。污水厂排口均应安装在线流量计、COD 自动监测仪，并与当地环境保护部门监控系统联网。</w:t>
            </w:r>
          </w:p>
        </w:tc>
        <w:tc>
          <w:tcPr>
            <w:tcW w:w="946" w:type="pct"/>
            <w:vAlign w:val="center"/>
          </w:tcPr>
          <w:p>
            <w:pPr>
              <w:pStyle w:val="100"/>
              <w:widowControl w:val="0"/>
              <w:bidi w:val="0"/>
              <w:adjustRightInd w:val="0"/>
              <w:snapToGrid w:val="0"/>
              <w:rPr>
                <w:rFonts w:hint="default"/>
                <w:szCs w:val="22"/>
                <w:lang w:val="en-US" w:eastAsia="zh-CN"/>
              </w:rPr>
            </w:pPr>
            <w:r>
              <w:rPr>
                <w:rFonts w:hint="eastAsia"/>
                <w:szCs w:val="22"/>
                <w:lang w:val="en-US" w:eastAsia="zh-CN"/>
              </w:rPr>
              <w:t>本项目无生产废水产生。</w:t>
            </w:r>
          </w:p>
        </w:tc>
        <w:tc>
          <w:tcPr>
            <w:tcW w:w="452"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67"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8</w:t>
            </w:r>
          </w:p>
        </w:tc>
        <w:tc>
          <w:tcPr>
            <w:tcW w:w="3234"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开发区实行污染物总量控制，开发区污染物排放总量不得超出 报告书提出的总量控制指标，其中常规污染物排放总量应在江苏省和苏州市下达给吴江市总量计划内平衡；非常规污染物排放总量控制指标可 根据环境要求和入区企业实际情况由负责建设项目审批的环保部门核批。</w:t>
            </w:r>
          </w:p>
        </w:tc>
        <w:tc>
          <w:tcPr>
            <w:tcW w:w="946" w:type="pct"/>
            <w:vAlign w:val="center"/>
          </w:tcPr>
          <w:p>
            <w:pPr>
              <w:pStyle w:val="100"/>
              <w:widowControl w:val="0"/>
              <w:bidi w:val="0"/>
              <w:adjustRightInd w:val="0"/>
              <w:snapToGrid w:val="0"/>
              <w:rPr>
                <w:rFonts w:hint="default"/>
                <w:szCs w:val="22"/>
                <w:lang w:val="en-US" w:eastAsia="zh-CN"/>
              </w:rPr>
            </w:pPr>
            <w:r>
              <w:rPr>
                <w:rFonts w:hint="eastAsia"/>
                <w:szCs w:val="22"/>
                <w:lang w:val="en-US" w:eastAsia="zh-CN"/>
              </w:rPr>
              <w:t>本项目产生的非甲烷总烃已在吴江区内申请平衡。</w:t>
            </w:r>
          </w:p>
        </w:tc>
        <w:tc>
          <w:tcPr>
            <w:tcW w:w="452" w:type="pct"/>
            <w:vAlign w:val="center"/>
          </w:tcPr>
          <w:p>
            <w:pPr>
              <w:pStyle w:val="100"/>
              <w:widowControl w:val="0"/>
              <w:bidi w:val="0"/>
              <w:adjustRightInd w:val="0"/>
              <w:snapToGrid w:val="0"/>
              <w:rPr>
                <w:rFonts w:hint="eastAsia"/>
                <w:szCs w:val="22"/>
                <w:lang w:val="en-US" w:eastAsia="zh-CN"/>
              </w:rPr>
            </w:pPr>
            <w:r>
              <w:rPr>
                <w:rFonts w:hint="eastAsia"/>
                <w:szCs w:val="22"/>
                <w:lang w:val="en-US" w:eastAsia="zh-CN"/>
              </w:rPr>
              <w:t>符合</w:t>
            </w:r>
          </w:p>
        </w:tc>
      </w:tr>
    </w:tbl>
    <w:p>
      <w:pPr>
        <w:pStyle w:val="103"/>
        <w:bidi w:val="0"/>
        <w:rPr>
          <w:rFonts w:hint="default"/>
        </w:rPr>
      </w:pPr>
    </w:p>
    <w:p>
      <w:pPr>
        <w:pStyle w:val="103"/>
        <w:bidi w:val="0"/>
        <w:rPr>
          <w:rFonts w:hint="default"/>
        </w:rPr>
      </w:pPr>
      <w:r>
        <w:rPr>
          <w:rFonts w:hint="default"/>
        </w:rPr>
        <w:t>2012 年编制的《吴江经济技术开发区发展规划环境影响报告书（2011-2020）》已完成，批文号为环评函2013（69）号。</w:t>
      </w:r>
      <w:r>
        <w:rPr>
          <w:rFonts w:hint="default"/>
          <w:lang w:val="en-US" w:eastAsia="zh-CN"/>
        </w:rPr>
        <w:t>吴江经济技术开发区跟踪环评目前尚未开展。</w:t>
      </w:r>
      <w:r>
        <w:rPr>
          <w:rFonts w:hint="default"/>
        </w:rPr>
        <w:t>根据开发区规划，开发区产业定位为：电子信息、机械装备制造、新能源、新材料、生物医药、生产服务业以及少量与开发区产业配套的化工行业，同时化工片区还承担吴江区内化工企业的整治搬迁。</w:t>
      </w:r>
    </w:p>
    <w:p>
      <w:pPr>
        <w:pStyle w:val="103"/>
        <w:bidi w:val="0"/>
        <w:rPr>
          <w:rFonts w:hint="default"/>
        </w:rPr>
      </w:pPr>
      <w:r>
        <w:rPr>
          <w:rFonts w:hint="default"/>
        </w:rPr>
        <w:t>本项目位于吴江经济技术开发区规划范围内，吴江经济技术开发区总体规划见附图。</w:t>
      </w:r>
    </w:p>
    <w:p>
      <w:pPr>
        <w:pStyle w:val="103"/>
        <w:bidi w:val="0"/>
        <w:rPr>
          <w:rFonts w:hint="default"/>
        </w:rPr>
      </w:pPr>
      <w:r>
        <w:rPr>
          <w:rFonts w:hint="default"/>
        </w:rPr>
        <w:t>开发区规划总体布局为“两带一心五片”。</w:t>
      </w:r>
    </w:p>
    <w:p>
      <w:pPr>
        <w:pStyle w:val="103"/>
        <w:bidi w:val="0"/>
        <w:rPr>
          <w:rFonts w:hint="default"/>
        </w:rPr>
      </w:pPr>
      <w:r>
        <w:rPr>
          <w:rFonts w:hint="default"/>
        </w:rPr>
        <w:t>两带：为云梨路、中山路公共设施服务带，沿云梨路、中山路发展公共设施用地。</w:t>
      </w:r>
    </w:p>
    <w:p>
      <w:pPr>
        <w:pStyle w:val="103"/>
        <w:bidi w:val="0"/>
        <w:rPr>
          <w:rFonts w:hint="default"/>
        </w:rPr>
      </w:pPr>
      <w:r>
        <w:rPr>
          <w:rFonts w:hint="default"/>
        </w:rPr>
        <w:t>一心：开发区中心，兴东路、湖心东路—辽浜路、双庙港、学院东路围合的地段，发展相关生产线服务业、公益性公共设施、商贸服务业等，是吴江城区的副中心。</w:t>
      </w:r>
    </w:p>
    <w:p>
      <w:pPr>
        <w:pStyle w:val="103"/>
        <w:bidi w:val="0"/>
        <w:rPr>
          <w:rFonts w:hint="default"/>
        </w:rPr>
      </w:pPr>
      <w:r>
        <w:rPr>
          <w:rFonts w:hint="default"/>
        </w:rPr>
        <w:t>五片：分中部新城片区、西北部混合片区、西南部高科技工业片区、北部混合片区、南部工业片区，总体形成中部居住服务、南北工作就业的空间格局，其中，中部新城片区以云梨路为中心重点发展居住及公共设施类用地；西北部混合片区为居住、工业相对混合的综合片区，主要以工业用地调整为主；西南部高科技工业片区结合松陵南部新城的建设发展新能源、新材料、生物医药、汽车研发及生产服务业，并适当安排配套居住用地；北部混合片区重点发展电子、精细化工、仓储等工业类型，并适当安排商贸及居住用地；南部工业片区重点发展电子信息、新材料、机械制造，出口加工区、仓储物流、科研等产业。</w:t>
      </w:r>
    </w:p>
    <w:p>
      <w:pPr>
        <w:pStyle w:val="103"/>
        <w:bidi w:val="0"/>
      </w:pPr>
      <w:r>
        <w:rPr>
          <w:rFonts w:hint="eastAsia"/>
          <w:lang w:val="en-US" w:eastAsia="zh-CN"/>
        </w:rPr>
        <w:t>本项目位于吴江经济技术开发区南部工业片区，该片区重点发展电子信息、新材料、机械制造，出口加工区、仓储物流、科研等产业，本项目属于电子专用材料制造，符合南部片区产业定位。不属于开发区限制类行业，因而本项目与规划环评产业定位相符。</w:t>
      </w:r>
    </w:p>
    <w:p>
      <w:pPr>
        <w:pStyle w:val="104"/>
      </w:pPr>
      <w:r>
        <w:rPr>
          <w:rFonts w:hint="eastAsia"/>
        </w:rPr>
        <w:t>相关政策、技术文件相符性分析</w:t>
      </w:r>
    </w:p>
    <w:p>
      <w:pPr>
        <w:pStyle w:val="105"/>
      </w:pPr>
      <w:r>
        <w:rPr>
          <w:rFonts w:hint="eastAsia"/>
        </w:rPr>
        <w:t>与《太湖流域管理条例》相符性分析</w:t>
      </w:r>
    </w:p>
    <w:p>
      <w:pPr>
        <w:pStyle w:val="103"/>
        <w:bidi w:val="0"/>
      </w:pPr>
      <w:bookmarkStart w:id="22" w:name="_Hlk10028258"/>
      <w:r>
        <w:t>本项目</w:t>
      </w:r>
      <w:r>
        <w:rPr>
          <w:rFonts w:hint="eastAsia"/>
        </w:rPr>
        <w:t>距西面太湖岸线约</w:t>
      </w:r>
      <w:r>
        <w:rPr>
          <w:rFonts w:hint="eastAsia"/>
          <w:lang w:val="en-US" w:eastAsia="zh-CN"/>
        </w:rPr>
        <w:t>7.1</w:t>
      </w:r>
      <w:r>
        <w:rPr>
          <w:rFonts w:hint="eastAsia"/>
        </w:rPr>
        <w:t>公里，</w:t>
      </w:r>
      <w:r>
        <w:t>与《太湖流域管理条例》（中华人民共和国国务院令第604号）相符性分析见表1</w:t>
      </w:r>
      <w:r>
        <w:rPr>
          <w:rFonts w:hint="eastAsia"/>
          <w:lang w:val="en-US" w:eastAsia="zh-CN"/>
        </w:rPr>
        <w:t>-16</w:t>
      </w:r>
      <w:r>
        <w:t>。</w:t>
      </w:r>
    </w:p>
    <w:p>
      <w:pPr>
        <w:pStyle w:val="110"/>
        <w:spacing w:before="62" w:beforeLines="20"/>
        <w:rPr>
          <w:rFonts w:hint="eastAsia" w:ascii="Times New Roman" w:hAnsi="Times New Roman" w:eastAsia="宋体" w:cs="Times New Roman"/>
          <w:b/>
          <w:bCs w:val="0"/>
          <w:snapToGrid/>
          <w:spacing w:val="0"/>
          <w:kern w:val="0"/>
          <w:sz w:val="24"/>
          <w:szCs w:val="24"/>
          <w:lang w:val="en-US" w:eastAsia="zh-CN" w:bidi="ar-SA"/>
        </w:rPr>
      </w:pPr>
      <w:r>
        <w:rPr>
          <w:rFonts w:hint="eastAsia" w:ascii="Times New Roman" w:hAnsi="Times New Roman" w:eastAsia="宋体" w:cs="Times New Roman"/>
          <w:b/>
          <w:bCs w:val="0"/>
          <w:snapToGrid/>
          <w:spacing w:val="0"/>
          <w:kern w:val="0"/>
          <w:sz w:val="24"/>
          <w:szCs w:val="24"/>
          <w:lang w:val="en-US" w:eastAsia="zh-CN" w:bidi="ar-SA"/>
        </w:rPr>
        <w:t>表1-16  与《太湖流域管理条例》相符性</w:t>
      </w:r>
    </w:p>
    <w:bookmarkEnd w:id="22"/>
    <w:tbl>
      <w:tblPr>
        <w:tblStyle w:val="260"/>
        <w:tblW w:w="84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5266"/>
        <w:gridCol w:w="1547"/>
        <w:gridCol w:w="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786" w:type="dxa"/>
            <w:vAlign w:val="center"/>
          </w:tcPr>
          <w:p>
            <w:pPr>
              <w:pStyle w:val="100"/>
              <w:widowControl w:val="0"/>
              <w:bidi w:val="0"/>
              <w:adjustRightInd w:val="0"/>
              <w:snapToGrid w:val="0"/>
            </w:pPr>
            <w:r>
              <w:t>序号</w:t>
            </w:r>
          </w:p>
        </w:tc>
        <w:tc>
          <w:tcPr>
            <w:tcW w:w="5266" w:type="dxa"/>
            <w:vAlign w:val="center"/>
          </w:tcPr>
          <w:p>
            <w:pPr>
              <w:pStyle w:val="100"/>
              <w:widowControl w:val="0"/>
              <w:bidi w:val="0"/>
              <w:adjustRightInd w:val="0"/>
              <w:snapToGrid w:val="0"/>
            </w:pPr>
            <w:r>
              <w:t>要求</w:t>
            </w:r>
          </w:p>
        </w:tc>
        <w:tc>
          <w:tcPr>
            <w:tcW w:w="1547" w:type="dxa"/>
            <w:vAlign w:val="center"/>
          </w:tcPr>
          <w:p>
            <w:pPr>
              <w:pStyle w:val="100"/>
              <w:widowControl w:val="0"/>
              <w:bidi w:val="0"/>
              <w:adjustRightInd w:val="0"/>
              <w:snapToGrid w:val="0"/>
            </w:pPr>
            <w:r>
              <w:rPr>
                <w:rFonts w:hint="eastAsia"/>
              </w:rPr>
              <w:t>本项目情况</w:t>
            </w:r>
          </w:p>
        </w:tc>
        <w:tc>
          <w:tcPr>
            <w:tcW w:w="843" w:type="dxa"/>
            <w:vAlign w:val="center"/>
          </w:tcPr>
          <w:p>
            <w:pPr>
              <w:pStyle w:val="100"/>
              <w:widowControl w:val="0"/>
              <w:bidi w:val="0"/>
              <w:adjustRightInd w:val="0"/>
              <w:snapToGrid w:val="0"/>
            </w:pPr>
            <w: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86" w:type="dxa"/>
            <w:vAlign w:val="center"/>
          </w:tcPr>
          <w:p>
            <w:pPr>
              <w:pStyle w:val="100"/>
              <w:widowControl w:val="0"/>
              <w:bidi w:val="0"/>
              <w:adjustRightInd w:val="0"/>
              <w:snapToGrid w:val="0"/>
            </w:pPr>
            <w:r>
              <w:t>第二十八条</w:t>
            </w:r>
          </w:p>
        </w:tc>
        <w:tc>
          <w:tcPr>
            <w:tcW w:w="5266" w:type="dxa"/>
            <w:vAlign w:val="center"/>
          </w:tcPr>
          <w:p>
            <w:pPr>
              <w:pStyle w:val="100"/>
              <w:widowControl w:val="0"/>
              <w:bidi w:val="0"/>
              <w:adjustRightInd w:val="0"/>
              <w:snapToGrid w:val="0"/>
            </w:pPr>
            <w:r>
              <w:t>禁止在太湖流域设置不符合国家产业政策和水环境综合治理要求的造纸、制革、酒精、淀粉、冶金、酿造、印染、电镀等排放水污染物的生产项目，现有的生产项目不能实现达标排放的，应当依法关闭。</w:t>
            </w:r>
          </w:p>
        </w:tc>
        <w:tc>
          <w:tcPr>
            <w:tcW w:w="1547" w:type="dxa"/>
            <w:vAlign w:val="center"/>
          </w:tcPr>
          <w:p>
            <w:pPr>
              <w:pStyle w:val="100"/>
              <w:widowControl w:val="0"/>
              <w:bidi w:val="0"/>
              <w:adjustRightInd w:val="0"/>
              <w:snapToGrid w:val="0"/>
            </w:pPr>
            <w:r>
              <w:rPr>
                <w:rFonts w:hint="eastAsia"/>
              </w:rPr>
              <w:t>本项目不属于禁止建设的行业类别，本项目无生产废水外排，生活污水经苏州市吴江经济技术开发区运东污水处理</w:t>
            </w:r>
            <w:r>
              <w:rPr>
                <w:rFonts w:hint="eastAsia"/>
                <w:lang w:val="en-US" w:eastAsia="zh-CN"/>
              </w:rPr>
              <w:t>厂</w:t>
            </w:r>
            <w:r>
              <w:rPr>
                <w:rFonts w:hint="eastAsia"/>
              </w:rPr>
              <w:t>处理达标后排放。</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86" w:type="dxa"/>
            <w:vMerge w:val="restart"/>
            <w:vAlign w:val="center"/>
          </w:tcPr>
          <w:p>
            <w:pPr>
              <w:pStyle w:val="100"/>
              <w:widowControl w:val="0"/>
              <w:bidi w:val="0"/>
              <w:adjustRightInd w:val="0"/>
              <w:snapToGrid w:val="0"/>
            </w:pPr>
            <w:r>
              <w:t>第二十九条</w:t>
            </w:r>
          </w:p>
        </w:tc>
        <w:tc>
          <w:tcPr>
            <w:tcW w:w="5266" w:type="dxa"/>
            <w:vAlign w:val="center"/>
          </w:tcPr>
          <w:p>
            <w:pPr>
              <w:pStyle w:val="100"/>
              <w:widowControl w:val="0"/>
              <w:bidi w:val="0"/>
              <w:adjustRightInd w:val="0"/>
              <w:snapToGrid w:val="0"/>
            </w:pPr>
            <w:r>
              <w:rPr>
                <w:rFonts w:hint="eastAsia"/>
              </w:rPr>
              <w:t>新孟河、望虞河以外的其他主要入太湖河道，自河口</w:t>
            </w:r>
            <w:r>
              <w:t>1万米上溯至5万米河道岸线内及其岸线两侧各1000米范围内，禁止下列行为：</w:t>
            </w:r>
          </w:p>
          <w:p>
            <w:pPr>
              <w:pStyle w:val="100"/>
              <w:widowControl w:val="0"/>
              <w:bidi w:val="0"/>
              <w:adjustRightInd w:val="0"/>
              <w:snapToGrid w:val="0"/>
            </w:pPr>
            <w:r>
              <w:rPr>
                <w:rFonts w:hint="eastAsia"/>
              </w:rPr>
              <w:t>（一）新建、扩建化工、医药生产项目；</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786" w:type="dxa"/>
            <w:vMerge w:val="continue"/>
            <w:vAlign w:val="center"/>
          </w:tcPr>
          <w:p>
            <w:pPr>
              <w:pStyle w:val="100"/>
              <w:widowControl w:val="0"/>
              <w:bidi w:val="0"/>
              <w:adjustRightInd w:val="0"/>
              <w:snapToGrid w:val="0"/>
            </w:pPr>
          </w:p>
        </w:tc>
        <w:tc>
          <w:tcPr>
            <w:tcW w:w="5266" w:type="dxa"/>
            <w:vAlign w:val="center"/>
          </w:tcPr>
          <w:p>
            <w:pPr>
              <w:pStyle w:val="100"/>
              <w:widowControl w:val="0"/>
              <w:bidi w:val="0"/>
              <w:adjustRightInd w:val="0"/>
              <w:snapToGrid w:val="0"/>
            </w:pPr>
            <w:r>
              <w:rPr>
                <w:rFonts w:hint="eastAsia"/>
              </w:rPr>
              <w:t>（二）新建、扩建污水集中处理设施排污口以外的排污口；</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86" w:type="dxa"/>
            <w:vMerge w:val="continue"/>
            <w:vAlign w:val="center"/>
          </w:tcPr>
          <w:p>
            <w:pPr>
              <w:pStyle w:val="100"/>
              <w:widowControl w:val="0"/>
              <w:bidi w:val="0"/>
              <w:adjustRightInd w:val="0"/>
              <w:snapToGrid w:val="0"/>
            </w:pPr>
          </w:p>
        </w:tc>
        <w:tc>
          <w:tcPr>
            <w:tcW w:w="5266" w:type="dxa"/>
            <w:vAlign w:val="center"/>
          </w:tcPr>
          <w:p>
            <w:pPr>
              <w:pStyle w:val="100"/>
              <w:widowControl w:val="0"/>
              <w:bidi w:val="0"/>
              <w:adjustRightInd w:val="0"/>
              <w:snapToGrid w:val="0"/>
            </w:pPr>
            <w:r>
              <w:rPr>
                <w:rFonts w:hint="eastAsia"/>
              </w:rPr>
              <w:t>（三）扩大水产养殖规模。</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8" w:hRule="atLeast"/>
          <w:jc w:val="center"/>
        </w:trPr>
        <w:tc>
          <w:tcPr>
            <w:tcW w:w="786" w:type="dxa"/>
            <w:vMerge w:val="restart"/>
            <w:vAlign w:val="center"/>
          </w:tcPr>
          <w:p>
            <w:pPr>
              <w:pStyle w:val="100"/>
              <w:widowControl w:val="0"/>
              <w:bidi w:val="0"/>
              <w:adjustRightInd w:val="0"/>
              <w:snapToGrid w:val="0"/>
            </w:pPr>
            <w:r>
              <w:t>第三十条</w:t>
            </w:r>
          </w:p>
        </w:tc>
        <w:tc>
          <w:tcPr>
            <w:tcW w:w="5266" w:type="dxa"/>
            <w:vAlign w:val="center"/>
          </w:tcPr>
          <w:p>
            <w:pPr>
              <w:pStyle w:val="100"/>
              <w:widowControl w:val="0"/>
              <w:bidi w:val="0"/>
              <w:adjustRightInd w:val="0"/>
              <w:snapToGrid w:val="0"/>
            </w:pPr>
            <w:r>
              <w:rPr>
                <w:rFonts w:hint="eastAsia"/>
              </w:rPr>
              <w:t>太湖岸线内和岸线周边</w:t>
            </w:r>
            <w:r>
              <w:t>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100"/>
              <w:widowControl w:val="0"/>
              <w:bidi w:val="0"/>
              <w:adjustRightInd w:val="0"/>
              <w:snapToGrid w:val="0"/>
            </w:pPr>
            <w:r>
              <w:rPr>
                <w:rFonts w:hint="eastAsia"/>
              </w:rPr>
              <w:t>（一）设置剧毒物质、危险化学品的贮存、输送设施和废物回收场、垃圾场；</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86" w:type="dxa"/>
            <w:vMerge w:val="continue"/>
            <w:vAlign w:val="center"/>
          </w:tcPr>
          <w:p>
            <w:pPr>
              <w:pStyle w:val="100"/>
              <w:widowControl w:val="0"/>
              <w:bidi w:val="0"/>
              <w:adjustRightInd w:val="0"/>
              <w:snapToGrid w:val="0"/>
            </w:pPr>
          </w:p>
        </w:tc>
        <w:tc>
          <w:tcPr>
            <w:tcW w:w="5266" w:type="dxa"/>
            <w:vAlign w:val="center"/>
          </w:tcPr>
          <w:p>
            <w:pPr>
              <w:pStyle w:val="100"/>
              <w:widowControl w:val="0"/>
              <w:bidi w:val="0"/>
              <w:adjustRightInd w:val="0"/>
              <w:snapToGrid w:val="0"/>
            </w:pPr>
            <w:r>
              <w:rPr>
                <w:rFonts w:hint="eastAsia"/>
              </w:rPr>
              <w:t>（二）设置水上餐饮经营设施；</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86" w:type="dxa"/>
            <w:vMerge w:val="continue"/>
            <w:vAlign w:val="center"/>
          </w:tcPr>
          <w:p>
            <w:pPr>
              <w:pStyle w:val="100"/>
              <w:widowControl w:val="0"/>
              <w:bidi w:val="0"/>
              <w:adjustRightInd w:val="0"/>
              <w:snapToGrid w:val="0"/>
            </w:pPr>
          </w:p>
        </w:tc>
        <w:tc>
          <w:tcPr>
            <w:tcW w:w="5266" w:type="dxa"/>
            <w:vAlign w:val="center"/>
          </w:tcPr>
          <w:p>
            <w:pPr>
              <w:pStyle w:val="100"/>
              <w:widowControl w:val="0"/>
              <w:bidi w:val="0"/>
              <w:adjustRightInd w:val="0"/>
              <w:snapToGrid w:val="0"/>
            </w:pPr>
            <w:r>
              <w:rPr>
                <w:rFonts w:hint="eastAsia"/>
              </w:rPr>
              <w:t>（三）新建、扩建高尔夫球场</w:t>
            </w:r>
            <w:r>
              <w:t>;</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86" w:type="dxa"/>
            <w:vMerge w:val="continue"/>
            <w:vAlign w:val="center"/>
          </w:tcPr>
          <w:p>
            <w:pPr>
              <w:pStyle w:val="100"/>
              <w:widowControl w:val="0"/>
              <w:bidi w:val="0"/>
              <w:adjustRightInd w:val="0"/>
              <w:snapToGrid w:val="0"/>
            </w:pPr>
          </w:p>
        </w:tc>
        <w:tc>
          <w:tcPr>
            <w:tcW w:w="5266" w:type="dxa"/>
            <w:vAlign w:val="center"/>
          </w:tcPr>
          <w:p>
            <w:pPr>
              <w:pStyle w:val="100"/>
              <w:widowControl w:val="0"/>
              <w:bidi w:val="0"/>
              <w:adjustRightInd w:val="0"/>
              <w:snapToGrid w:val="0"/>
            </w:pPr>
            <w:r>
              <w:rPr>
                <w:rFonts w:hint="eastAsia"/>
              </w:rPr>
              <w:t>（四）新建、扩建畜禽养殖场；</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86" w:type="dxa"/>
            <w:vMerge w:val="continue"/>
            <w:vAlign w:val="center"/>
          </w:tcPr>
          <w:p>
            <w:pPr>
              <w:pStyle w:val="100"/>
              <w:widowControl w:val="0"/>
              <w:bidi w:val="0"/>
              <w:adjustRightInd w:val="0"/>
              <w:snapToGrid w:val="0"/>
            </w:pPr>
          </w:p>
        </w:tc>
        <w:tc>
          <w:tcPr>
            <w:tcW w:w="5266" w:type="dxa"/>
            <w:vAlign w:val="center"/>
          </w:tcPr>
          <w:p>
            <w:pPr>
              <w:pStyle w:val="100"/>
              <w:widowControl w:val="0"/>
              <w:bidi w:val="0"/>
              <w:adjustRightInd w:val="0"/>
              <w:snapToGrid w:val="0"/>
            </w:pPr>
            <w:r>
              <w:rPr>
                <w:rFonts w:hint="eastAsia"/>
              </w:rPr>
              <w:t>（五）新建、扩建向水体排放污染物的建设项目；</w:t>
            </w:r>
          </w:p>
        </w:tc>
        <w:tc>
          <w:tcPr>
            <w:tcW w:w="1547" w:type="dxa"/>
            <w:vAlign w:val="center"/>
          </w:tcPr>
          <w:p>
            <w:pPr>
              <w:pStyle w:val="100"/>
              <w:widowControl w:val="0"/>
              <w:bidi w:val="0"/>
              <w:adjustRightInd w:val="0"/>
              <w:snapToGrid w:val="0"/>
            </w:pPr>
            <w:r>
              <w:rPr>
                <w:rFonts w:hint="eastAsia"/>
              </w:rPr>
              <w:t>不涉及</w:t>
            </w:r>
          </w:p>
        </w:tc>
        <w:tc>
          <w:tcPr>
            <w:tcW w:w="843" w:type="dxa"/>
            <w:vAlign w:val="center"/>
          </w:tcPr>
          <w:p>
            <w:pPr>
              <w:pStyle w:val="100"/>
              <w:widowControl w:val="0"/>
              <w:bidi w:val="0"/>
              <w:adjustRightInd w:val="0"/>
              <w:snapToGrid w:val="0"/>
            </w:pPr>
            <w:r>
              <w:t>符合</w:t>
            </w:r>
          </w:p>
        </w:tc>
      </w:tr>
    </w:tbl>
    <w:p>
      <w:pPr>
        <w:pStyle w:val="105"/>
      </w:pPr>
      <w:r>
        <w:rPr>
          <w:rFonts w:hint="eastAsia"/>
        </w:rPr>
        <w:t>与《江苏省太湖水污染防治条例》相符性分析</w:t>
      </w:r>
    </w:p>
    <w:p>
      <w:pPr>
        <w:pStyle w:val="103"/>
        <w:bidi w:val="0"/>
      </w:pPr>
      <w:r>
        <w:t>项目</w:t>
      </w:r>
      <w:r>
        <w:rPr>
          <w:rFonts w:hint="eastAsia"/>
        </w:rPr>
        <w:t>距西面太湖约</w:t>
      </w:r>
      <w:r>
        <w:rPr>
          <w:rFonts w:hint="eastAsia"/>
          <w:lang w:val="en-US" w:eastAsia="zh-CN"/>
        </w:rPr>
        <w:t>7.1</w:t>
      </w:r>
      <w:r>
        <w:rPr>
          <w:rFonts w:hint="eastAsia"/>
        </w:rPr>
        <w:t>公里，属于太湖流域三级保护区，</w:t>
      </w:r>
      <w:r>
        <w:t>与《江苏省太湖水污染防治条例》（2018年修订）相符性分析见表</w:t>
      </w:r>
      <w:r>
        <w:rPr>
          <w:rFonts w:hint="eastAsia"/>
          <w:lang w:val="en-US" w:eastAsia="zh-CN"/>
        </w:rPr>
        <w:t>1-17</w:t>
      </w:r>
      <w:r>
        <w:t>。</w:t>
      </w:r>
    </w:p>
    <w:p>
      <w:pPr>
        <w:pStyle w:val="273"/>
        <w:bidi w:val="0"/>
        <w:rPr>
          <w:rFonts w:hint="eastAsia"/>
          <w:lang w:val="en-US" w:eastAsia="zh-CN"/>
        </w:rPr>
      </w:pPr>
      <w:r>
        <w:rPr>
          <w:rFonts w:hint="eastAsia"/>
          <w:lang w:val="en-US" w:eastAsia="zh-CN"/>
        </w:rPr>
        <w:t>表1-17  与《江苏省太湖水污染防治条例》相符性</w:t>
      </w:r>
    </w:p>
    <w:tbl>
      <w:tblPr>
        <w:tblStyle w:val="260"/>
        <w:tblW w:w="505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5467"/>
        <w:gridCol w:w="1602"/>
        <w:gridCol w:w="7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56" w:type="pct"/>
            <w:vAlign w:val="center"/>
          </w:tcPr>
          <w:p>
            <w:pPr>
              <w:pStyle w:val="100"/>
              <w:widowControl w:val="0"/>
              <w:bidi w:val="0"/>
              <w:adjustRightInd w:val="0"/>
              <w:snapToGrid w:val="0"/>
            </w:pPr>
            <w:r>
              <w:t>序号</w:t>
            </w:r>
          </w:p>
        </w:tc>
        <w:tc>
          <w:tcPr>
            <w:tcW w:w="3171" w:type="pct"/>
            <w:vAlign w:val="center"/>
          </w:tcPr>
          <w:p>
            <w:pPr>
              <w:pStyle w:val="100"/>
              <w:widowControl w:val="0"/>
              <w:bidi w:val="0"/>
              <w:adjustRightInd w:val="0"/>
              <w:snapToGrid w:val="0"/>
            </w:pPr>
            <w:r>
              <w:t>要求</w:t>
            </w:r>
          </w:p>
        </w:tc>
        <w:tc>
          <w:tcPr>
            <w:tcW w:w="929" w:type="pct"/>
            <w:vAlign w:val="center"/>
          </w:tcPr>
          <w:p>
            <w:pPr>
              <w:pStyle w:val="100"/>
              <w:widowControl w:val="0"/>
              <w:bidi w:val="0"/>
              <w:adjustRightInd w:val="0"/>
              <w:snapToGrid w:val="0"/>
            </w:pPr>
            <w:r>
              <w:rPr>
                <w:rFonts w:hint="eastAsia"/>
              </w:rPr>
              <w:t>本项目情况</w:t>
            </w:r>
          </w:p>
        </w:tc>
        <w:tc>
          <w:tcPr>
            <w:tcW w:w="444" w:type="pct"/>
            <w:vAlign w:val="center"/>
          </w:tcPr>
          <w:p>
            <w:pPr>
              <w:pStyle w:val="100"/>
              <w:widowControl w:val="0"/>
              <w:bidi w:val="0"/>
              <w:adjustRightInd w:val="0"/>
              <w:snapToGrid w:val="0"/>
            </w:pPr>
            <w: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456" w:type="pct"/>
            <w:vMerge w:val="restart"/>
            <w:vAlign w:val="center"/>
          </w:tcPr>
          <w:p>
            <w:pPr>
              <w:pStyle w:val="100"/>
              <w:widowControl w:val="0"/>
              <w:bidi w:val="0"/>
              <w:adjustRightInd w:val="0"/>
              <w:snapToGrid w:val="0"/>
            </w:pPr>
            <w:r>
              <w:t>第四十三条</w:t>
            </w:r>
          </w:p>
        </w:tc>
        <w:tc>
          <w:tcPr>
            <w:tcW w:w="3171" w:type="pct"/>
            <w:vAlign w:val="center"/>
          </w:tcPr>
          <w:p>
            <w:pPr>
              <w:pStyle w:val="100"/>
              <w:widowControl w:val="0"/>
              <w:bidi w:val="0"/>
              <w:adjustRightInd w:val="0"/>
              <w:snapToGrid w:val="0"/>
            </w:pPr>
            <w:r>
              <w:t>太湖流域一、二、三级保护区禁止下列行为：（一）新建、改建、扩建化学制浆造纸、制革、酿造、染料、印染、电镀以及其它排放含磷、氮等污染物的企业和项目，城镇污水集中处理等环境基础设施项目和第四十六条规定的情形除外；</w:t>
            </w:r>
          </w:p>
        </w:tc>
        <w:tc>
          <w:tcPr>
            <w:tcW w:w="929" w:type="pct"/>
            <w:vAlign w:val="center"/>
          </w:tcPr>
          <w:p>
            <w:pPr>
              <w:pStyle w:val="100"/>
              <w:widowControl w:val="0"/>
              <w:bidi w:val="0"/>
              <w:adjustRightInd w:val="0"/>
              <w:snapToGrid w:val="0"/>
            </w:pPr>
            <w:r>
              <w:rPr>
                <w:rFonts w:hint="eastAsia"/>
              </w:rPr>
              <w:t>本项目为电子专用材料制造行业，本项目无生产废水产生，不涉及含磷、氮等污染物排放。</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（二）销售、使用含磷洗涤用品；</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（三）向水体排放或者倾倒油类、酸液、碱液、剧毒废渣废液、含放射性废渣废液、含病原体污水、工业废渣以及其它废弃物；</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（四）在水体清洗装贮过油类或者有毒有害污染物的车辆、船舶和容器等；</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（五）使用农药等有毒物毒杀水生生物；</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（六）向水体直接排放人畜粪便、倾倒垃圾；</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（七）围湖造地；</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（八）违法开山采石，或者进行破坏林木、植被、水生生物的活动；</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t>（九）法律、法规禁止的其它行为。</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456" w:type="pct"/>
            <w:vMerge w:val="restart"/>
            <w:vAlign w:val="center"/>
          </w:tcPr>
          <w:p>
            <w:pPr>
              <w:pStyle w:val="100"/>
              <w:widowControl w:val="0"/>
              <w:bidi w:val="0"/>
              <w:adjustRightInd w:val="0"/>
              <w:snapToGrid w:val="0"/>
            </w:pPr>
            <w:r>
              <w:rPr>
                <w:rFonts w:hint="eastAsia"/>
              </w:rPr>
              <w:t>第四十四条</w:t>
            </w:r>
          </w:p>
        </w:tc>
        <w:tc>
          <w:tcPr>
            <w:tcW w:w="3171" w:type="pct"/>
            <w:vAlign w:val="center"/>
          </w:tcPr>
          <w:p>
            <w:pPr>
              <w:pStyle w:val="100"/>
              <w:widowControl w:val="0"/>
              <w:bidi w:val="0"/>
              <w:adjustRightInd w:val="0"/>
              <w:snapToGrid w:val="0"/>
            </w:pPr>
            <w:r>
              <w:rPr>
                <w:rFonts w:hint="eastAsia"/>
              </w:rPr>
              <w:t>除二级保护区规定的禁止行为以外，太湖流域一级保护区还禁止下列行为：（一）新建、扩建向水体排放污染物的建设项目；</w:t>
            </w:r>
          </w:p>
        </w:tc>
        <w:tc>
          <w:tcPr>
            <w:tcW w:w="929" w:type="pct"/>
            <w:vAlign w:val="center"/>
          </w:tcPr>
          <w:p>
            <w:pPr>
              <w:pStyle w:val="100"/>
              <w:widowControl w:val="0"/>
              <w:bidi w:val="0"/>
              <w:adjustRightInd w:val="0"/>
              <w:snapToGrid w:val="0"/>
            </w:pPr>
            <w:r>
              <w:rPr>
                <w:rFonts w:hint="eastAsia"/>
              </w:rPr>
              <w:t>本项目为电子专用材料制造行业，本项目无生产废水</w:t>
            </w:r>
            <w:r>
              <w:rPr>
                <w:rFonts w:hint="eastAsia"/>
                <w:lang w:val="en-US" w:eastAsia="zh-CN"/>
              </w:rPr>
              <w:t>产生</w:t>
            </w:r>
            <w:r>
              <w:rPr>
                <w:rFonts w:hint="eastAsia"/>
              </w:rPr>
              <w:t>，生活污水接管至吴江经济技术开发区运东污水处理</w:t>
            </w:r>
            <w:r>
              <w:rPr>
                <w:rFonts w:hint="eastAsia"/>
                <w:lang w:val="en-US" w:eastAsia="zh-CN"/>
              </w:rPr>
              <w:t>厂</w:t>
            </w:r>
            <w:r>
              <w:rPr>
                <w:rFonts w:hint="eastAsia"/>
              </w:rPr>
              <w:t>，经处理后尾水达标排入</w:t>
            </w:r>
            <w:r>
              <w:rPr>
                <w:rFonts w:hint="eastAsia"/>
                <w:lang w:val="en-US" w:eastAsia="zh-CN"/>
              </w:rPr>
              <w:t>吴淞江</w:t>
            </w:r>
            <w:r>
              <w:rPr>
                <w:rFonts w:hint="eastAsia"/>
              </w:rPr>
              <w:t>。</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rPr>
                <w:rFonts w:hint="eastAsia"/>
              </w:rPr>
              <w:t>（二）在国家和省规定的养殖范围外从事网围、网箱养殖，利用虾窝、地笼网、机械吸螺、底拖网进行捕捞作业；</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rPr>
                <w:rFonts w:hint="eastAsia"/>
              </w:rPr>
              <w:t>（三）新建、扩建畜禽养殖场；</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rPr>
                <w:rFonts w:hint="eastAsia"/>
              </w:rPr>
              <w:t>（四）新建、扩建高尔夫球场、水上游乐等开发项目；</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rPr>
                <w:rFonts w:hint="eastAsia"/>
              </w:rPr>
              <w:t>（五）设置水上餐饮经营设施；</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56" w:type="pct"/>
            <w:vMerge w:val="continue"/>
            <w:vAlign w:val="center"/>
          </w:tcPr>
          <w:p>
            <w:pPr>
              <w:pStyle w:val="100"/>
              <w:widowControl w:val="0"/>
              <w:bidi w:val="0"/>
              <w:adjustRightInd w:val="0"/>
              <w:snapToGrid w:val="0"/>
            </w:pPr>
          </w:p>
        </w:tc>
        <w:tc>
          <w:tcPr>
            <w:tcW w:w="3171" w:type="pct"/>
            <w:vAlign w:val="center"/>
          </w:tcPr>
          <w:p>
            <w:pPr>
              <w:pStyle w:val="100"/>
              <w:widowControl w:val="0"/>
              <w:bidi w:val="0"/>
              <w:adjustRightInd w:val="0"/>
              <w:snapToGrid w:val="0"/>
            </w:pPr>
            <w:r>
              <w:rPr>
                <w:rFonts w:hint="eastAsia"/>
              </w:rPr>
              <w:t>（六）法律、法规禁止的其他可能污染水质的活动。</w:t>
            </w:r>
          </w:p>
        </w:tc>
        <w:tc>
          <w:tcPr>
            <w:tcW w:w="929" w:type="pct"/>
            <w:vAlign w:val="center"/>
          </w:tcPr>
          <w:p>
            <w:pPr>
              <w:pStyle w:val="100"/>
              <w:widowControl w:val="0"/>
              <w:bidi w:val="0"/>
              <w:adjustRightInd w:val="0"/>
              <w:snapToGrid w:val="0"/>
            </w:pPr>
            <w:r>
              <w:rPr>
                <w:rFonts w:hint="eastAsia"/>
              </w:rPr>
              <w:t>不涉及</w:t>
            </w:r>
          </w:p>
        </w:tc>
        <w:tc>
          <w:tcPr>
            <w:tcW w:w="444" w:type="pct"/>
            <w:vAlign w:val="center"/>
          </w:tcPr>
          <w:p>
            <w:pPr>
              <w:pStyle w:val="100"/>
              <w:widowControl w:val="0"/>
              <w:bidi w:val="0"/>
              <w:adjustRightInd w:val="0"/>
              <w:snapToGrid w:val="0"/>
            </w:pPr>
            <w:r>
              <w:t>符合</w:t>
            </w:r>
          </w:p>
        </w:tc>
      </w:tr>
    </w:tbl>
    <w:p>
      <w:pPr>
        <w:pStyle w:val="105"/>
      </w:pPr>
      <w:r>
        <w:rPr>
          <w:rFonts w:hint="eastAsia"/>
        </w:rPr>
        <w:t>特别管理措施相符性分析</w:t>
      </w:r>
    </w:p>
    <w:p>
      <w:pPr>
        <w:pStyle w:val="103"/>
        <w:bidi w:val="0"/>
      </w:pPr>
      <w:r>
        <w:rPr>
          <w:rFonts w:hint="eastAsia"/>
        </w:rPr>
        <w:t>本项目与《苏州市吴江区建设项目环境影响评价特别管理措施（试行）》（吴政办</w:t>
      </w:r>
      <w:r>
        <w:t>[2019]32号）</w:t>
      </w:r>
      <w:r>
        <w:rPr>
          <w:rFonts w:hint="eastAsia"/>
        </w:rPr>
        <w:t>，区域发展限制性规定</w:t>
      </w:r>
      <w:r>
        <w:t>相符性</w:t>
      </w:r>
      <w:r>
        <w:rPr>
          <w:rFonts w:hint="eastAsia"/>
        </w:rPr>
        <w:t>分析见表</w:t>
      </w:r>
      <w:r>
        <w:rPr>
          <w:rFonts w:hint="eastAsia"/>
          <w:lang w:val="en-US" w:eastAsia="zh-CN"/>
        </w:rPr>
        <w:t>1-18</w:t>
      </w:r>
      <w:r>
        <w:rPr>
          <w:rFonts w:hint="eastAsia"/>
        </w:rPr>
        <w:t>，建设项目限制性规定相符性分析见表</w:t>
      </w:r>
      <w:r>
        <w:rPr>
          <w:rFonts w:hint="eastAsia"/>
          <w:lang w:val="en-US" w:eastAsia="zh-CN"/>
        </w:rPr>
        <w:t>1-19</w:t>
      </w:r>
      <w:r>
        <w:t>。</w:t>
      </w:r>
    </w:p>
    <w:p>
      <w:pPr>
        <w:pStyle w:val="273"/>
        <w:bidi w:val="0"/>
        <w:rPr>
          <w:rFonts w:hint="eastAsia"/>
          <w:lang w:val="en-US" w:eastAsia="zh-CN"/>
        </w:rPr>
      </w:pPr>
      <w:r>
        <w:rPr>
          <w:rFonts w:hint="eastAsia"/>
          <w:lang w:val="en-US" w:eastAsia="zh-CN"/>
        </w:rPr>
        <w:t>表1-18  区域发展限制性规定相符性</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4177"/>
        <w:gridCol w:w="3126"/>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pStyle w:val="100"/>
              <w:bidi w:val="0"/>
            </w:pPr>
            <w:r>
              <w:t>序号</w:t>
            </w:r>
          </w:p>
        </w:tc>
        <w:tc>
          <w:tcPr>
            <w:tcW w:w="2449" w:type="pct"/>
            <w:vAlign w:val="center"/>
          </w:tcPr>
          <w:p>
            <w:pPr>
              <w:pStyle w:val="100"/>
              <w:bidi w:val="0"/>
            </w:pPr>
            <w:r>
              <w:t>准入条件</w:t>
            </w:r>
          </w:p>
        </w:tc>
        <w:tc>
          <w:tcPr>
            <w:tcW w:w="1833" w:type="pct"/>
            <w:vAlign w:val="center"/>
          </w:tcPr>
          <w:p>
            <w:pPr>
              <w:pStyle w:val="100"/>
              <w:bidi w:val="0"/>
            </w:pPr>
            <w:r>
              <w:rPr>
                <w:rFonts w:hint="eastAsia"/>
              </w:rPr>
              <w:t>本项目情况</w:t>
            </w:r>
          </w:p>
        </w:tc>
        <w:tc>
          <w:tcPr>
            <w:tcW w:w="437" w:type="pct"/>
            <w:vAlign w:val="center"/>
          </w:tcPr>
          <w:p>
            <w:pPr>
              <w:pStyle w:val="100"/>
              <w:bidi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pStyle w:val="100"/>
              <w:bidi w:val="0"/>
            </w:pPr>
            <w:r>
              <w:t>1</w:t>
            </w:r>
          </w:p>
        </w:tc>
        <w:tc>
          <w:tcPr>
            <w:tcW w:w="2449" w:type="pct"/>
            <w:vAlign w:val="center"/>
          </w:tcPr>
          <w:p>
            <w:pPr>
              <w:pStyle w:val="100"/>
              <w:bidi w:val="0"/>
            </w:pPr>
            <w:r>
              <w:t>推进企业入园进区，规划工业区（点）外禁止新建工业项目</w:t>
            </w:r>
            <w:r>
              <w:rPr>
                <w:rFonts w:hint="eastAsia"/>
              </w:rPr>
              <w:t>。</w:t>
            </w:r>
          </w:p>
        </w:tc>
        <w:tc>
          <w:tcPr>
            <w:tcW w:w="1833" w:type="pct"/>
            <w:vAlign w:val="center"/>
          </w:tcPr>
          <w:p>
            <w:pPr>
              <w:pStyle w:val="100"/>
              <w:bidi w:val="0"/>
            </w:pPr>
            <w:r>
              <w:t>本项目位于</w:t>
            </w:r>
            <w:r>
              <w:rPr>
                <w:rFonts w:hint="eastAsia"/>
              </w:rPr>
              <w:t>吴江经济技术开发区</w:t>
            </w:r>
            <w:r>
              <w:rPr>
                <w:rFonts w:hint="eastAsia"/>
                <w:lang w:eastAsia="zh-CN"/>
              </w:rPr>
              <w:t>（</w:t>
            </w:r>
            <w:r>
              <w:rPr>
                <w:rFonts w:hint="eastAsia"/>
                <w:lang w:val="en-US" w:eastAsia="zh-CN"/>
              </w:rPr>
              <w:t>东至同津大道—长牵路河—长胜路—光明路—富家路，南至东西快速干线，西至东太湖—花园路，北至兴中路—吴淞江</w:t>
            </w:r>
            <w:r>
              <w:rPr>
                <w:rFonts w:hint="eastAsia"/>
                <w:lang w:eastAsia="zh-CN"/>
              </w:rPr>
              <w:t>）</w:t>
            </w:r>
            <w:r>
              <w:t>，本项目在工业规划用地内，符合区镇总体规划</w:t>
            </w:r>
            <w:r>
              <w:rPr>
                <w:rFonts w:hint="eastAsia"/>
              </w:rPr>
              <w:t>。</w:t>
            </w:r>
          </w:p>
        </w:tc>
        <w:tc>
          <w:tcPr>
            <w:tcW w:w="437" w:type="pct"/>
            <w:vAlign w:val="center"/>
          </w:tcPr>
          <w:p>
            <w:pPr>
              <w:pStyle w:val="100"/>
              <w:bidi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pStyle w:val="100"/>
              <w:bidi w:val="0"/>
            </w:pPr>
            <w:r>
              <w:rPr>
                <w:rFonts w:hint="eastAsia"/>
              </w:rPr>
              <w:t>2</w:t>
            </w:r>
          </w:p>
        </w:tc>
        <w:tc>
          <w:tcPr>
            <w:tcW w:w="2449" w:type="pct"/>
            <w:vAlign w:val="center"/>
          </w:tcPr>
          <w:p>
            <w:pPr>
              <w:pStyle w:val="100"/>
              <w:bidi w:val="0"/>
            </w:pPr>
            <w:r>
              <w:rPr>
                <w:rFonts w:hint="eastAsia"/>
              </w:rPr>
              <w:t>规划区（点）外确需建设的工业项目，须同时符合以下条件：（1）符合区镇土地利用总体规划的存量建设用地；（2）符合区镇总体规划；（3）从严执行环保要求。除执行《特别管理措施》各项要求外，还须做到：①无接管条件区域，禁止建设有工业废水产生的项目；②禁止建设排放有毒有害、恶臭等气体产生的项目；③禁止建设废旧资源和综合利用项目</w:t>
            </w:r>
          </w:p>
        </w:tc>
        <w:tc>
          <w:tcPr>
            <w:tcW w:w="1833" w:type="pct"/>
            <w:vAlign w:val="center"/>
          </w:tcPr>
          <w:p>
            <w:pPr>
              <w:pStyle w:val="100"/>
              <w:bidi w:val="0"/>
            </w:pPr>
            <w:r>
              <w:t>本项目位于</w:t>
            </w:r>
            <w:r>
              <w:rPr>
                <w:rFonts w:hint="eastAsia"/>
              </w:rPr>
              <w:t>吴江经济技术开发区</w:t>
            </w:r>
            <w:r>
              <w:rPr>
                <w:rFonts w:hint="eastAsia"/>
                <w:lang w:eastAsia="zh-CN"/>
              </w:rPr>
              <w:t>（</w:t>
            </w:r>
            <w:r>
              <w:rPr>
                <w:rFonts w:hint="eastAsia"/>
                <w:lang w:val="en-US" w:eastAsia="zh-CN"/>
              </w:rPr>
              <w:t>东至同津大道—长牵路河—长胜路—光明路—富家路，南至东西快速干线，西至东太湖—花园路，北至兴中路—吴淞江</w:t>
            </w:r>
            <w:r>
              <w:rPr>
                <w:rFonts w:hint="eastAsia"/>
                <w:lang w:eastAsia="zh-CN"/>
              </w:rPr>
              <w:t>）</w:t>
            </w:r>
            <w:r>
              <w:t>，本项目在工业规划用地内，符合区镇总体规划</w:t>
            </w:r>
            <w:r>
              <w:rPr>
                <w:rFonts w:hint="eastAsia"/>
              </w:rPr>
              <w:t>。</w:t>
            </w:r>
          </w:p>
        </w:tc>
        <w:tc>
          <w:tcPr>
            <w:tcW w:w="437" w:type="pct"/>
            <w:vAlign w:val="center"/>
          </w:tcPr>
          <w:p>
            <w:pPr>
              <w:pStyle w:val="100"/>
              <w:bidi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pStyle w:val="100"/>
              <w:bidi w:val="0"/>
            </w:pPr>
            <w:r>
              <w:t>3</w:t>
            </w:r>
          </w:p>
        </w:tc>
        <w:tc>
          <w:tcPr>
            <w:tcW w:w="2449" w:type="pct"/>
            <w:vAlign w:val="center"/>
          </w:tcPr>
          <w:p>
            <w:pPr>
              <w:pStyle w:val="100"/>
              <w:bidi w:val="0"/>
            </w:pPr>
            <w:r>
              <w:t>太湖一级保护区按《江苏省太湖水污染防治条例》各项要求执行；其他生态区域，沿太湖</w:t>
            </w:r>
            <w:r>
              <w:rPr>
                <w:rFonts w:hint="eastAsia"/>
              </w:rPr>
              <w:t>3</w:t>
            </w:r>
            <w:r>
              <w:t>00</w:t>
            </w:r>
            <w:r>
              <w:rPr>
                <w:rFonts w:hint="eastAsia"/>
              </w:rPr>
              <w:t>米、沿太浦河5</w:t>
            </w:r>
            <w:r>
              <w:t>0</w:t>
            </w:r>
            <w:r>
              <w:rPr>
                <w:rFonts w:hint="eastAsia"/>
              </w:rPr>
              <w:t>米</w:t>
            </w:r>
            <w:r>
              <w:t>范围内禁止新建工业项目</w:t>
            </w:r>
            <w:r>
              <w:rPr>
                <w:rFonts w:hint="eastAsia"/>
              </w:rPr>
              <w:t>。</w:t>
            </w:r>
          </w:p>
        </w:tc>
        <w:tc>
          <w:tcPr>
            <w:tcW w:w="1833" w:type="pct"/>
            <w:vAlign w:val="center"/>
          </w:tcPr>
          <w:p>
            <w:pPr>
              <w:pStyle w:val="100"/>
              <w:bidi w:val="0"/>
            </w:pPr>
            <w:r>
              <w:rPr>
                <w:rFonts w:hint="eastAsia"/>
              </w:rPr>
              <w:t>本项目属于太湖三级保护区，生活污水纳入苏州市吴江经济技术开发区运东污水处理厂。本项目距西侧太湖约</w:t>
            </w:r>
            <w:r>
              <w:rPr>
                <w:rFonts w:hint="eastAsia"/>
                <w:lang w:val="en-US" w:eastAsia="zh-CN"/>
              </w:rPr>
              <w:t>7.1</w:t>
            </w:r>
            <w:r>
              <w:rPr>
                <w:rFonts w:hint="eastAsia"/>
              </w:rPr>
              <w:t>公里，距南侧太浦河20.1公里。</w:t>
            </w:r>
          </w:p>
        </w:tc>
        <w:tc>
          <w:tcPr>
            <w:tcW w:w="437" w:type="pct"/>
            <w:vAlign w:val="center"/>
          </w:tcPr>
          <w:p>
            <w:pPr>
              <w:pStyle w:val="100"/>
              <w:bidi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pStyle w:val="100"/>
              <w:bidi w:val="0"/>
            </w:pPr>
            <w:r>
              <w:t>4</w:t>
            </w:r>
          </w:p>
        </w:tc>
        <w:tc>
          <w:tcPr>
            <w:tcW w:w="2449" w:type="pct"/>
            <w:vAlign w:val="center"/>
          </w:tcPr>
          <w:p>
            <w:pPr>
              <w:pStyle w:val="100"/>
              <w:bidi w:val="0"/>
            </w:pPr>
            <w:r>
              <w:t>居民住宅、学校、医院等环境敏感点50米范围内禁止新建工业项目。</w:t>
            </w:r>
          </w:p>
        </w:tc>
        <w:tc>
          <w:tcPr>
            <w:tcW w:w="1833" w:type="pct"/>
            <w:vAlign w:val="center"/>
          </w:tcPr>
          <w:p>
            <w:pPr>
              <w:pStyle w:val="100"/>
              <w:bidi w:val="0"/>
            </w:pPr>
            <w:r>
              <w:rPr>
                <w:rFonts w:hint="eastAsia"/>
              </w:rPr>
              <w:t>本项目</w:t>
            </w:r>
            <w:r>
              <w:t>300</w:t>
            </w:r>
            <w:r>
              <w:rPr>
                <w:rFonts w:hint="eastAsia"/>
              </w:rPr>
              <w:t>m范围内无居民住宅、学校、医院等环境敏感点</w:t>
            </w:r>
          </w:p>
        </w:tc>
        <w:tc>
          <w:tcPr>
            <w:tcW w:w="437" w:type="pct"/>
            <w:vAlign w:val="center"/>
          </w:tcPr>
          <w:p>
            <w:pPr>
              <w:pStyle w:val="100"/>
              <w:bidi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pStyle w:val="100"/>
              <w:bidi w:val="0"/>
            </w:pPr>
            <w:r>
              <w:t>5</w:t>
            </w:r>
          </w:p>
        </w:tc>
        <w:tc>
          <w:tcPr>
            <w:tcW w:w="2449" w:type="pct"/>
            <w:vAlign w:val="center"/>
          </w:tcPr>
          <w:p>
            <w:pPr>
              <w:pStyle w:val="100"/>
              <w:bidi w:val="0"/>
            </w:pPr>
            <w:r>
              <w:t>污水处理设施、配套管网等基础设施不完善的工业区，禁止新建有工业废水</w:t>
            </w:r>
            <w:r>
              <w:rPr>
                <w:rFonts w:hint="eastAsia"/>
              </w:rPr>
              <w:t>排放</w:t>
            </w:r>
            <w:r>
              <w:t>及厂区员工超过200人的项目；新建企业生活污水须集中处理。</w:t>
            </w:r>
          </w:p>
        </w:tc>
        <w:tc>
          <w:tcPr>
            <w:tcW w:w="1833" w:type="pct"/>
            <w:vAlign w:val="center"/>
          </w:tcPr>
          <w:p>
            <w:pPr>
              <w:pStyle w:val="100"/>
              <w:bidi w:val="0"/>
            </w:pPr>
            <w:r>
              <w:rPr>
                <w:rFonts w:hint="eastAsia"/>
              </w:rPr>
              <w:t>本项目</w:t>
            </w:r>
            <w:r>
              <w:rPr>
                <w:rFonts w:hint="eastAsia"/>
                <w:lang w:val="en-US" w:eastAsia="zh-CN"/>
              </w:rPr>
              <w:t>有</w:t>
            </w:r>
            <w:r>
              <w:rPr>
                <w:rFonts w:hint="eastAsia"/>
              </w:rPr>
              <w:t>员工28人，</w:t>
            </w:r>
            <w:r>
              <w:rPr>
                <w:rFonts w:hint="eastAsia"/>
                <w:lang w:val="en-US" w:eastAsia="zh-CN"/>
              </w:rPr>
              <w:t>无新增员工。</w:t>
            </w:r>
            <w:r>
              <w:rPr>
                <w:rFonts w:hint="eastAsia"/>
              </w:rPr>
              <w:t>无工业废水排放，生活污水纳入至苏州市吴江经济技术开发区运东污水处理厂。</w:t>
            </w:r>
          </w:p>
        </w:tc>
        <w:tc>
          <w:tcPr>
            <w:tcW w:w="437" w:type="pct"/>
            <w:vAlign w:val="center"/>
          </w:tcPr>
          <w:p>
            <w:pPr>
              <w:pStyle w:val="100"/>
              <w:bidi w:val="0"/>
            </w:pPr>
            <w:r>
              <w:rPr>
                <w:rFonts w:hint="eastAsia"/>
              </w:rPr>
              <w:t>符合</w:t>
            </w:r>
          </w:p>
        </w:tc>
      </w:tr>
    </w:tbl>
    <w:p>
      <w:pPr>
        <w:pStyle w:val="134"/>
        <w:jc w:val="both"/>
      </w:pPr>
    </w:p>
    <w:p>
      <w:pPr>
        <w:pStyle w:val="273"/>
        <w:bidi w:val="0"/>
        <w:rPr>
          <w:rFonts w:hint="eastAsia"/>
          <w:lang w:val="en-US" w:eastAsia="zh-CN"/>
        </w:rPr>
      </w:pPr>
      <w:r>
        <w:rPr>
          <w:rFonts w:hint="eastAsia"/>
          <w:lang w:val="en-US" w:eastAsia="zh-CN"/>
        </w:rPr>
        <w:t>表1-19  建设项目限制性规定相符性</w:t>
      </w:r>
    </w:p>
    <w:tbl>
      <w:tblPr>
        <w:tblStyle w:val="260"/>
        <w:tblpPr w:leftFromText="180" w:rightFromText="180" w:vertAnchor="text" w:tblpXSpec="center" w:tblpY="1"/>
        <w:tblW w:w="49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699"/>
        <w:gridCol w:w="936"/>
        <w:gridCol w:w="3738"/>
        <w:gridCol w:w="1562"/>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5" w:type="pct"/>
            <w:vAlign w:val="center"/>
          </w:tcPr>
          <w:p>
            <w:pPr>
              <w:pStyle w:val="100"/>
              <w:widowControl w:val="0"/>
              <w:bidi w:val="0"/>
              <w:adjustRightInd w:val="0"/>
              <w:snapToGrid w:val="0"/>
            </w:pPr>
            <w:r>
              <w:rPr>
                <w:rFonts w:hint="eastAsia"/>
              </w:rPr>
              <w:t>类别</w:t>
            </w:r>
          </w:p>
        </w:tc>
        <w:tc>
          <w:tcPr>
            <w:tcW w:w="411" w:type="pct"/>
            <w:vAlign w:val="center"/>
          </w:tcPr>
          <w:p>
            <w:pPr>
              <w:pStyle w:val="100"/>
              <w:widowControl w:val="0"/>
              <w:bidi w:val="0"/>
              <w:adjustRightInd w:val="0"/>
              <w:snapToGrid w:val="0"/>
            </w:pPr>
            <w:r>
              <w:rPr>
                <w:rFonts w:hint="eastAsia"/>
              </w:rPr>
              <w:t>序号</w:t>
            </w:r>
          </w:p>
        </w:tc>
        <w:tc>
          <w:tcPr>
            <w:tcW w:w="2747" w:type="pct"/>
            <w:gridSpan w:val="2"/>
            <w:vAlign w:val="center"/>
          </w:tcPr>
          <w:p>
            <w:pPr>
              <w:pStyle w:val="100"/>
              <w:widowControl w:val="0"/>
              <w:bidi w:val="0"/>
              <w:adjustRightInd w:val="0"/>
              <w:snapToGrid w:val="0"/>
            </w:pPr>
            <w:r>
              <w:rPr>
                <w:rFonts w:hint="eastAsia"/>
              </w:rPr>
              <w:t>要求</w:t>
            </w:r>
          </w:p>
        </w:tc>
        <w:tc>
          <w:tcPr>
            <w:tcW w:w="918" w:type="pct"/>
            <w:vAlign w:val="center"/>
          </w:tcPr>
          <w:p>
            <w:pPr>
              <w:pStyle w:val="100"/>
              <w:widowControl w:val="0"/>
              <w:bidi w:val="0"/>
              <w:adjustRightInd w:val="0"/>
              <w:snapToGrid w:val="0"/>
            </w:pPr>
            <w:r>
              <w:rPr>
                <w:rFonts w:hint="eastAsia"/>
              </w:rPr>
              <w:t>本项目情况</w:t>
            </w:r>
          </w:p>
        </w:tc>
        <w:tc>
          <w:tcPr>
            <w:tcW w:w="517"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vAlign w:val="center"/>
          </w:tcPr>
          <w:p>
            <w:pPr>
              <w:pStyle w:val="100"/>
              <w:widowControl w:val="0"/>
              <w:bidi w:val="0"/>
              <w:adjustRightInd w:val="0"/>
              <w:snapToGrid w:val="0"/>
            </w:pPr>
            <w:r>
              <w:rPr>
                <w:rFonts w:hint="eastAsia"/>
              </w:rPr>
              <w:t>建设项目限制性规定（禁止类）</w:t>
            </w:r>
          </w:p>
        </w:tc>
        <w:tc>
          <w:tcPr>
            <w:tcW w:w="411" w:type="pct"/>
            <w:vAlign w:val="center"/>
          </w:tcPr>
          <w:p>
            <w:pPr>
              <w:pStyle w:val="100"/>
              <w:widowControl w:val="0"/>
              <w:bidi w:val="0"/>
              <w:adjustRightInd w:val="0"/>
              <w:snapToGrid w:val="0"/>
            </w:pPr>
            <w:r>
              <w:t>1</w:t>
            </w:r>
          </w:p>
        </w:tc>
        <w:tc>
          <w:tcPr>
            <w:tcW w:w="2747" w:type="pct"/>
            <w:gridSpan w:val="2"/>
            <w:vAlign w:val="center"/>
          </w:tcPr>
          <w:p>
            <w:pPr>
              <w:pStyle w:val="100"/>
              <w:widowControl w:val="0"/>
              <w:bidi w:val="0"/>
              <w:adjustRightInd w:val="0"/>
              <w:snapToGrid w:val="0"/>
            </w:pPr>
            <w:r>
              <w:t>禁止在饮用水水源一级保护区新建、改建、扩建与供水设施和保护水源无关的建设项目；禁止在饮用水源二级保护区内新建、改建、扩建排放污染物的建设项目；禁止在饮用水水源准保护区内新建、扩建对水体严重污染的建设项目；</w:t>
            </w:r>
          </w:p>
        </w:tc>
        <w:tc>
          <w:tcPr>
            <w:tcW w:w="918" w:type="pct"/>
            <w:vAlign w:val="center"/>
          </w:tcPr>
          <w:p>
            <w:pPr>
              <w:pStyle w:val="100"/>
              <w:widowControl w:val="0"/>
              <w:bidi w:val="0"/>
              <w:adjustRightInd w:val="0"/>
              <w:snapToGrid w:val="0"/>
            </w:pPr>
            <w:r>
              <w:t>本项目位于</w:t>
            </w:r>
            <w:r>
              <w:rPr>
                <w:rFonts w:hint="eastAsia"/>
              </w:rPr>
              <w:t>吴江经济技术开发区</w:t>
            </w:r>
            <w:r>
              <w:t>，不涉及到饮用水水源保护区</w:t>
            </w:r>
          </w:p>
        </w:tc>
        <w:tc>
          <w:tcPr>
            <w:tcW w:w="517" w:type="pct"/>
            <w:vMerge w:val="restart"/>
            <w:vAlign w:val="center"/>
          </w:tcPr>
          <w:p>
            <w:pPr>
              <w:pStyle w:val="100"/>
              <w:widowControl w:val="0"/>
              <w:bidi w:val="0"/>
              <w:adjustRightInd w:val="0"/>
              <w:snapToGrid w:val="0"/>
            </w:pPr>
            <w:r>
              <w:rPr>
                <w:rFonts w:hint="eastAsia"/>
              </w:rPr>
              <w:t>本项目不属于禁止类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2</w:t>
            </w:r>
          </w:p>
        </w:tc>
        <w:tc>
          <w:tcPr>
            <w:tcW w:w="2747" w:type="pct"/>
            <w:gridSpan w:val="2"/>
            <w:vAlign w:val="center"/>
          </w:tcPr>
          <w:p>
            <w:pPr>
              <w:pStyle w:val="100"/>
              <w:widowControl w:val="0"/>
              <w:bidi w:val="0"/>
              <w:adjustRightInd w:val="0"/>
              <w:snapToGrid w:val="0"/>
            </w:pPr>
            <w:r>
              <w:t>彩涂板生产项目</w:t>
            </w:r>
          </w:p>
        </w:tc>
        <w:tc>
          <w:tcPr>
            <w:tcW w:w="918" w:type="pct"/>
            <w:vAlign w:val="center"/>
          </w:tcPr>
          <w:p>
            <w:pPr>
              <w:pStyle w:val="100"/>
              <w:widowControl w:val="0"/>
              <w:bidi w:val="0"/>
              <w:adjustRightInd w:val="0"/>
              <w:snapToGrid w:val="0"/>
            </w:pPr>
            <w: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3</w:t>
            </w:r>
          </w:p>
        </w:tc>
        <w:tc>
          <w:tcPr>
            <w:tcW w:w="2747" w:type="pct"/>
            <w:gridSpan w:val="2"/>
            <w:vAlign w:val="center"/>
          </w:tcPr>
          <w:p>
            <w:pPr>
              <w:pStyle w:val="100"/>
              <w:widowControl w:val="0"/>
              <w:bidi w:val="0"/>
              <w:adjustRightInd w:val="0"/>
              <w:snapToGrid w:val="0"/>
            </w:pPr>
            <w:r>
              <w:t>采用磷化、含铬钝化的表面处理工艺；有废水产生的单纯表面处理加工项目</w:t>
            </w:r>
          </w:p>
        </w:tc>
        <w:tc>
          <w:tcPr>
            <w:tcW w:w="918" w:type="pct"/>
            <w:vAlign w:val="center"/>
          </w:tcPr>
          <w:p>
            <w:pPr>
              <w:pStyle w:val="100"/>
              <w:widowControl w:val="0"/>
              <w:bidi w:val="0"/>
              <w:adjustRightInd w:val="0"/>
              <w:snapToGrid w:val="0"/>
            </w:pPr>
            <w: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4</w:t>
            </w:r>
          </w:p>
        </w:tc>
        <w:tc>
          <w:tcPr>
            <w:tcW w:w="2747" w:type="pct"/>
            <w:gridSpan w:val="2"/>
            <w:vAlign w:val="center"/>
          </w:tcPr>
          <w:p>
            <w:pPr>
              <w:pStyle w:val="100"/>
              <w:widowControl w:val="0"/>
              <w:bidi w:val="0"/>
              <w:adjustRightInd w:val="0"/>
              <w:snapToGrid w:val="0"/>
            </w:pPr>
            <w:r>
              <w:t>岩棉生产加工项目</w:t>
            </w:r>
          </w:p>
        </w:tc>
        <w:tc>
          <w:tcPr>
            <w:tcW w:w="918" w:type="pct"/>
            <w:vAlign w:val="center"/>
          </w:tcPr>
          <w:p>
            <w:pPr>
              <w:pStyle w:val="100"/>
              <w:widowControl w:val="0"/>
              <w:bidi w:val="0"/>
              <w:adjustRightInd w:val="0"/>
              <w:snapToGrid w:val="0"/>
            </w:pPr>
            <w: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5</w:t>
            </w:r>
          </w:p>
        </w:tc>
        <w:tc>
          <w:tcPr>
            <w:tcW w:w="2747" w:type="pct"/>
            <w:gridSpan w:val="2"/>
            <w:vAlign w:val="center"/>
          </w:tcPr>
          <w:p>
            <w:pPr>
              <w:pStyle w:val="100"/>
              <w:widowControl w:val="0"/>
              <w:bidi w:val="0"/>
              <w:adjustRightInd w:val="0"/>
              <w:snapToGrid w:val="0"/>
            </w:pPr>
            <w:r>
              <w:t>废布造粒、废泡沫造粒生产加工项目</w:t>
            </w:r>
          </w:p>
        </w:tc>
        <w:tc>
          <w:tcPr>
            <w:tcW w:w="918" w:type="pct"/>
            <w:vAlign w:val="center"/>
          </w:tcPr>
          <w:p>
            <w:pPr>
              <w:pStyle w:val="100"/>
              <w:widowControl w:val="0"/>
              <w:bidi w:val="0"/>
              <w:adjustRightInd w:val="0"/>
              <w:snapToGrid w:val="0"/>
            </w:pPr>
            <w: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6</w:t>
            </w:r>
          </w:p>
        </w:tc>
        <w:tc>
          <w:tcPr>
            <w:tcW w:w="2747" w:type="pct"/>
            <w:gridSpan w:val="2"/>
            <w:vAlign w:val="center"/>
          </w:tcPr>
          <w:p>
            <w:pPr>
              <w:pStyle w:val="100"/>
              <w:widowControl w:val="0"/>
              <w:bidi w:val="0"/>
              <w:adjustRightInd w:val="0"/>
              <w:snapToGrid w:val="0"/>
            </w:pPr>
            <w:r>
              <w:t>洗毛（含洗毛工段）项目</w:t>
            </w:r>
          </w:p>
        </w:tc>
        <w:tc>
          <w:tcPr>
            <w:tcW w:w="918" w:type="pct"/>
            <w:vAlign w:val="center"/>
          </w:tcPr>
          <w:p>
            <w:pPr>
              <w:pStyle w:val="100"/>
              <w:widowControl w:val="0"/>
              <w:bidi w:val="0"/>
              <w:adjustRightInd w:val="0"/>
              <w:snapToGrid w:val="0"/>
            </w:pPr>
            <w: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7</w:t>
            </w:r>
          </w:p>
        </w:tc>
        <w:tc>
          <w:tcPr>
            <w:tcW w:w="2747" w:type="pct"/>
            <w:gridSpan w:val="2"/>
            <w:vAlign w:val="center"/>
          </w:tcPr>
          <w:p>
            <w:pPr>
              <w:pStyle w:val="100"/>
              <w:widowControl w:val="0"/>
              <w:bidi w:val="0"/>
              <w:adjustRightInd w:val="0"/>
              <w:snapToGrid w:val="0"/>
            </w:pPr>
            <w:r>
              <w:t>石块破碎加工项目</w:t>
            </w:r>
          </w:p>
        </w:tc>
        <w:tc>
          <w:tcPr>
            <w:tcW w:w="918" w:type="pct"/>
            <w:vAlign w:val="center"/>
          </w:tcPr>
          <w:p>
            <w:pPr>
              <w:pStyle w:val="100"/>
              <w:widowControl w:val="0"/>
              <w:bidi w:val="0"/>
              <w:adjustRightInd w:val="0"/>
              <w:snapToGrid w:val="0"/>
            </w:pPr>
            <w: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8</w:t>
            </w:r>
          </w:p>
        </w:tc>
        <w:tc>
          <w:tcPr>
            <w:tcW w:w="2747" w:type="pct"/>
            <w:gridSpan w:val="2"/>
            <w:vAlign w:val="center"/>
          </w:tcPr>
          <w:p>
            <w:pPr>
              <w:pStyle w:val="100"/>
              <w:widowControl w:val="0"/>
              <w:bidi w:val="0"/>
              <w:adjustRightInd w:val="0"/>
              <w:snapToGrid w:val="0"/>
            </w:pPr>
            <w:r>
              <w:rPr>
                <w:rFonts w:hint="eastAsia"/>
              </w:rPr>
              <w:t>生物质颗粒生产加工项目</w:t>
            </w:r>
          </w:p>
        </w:tc>
        <w:tc>
          <w:tcPr>
            <w:tcW w:w="918" w:type="pct"/>
            <w:vAlign w:val="center"/>
          </w:tcPr>
          <w:p>
            <w:pPr>
              <w:pStyle w:val="100"/>
              <w:widowControl w:val="0"/>
              <w:bidi w:val="0"/>
              <w:adjustRightInd w:val="0"/>
              <w:snapToGrid w:val="0"/>
            </w:pPr>
            <w: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9</w:t>
            </w:r>
          </w:p>
        </w:tc>
        <w:tc>
          <w:tcPr>
            <w:tcW w:w="2747" w:type="pct"/>
            <w:gridSpan w:val="2"/>
            <w:vAlign w:val="center"/>
          </w:tcPr>
          <w:p>
            <w:pPr>
              <w:pStyle w:val="100"/>
              <w:widowControl w:val="0"/>
              <w:bidi w:val="0"/>
              <w:adjustRightInd w:val="0"/>
              <w:snapToGrid w:val="0"/>
            </w:pPr>
            <w:r>
              <w:t>法律、法规和政策明确淘汰或禁止的其他建设项目</w:t>
            </w:r>
          </w:p>
        </w:tc>
        <w:tc>
          <w:tcPr>
            <w:tcW w:w="918" w:type="pct"/>
            <w:vAlign w:val="center"/>
          </w:tcPr>
          <w:p>
            <w:pPr>
              <w:pStyle w:val="100"/>
              <w:widowControl w:val="0"/>
              <w:bidi w:val="0"/>
              <w:adjustRightInd w:val="0"/>
              <w:snapToGrid w:val="0"/>
            </w:pPr>
            <w:r>
              <w:rPr>
                <w:rFonts w:hint="eastAsia"/>
              </w:rP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vAlign w:val="center"/>
          </w:tcPr>
          <w:p>
            <w:pPr>
              <w:pStyle w:val="100"/>
              <w:widowControl w:val="0"/>
              <w:bidi w:val="0"/>
              <w:adjustRightInd w:val="0"/>
              <w:snapToGrid w:val="0"/>
            </w:pPr>
            <w:r>
              <w:rPr>
                <w:rFonts w:hint="eastAsia"/>
              </w:rPr>
              <w:t>建设项目限制性规定（限制类）</w:t>
            </w:r>
          </w:p>
        </w:tc>
        <w:tc>
          <w:tcPr>
            <w:tcW w:w="411" w:type="pct"/>
            <w:vAlign w:val="center"/>
          </w:tcPr>
          <w:p>
            <w:pPr>
              <w:pStyle w:val="100"/>
              <w:widowControl w:val="0"/>
              <w:bidi w:val="0"/>
              <w:adjustRightInd w:val="0"/>
              <w:snapToGrid w:val="0"/>
            </w:pPr>
            <w:r>
              <w:t>1</w:t>
            </w:r>
          </w:p>
        </w:tc>
        <w:tc>
          <w:tcPr>
            <w:tcW w:w="550" w:type="pct"/>
            <w:vAlign w:val="center"/>
          </w:tcPr>
          <w:p>
            <w:pPr>
              <w:pStyle w:val="100"/>
              <w:widowControl w:val="0"/>
              <w:bidi w:val="0"/>
              <w:adjustRightInd w:val="0"/>
              <w:snapToGrid w:val="0"/>
            </w:pPr>
            <w:r>
              <w:t>化工</w:t>
            </w:r>
          </w:p>
        </w:tc>
        <w:tc>
          <w:tcPr>
            <w:tcW w:w="2196" w:type="pct"/>
            <w:vAlign w:val="center"/>
          </w:tcPr>
          <w:p>
            <w:pPr>
              <w:pStyle w:val="100"/>
              <w:widowControl w:val="0"/>
              <w:bidi w:val="0"/>
              <w:adjustRightInd w:val="0"/>
              <w:snapToGrid w:val="0"/>
            </w:pPr>
            <w:r>
              <w:t>新建化工项目必须进入化工集中区。</w:t>
            </w:r>
          </w:p>
          <w:p>
            <w:pPr>
              <w:pStyle w:val="100"/>
              <w:widowControl w:val="0"/>
              <w:bidi w:val="0"/>
              <w:adjustRightInd w:val="0"/>
              <w:snapToGrid w:val="0"/>
            </w:pPr>
            <w:r>
              <w:t>化工园区外化工企业（除化工重点监测点和提升安全、环保、节能水平及油品质量升级、结构调整以外的改扩建项目）禁止建设</w:t>
            </w:r>
          </w:p>
        </w:tc>
        <w:tc>
          <w:tcPr>
            <w:tcW w:w="918" w:type="pct"/>
            <w:vAlign w:val="center"/>
          </w:tcPr>
          <w:p>
            <w:pPr>
              <w:pStyle w:val="100"/>
              <w:widowControl w:val="0"/>
              <w:bidi w:val="0"/>
              <w:adjustRightInd w:val="0"/>
              <w:snapToGrid w:val="0"/>
            </w:pPr>
            <w:r>
              <w:rPr>
                <w:rFonts w:hint="eastAsia"/>
              </w:rPr>
              <w:t>不涉及</w:t>
            </w:r>
          </w:p>
        </w:tc>
        <w:tc>
          <w:tcPr>
            <w:tcW w:w="517" w:type="pct"/>
            <w:vMerge w:val="restart"/>
            <w:vAlign w:val="center"/>
          </w:tcPr>
          <w:p>
            <w:pPr>
              <w:pStyle w:val="100"/>
              <w:widowControl w:val="0"/>
              <w:bidi w:val="0"/>
              <w:adjustRightInd w:val="0"/>
              <w:snapToGrid w:val="0"/>
            </w:pPr>
            <w:r>
              <w:rPr>
                <w:rFonts w:hint="eastAsia"/>
              </w:rPr>
              <w:t>本项目不属于限制类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2</w:t>
            </w:r>
          </w:p>
        </w:tc>
        <w:tc>
          <w:tcPr>
            <w:tcW w:w="550" w:type="pct"/>
            <w:vAlign w:val="center"/>
          </w:tcPr>
          <w:p>
            <w:pPr>
              <w:pStyle w:val="100"/>
              <w:widowControl w:val="0"/>
              <w:bidi w:val="0"/>
              <w:adjustRightInd w:val="0"/>
              <w:snapToGrid w:val="0"/>
            </w:pPr>
            <w:r>
              <w:t>喷水织造</w:t>
            </w:r>
          </w:p>
        </w:tc>
        <w:tc>
          <w:tcPr>
            <w:tcW w:w="2196" w:type="pct"/>
            <w:tcBorders>
              <w:bottom w:val="single" w:color="auto" w:sz="4" w:space="0"/>
            </w:tcBorders>
            <w:vAlign w:val="center"/>
          </w:tcPr>
          <w:p>
            <w:pPr>
              <w:pStyle w:val="100"/>
              <w:widowControl w:val="0"/>
              <w:bidi w:val="0"/>
              <w:adjustRightInd w:val="0"/>
              <w:snapToGrid w:val="0"/>
            </w:pPr>
            <w:r>
              <w:t>不得新建、扩建；企业废水纳入区域性集中式中水回用污水处理厂（站）管网、污水处理厂（站）中水回用率100%，且在有处理能力和能够中水回用的条件下，可进行高档喷水织机技术改造项目</w:t>
            </w:r>
          </w:p>
        </w:tc>
        <w:tc>
          <w:tcPr>
            <w:tcW w:w="918" w:type="pct"/>
            <w:tcBorders>
              <w:bottom w:val="single" w:color="auto" w:sz="4" w:space="0"/>
            </w:tcBorders>
            <w:vAlign w:val="center"/>
          </w:tcPr>
          <w:p>
            <w:pPr>
              <w:pStyle w:val="100"/>
              <w:widowControl w:val="0"/>
              <w:bidi w:val="0"/>
              <w:adjustRightInd w:val="0"/>
              <w:snapToGrid w:val="0"/>
            </w:pPr>
            <w:r>
              <w:rPr>
                <w:rFonts w:hint="eastAsia"/>
              </w:rP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3</w:t>
            </w:r>
          </w:p>
        </w:tc>
        <w:tc>
          <w:tcPr>
            <w:tcW w:w="550" w:type="pct"/>
            <w:vAlign w:val="center"/>
          </w:tcPr>
          <w:p>
            <w:pPr>
              <w:pStyle w:val="100"/>
              <w:widowControl w:val="0"/>
              <w:bidi w:val="0"/>
              <w:adjustRightInd w:val="0"/>
              <w:snapToGrid w:val="0"/>
            </w:pPr>
            <w:r>
              <w:t>纺织后整理（除印染）</w:t>
            </w:r>
          </w:p>
        </w:tc>
        <w:tc>
          <w:tcPr>
            <w:tcW w:w="2196" w:type="pct"/>
            <w:vAlign w:val="center"/>
          </w:tcPr>
          <w:p>
            <w:pPr>
              <w:pStyle w:val="100"/>
              <w:widowControl w:val="0"/>
              <w:bidi w:val="0"/>
              <w:adjustRightInd w:val="0"/>
              <w:snapToGrid w:val="0"/>
            </w:pPr>
            <w:r>
              <w:t>在有纺织定位的工业区（点）允许建设；其他区域禁止建设。禁止新、扩建涂层项目</w:t>
            </w:r>
          </w:p>
        </w:tc>
        <w:tc>
          <w:tcPr>
            <w:tcW w:w="918" w:type="pct"/>
            <w:vAlign w:val="center"/>
          </w:tcPr>
          <w:p>
            <w:pPr>
              <w:pStyle w:val="100"/>
              <w:widowControl w:val="0"/>
              <w:bidi w:val="0"/>
              <w:adjustRightInd w:val="0"/>
              <w:snapToGrid w:val="0"/>
            </w:pPr>
            <w:r>
              <w:rPr>
                <w:rFonts w:hint="eastAsia"/>
              </w:rP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4</w:t>
            </w:r>
          </w:p>
        </w:tc>
        <w:tc>
          <w:tcPr>
            <w:tcW w:w="550" w:type="pct"/>
            <w:vAlign w:val="center"/>
          </w:tcPr>
          <w:p>
            <w:pPr>
              <w:pStyle w:val="100"/>
              <w:widowControl w:val="0"/>
              <w:bidi w:val="0"/>
              <w:adjustRightInd w:val="0"/>
              <w:snapToGrid w:val="0"/>
            </w:pPr>
            <w:r>
              <w:t>阳极氧化</w:t>
            </w:r>
          </w:p>
        </w:tc>
        <w:tc>
          <w:tcPr>
            <w:tcW w:w="2196" w:type="pct"/>
            <w:tcBorders>
              <w:bottom w:val="single" w:color="auto" w:sz="4" w:space="0"/>
            </w:tcBorders>
            <w:vAlign w:val="center"/>
          </w:tcPr>
          <w:p>
            <w:pPr>
              <w:pStyle w:val="100"/>
              <w:widowControl w:val="0"/>
              <w:bidi w:val="0"/>
              <w:adjustRightInd w:val="0"/>
              <w:snapToGrid w:val="0"/>
            </w:pPr>
            <w:r>
              <w:t>禁止新建纯阳极氧化加工项目；太湖流域一级保护区内及太浦河沿岸1公里内禁止新建含阳极氧化加工段项目，其他有铝制品加工定位的工业区（点）确需新建含阳极氧化工段的项目，须区内环保基础设施完善；现有含阳极氧化加工（工段）企业，在不突破原许可量的前提下，允许工艺、设备改进</w:t>
            </w:r>
          </w:p>
        </w:tc>
        <w:tc>
          <w:tcPr>
            <w:tcW w:w="918" w:type="pct"/>
            <w:tcBorders>
              <w:bottom w:val="single" w:color="auto" w:sz="4" w:space="0"/>
            </w:tcBorders>
            <w:vAlign w:val="center"/>
          </w:tcPr>
          <w:p>
            <w:pPr>
              <w:pStyle w:val="100"/>
              <w:widowControl w:val="0"/>
              <w:bidi w:val="0"/>
              <w:adjustRightInd w:val="0"/>
              <w:snapToGrid w:val="0"/>
            </w:pPr>
            <w:r>
              <w:rPr>
                <w:rFonts w:hint="eastAsia"/>
              </w:rP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5</w:t>
            </w:r>
          </w:p>
        </w:tc>
        <w:tc>
          <w:tcPr>
            <w:tcW w:w="550" w:type="pct"/>
            <w:vAlign w:val="center"/>
          </w:tcPr>
          <w:p>
            <w:pPr>
              <w:pStyle w:val="100"/>
              <w:widowControl w:val="0"/>
              <w:bidi w:val="0"/>
              <w:adjustRightInd w:val="0"/>
              <w:snapToGrid w:val="0"/>
            </w:pPr>
            <w:r>
              <w:t>表面涂装</w:t>
            </w:r>
          </w:p>
        </w:tc>
        <w:tc>
          <w:tcPr>
            <w:tcW w:w="2196" w:type="pct"/>
            <w:tcBorders>
              <w:bottom w:val="single" w:color="auto" w:sz="4" w:space="0"/>
            </w:tcBorders>
            <w:vAlign w:val="center"/>
          </w:tcPr>
          <w:p>
            <w:pPr>
              <w:pStyle w:val="100"/>
              <w:widowControl w:val="0"/>
              <w:bidi w:val="0"/>
              <w:adjustRightInd w:val="0"/>
              <w:snapToGrid w:val="0"/>
            </w:pPr>
            <w:r>
              <w:rPr>
                <w:rFonts w:hint="eastAsia"/>
              </w:rPr>
              <w:t>须</w:t>
            </w:r>
            <w:r>
              <w:t>使用水性、粉末、紫外光固化等低VOCs含量的环保型涂料；使用溶剂型涂料的项目，须距离环境敏感点300米以上；原则上禁止露天和敞开式喷涂作业；</w:t>
            </w:r>
            <w:r>
              <w:rPr>
                <w:rFonts w:hint="eastAsia"/>
              </w:rPr>
              <w:t>废气</w:t>
            </w:r>
            <w:r>
              <w:t>排放口须安装</w:t>
            </w:r>
            <w:r>
              <w:rPr>
                <w:rFonts w:hint="eastAsia"/>
              </w:rPr>
              <w:t>符合国家和地方要求的连续检测装置，</w:t>
            </w:r>
            <w:r>
              <w:t>并与区环保局联网，VOCs排放实行总量控制。</w:t>
            </w:r>
          </w:p>
        </w:tc>
        <w:tc>
          <w:tcPr>
            <w:tcW w:w="918" w:type="pct"/>
            <w:tcBorders>
              <w:bottom w:val="single" w:color="auto" w:sz="4" w:space="0"/>
            </w:tcBorders>
            <w:vAlign w:val="center"/>
          </w:tcPr>
          <w:p>
            <w:pPr>
              <w:pStyle w:val="100"/>
              <w:widowControl w:val="0"/>
              <w:bidi w:val="0"/>
              <w:adjustRightInd w:val="0"/>
              <w:snapToGrid w:val="0"/>
            </w:pPr>
            <w:r>
              <w:rPr>
                <w:rFonts w:hint="eastAsia"/>
              </w:rPr>
              <w:t>本项目采用水性油墨、水性胶等</w:t>
            </w:r>
            <w:r>
              <w:t>低VOCs含量的环保型涂料</w:t>
            </w:r>
            <w:r>
              <w:rPr>
                <w:rFonts w:hint="eastAsia"/>
              </w:rPr>
              <w:t>。水性油墨印刷作业在密闭空间进行。</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6</w:t>
            </w:r>
          </w:p>
        </w:tc>
        <w:tc>
          <w:tcPr>
            <w:tcW w:w="550" w:type="pct"/>
            <w:vAlign w:val="center"/>
          </w:tcPr>
          <w:p>
            <w:pPr>
              <w:pStyle w:val="100"/>
              <w:widowControl w:val="0"/>
              <w:bidi w:val="0"/>
              <w:adjustRightInd w:val="0"/>
              <w:snapToGrid w:val="0"/>
            </w:pPr>
            <w:r>
              <w:t>铸造</w:t>
            </w:r>
          </w:p>
        </w:tc>
        <w:tc>
          <w:tcPr>
            <w:tcW w:w="2196" w:type="pct"/>
            <w:tcBorders>
              <w:bottom w:val="single" w:color="auto" w:sz="4" w:space="0"/>
            </w:tcBorders>
            <w:vAlign w:val="center"/>
          </w:tcPr>
          <w:p>
            <w:pPr>
              <w:pStyle w:val="100"/>
              <w:widowControl w:val="0"/>
              <w:bidi w:val="0"/>
              <w:adjustRightInd w:val="0"/>
              <w:snapToGrid w:val="0"/>
            </w:pPr>
            <w:r>
              <w:t>按照《吴江区铸造行业标准规范》（吴政办【2017】134号）执行；使用树脂造型砂的项目距离环境敏感点不得少于200米。</w:t>
            </w:r>
          </w:p>
        </w:tc>
        <w:tc>
          <w:tcPr>
            <w:tcW w:w="918" w:type="pct"/>
            <w:tcBorders>
              <w:bottom w:val="single" w:color="auto" w:sz="4" w:space="0"/>
            </w:tcBorders>
            <w:vAlign w:val="center"/>
          </w:tcPr>
          <w:p>
            <w:pPr>
              <w:pStyle w:val="100"/>
              <w:widowControl w:val="0"/>
              <w:bidi w:val="0"/>
              <w:adjustRightInd w:val="0"/>
              <w:snapToGrid w:val="0"/>
            </w:pPr>
            <w:r>
              <w:rPr>
                <w:rFonts w:hint="eastAsia"/>
              </w:rPr>
              <w:t>不涉及</w:t>
            </w:r>
          </w:p>
        </w:tc>
        <w:tc>
          <w:tcPr>
            <w:tcW w:w="517" w:type="pct"/>
            <w:vMerge w:val="continue"/>
            <w:tcBorders>
              <w:bottom w:val="single" w:color="auto" w:sz="4" w:space="0"/>
            </w:tcBorders>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7</w:t>
            </w:r>
          </w:p>
        </w:tc>
        <w:tc>
          <w:tcPr>
            <w:tcW w:w="550" w:type="pct"/>
            <w:vAlign w:val="center"/>
          </w:tcPr>
          <w:p>
            <w:pPr>
              <w:pStyle w:val="100"/>
              <w:widowControl w:val="0"/>
              <w:bidi w:val="0"/>
              <w:adjustRightInd w:val="0"/>
              <w:snapToGrid w:val="0"/>
            </w:pPr>
            <w:r>
              <w:t>木材及木制品加工</w:t>
            </w:r>
          </w:p>
        </w:tc>
        <w:tc>
          <w:tcPr>
            <w:tcW w:w="2196" w:type="pct"/>
            <w:tcBorders>
              <w:top w:val="single" w:color="auto" w:sz="4" w:space="0"/>
            </w:tcBorders>
            <w:vAlign w:val="center"/>
          </w:tcPr>
          <w:p>
            <w:pPr>
              <w:pStyle w:val="100"/>
              <w:widowControl w:val="0"/>
              <w:bidi w:val="0"/>
              <w:adjustRightInd w:val="0"/>
              <w:snapToGrid w:val="0"/>
            </w:pPr>
            <w:r>
              <w:t>禁止新建（成套家具、高档木地板除外）。</w:t>
            </w:r>
          </w:p>
        </w:tc>
        <w:tc>
          <w:tcPr>
            <w:tcW w:w="918" w:type="pct"/>
            <w:tcBorders>
              <w:top w:val="single" w:color="auto" w:sz="4" w:space="0"/>
            </w:tcBorders>
            <w:vAlign w:val="center"/>
          </w:tcPr>
          <w:p>
            <w:pPr>
              <w:pStyle w:val="100"/>
              <w:widowControl w:val="0"/>
              <w:bidi w:val="0"/>
              <w:adjustRightInd w:val="0"/>
              <w:snapToGrid w:val="0"/>
            </w:pPr>
            <w:r>
              <w:rPr>
                <w:rFonts w:hint="eastAsia"/>
              </w:rPr>
              <w:t>不涉及</w:t>
            </w:r>
          </w:p>
        </w:tc>
        <w:tc>
          <w:tcPr>
            <w:tcW w:w="517" w:type="pct"/>
            <w:vMerge w:val="continue"/>
            <w:tcBorders>
              <w:top w:val="single" w:color="auto" w:sz="4" w:space="0"/>
            </w:tcBorders>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8</w:t>
            </w:r>
          </w:p>
        </w:tc>
        <w:tc>
          <w:tcPr>
            <w:tcW w:w="550" w:type="pct"/>
            <w:vAlign w:val="center"/>
          </w:tcPr>
          <w:p>
            <w:pPr>
              <w:pStyle w:val="100"/>
              <w:widowControl w:val="0"/>
              <w:bidi w:val="0"/>
              <w:adjustRightInd w:val="0"/>
              <w:snapToGrid w:val="0"/>
            </w:pPr>
            <w:r>
              <w:t>防水建材</w:t>
            </w:r>
          </w:p>
        </w:tc>
        <w:tc>
          <w:tcPr>
            <w:tcW w:w="2196" w:type="pct"/>
            <w:vAlign w:val="center"/>
          </w:tcPr>
          <w:p>
            <w:pPr>
              <w:pStyle w:val="100"/>
              <w:widowControl w:val="0"/>
              <w:bidi w:val="0"/>
              <w:adjustRightInd w:val="0"/>
              <w:snapToGrid w:val="0"/>
            </w:pPr>
            <w:r>
              <w:t>禁止新建含沥青防水建材项目；鼓励现有企业技术改造。</w:t>
            </w:r>
          </w:p>
        </w:tc>
        <w:tc>
          <w:tcPr>
            <w:tcW w:w="918" w:type="pct"/>
            <w:vAlign w:val="center"/>
          </w:tcPr>
          <w:p>
            <w:pPr>
              <w:pStyle w:val="100"/>
              <w:widowControl w:val="0"/>
              <w:bidi w:val="0"/>
              <w:adjustRightInd w:val="0"/>
              <w:snapToGrid w:val="0"/>
            </w:pPr>
            <w:r>
              <w:rPr>
                <w:rFonts w:hint="eastAsia"/>
              </w:rPr>
              <w:t>不涉及</w:t>
            </w:r>
          </w:p>
        </w:tc>
        <w:tc>
          <w:tcPr>
            <w:tcW w:w="51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vAlign w:val="center"/>
          </w:tcPr>
          <w:p>
            <w:pPr>
              <w:pStyle w:val="100"/>
              <w:widowControl w:val="0"/>
              <w:bidi w:val="0"/>
              <w:adjustRightInd w:val="0"/>
              <w:snapToGrid w:val="0"/>
            </w:pPr>
          </w:p>
        </w:tc>
        <w:tc>
          <w:tcPr>
            <w:tcW w:w="411" w:type="pct"/>
            <w:vAlign w:val="center"/>
          </w:tcPr>
          <w:p>
            <w:pPr>
              <w:pStyle w:val="100"/>
              <w:widowControl w:val="0"/>
              <w:bidi w:val="0"/>
              <w:adjustRightInd w:val="0"/>
              <w:snapToGrid w:val="0"/>
            </w:pPr>
            <w:r>
              <w:t>9</w:t>
            </w:r>
          </w:p>
        </w:tc>
        <w:tc>
          <w:tcPr>
            <w:tcW w:w="550" w:type="pct"/>
            <w:vAlign w:val="center"/>
          </w:tcPr>
          <w:p>
            <w:pPr>
              <w:pStyle w:val="100"/>
              <w:widowControl w:val="0"/>
              <w:bidi w:val="0"/>
              <w:adjustRightInd w:val="0"/>
              <w:snapToGrid w:val="0"/>
            </w:pPr>
            <w:r>
              <w:t>食品</w:t>
            </w:r>
          </w:p>
        </w:tc>
        <w:tc>
          <w:tcPr>
            <w:tcW w:w="2196" w:type="pct"/>
            <w:vAlign w:val="center"/>
          </w:tcPr>
          <w:p>
            <w:pPr>
              <w:pStyle w:val="100"/>
              <w:widowControl w:val="0"/>
              <w:bidi w:val="0"/>
              <w:adjustRightInd w:val="0"/>
              <w:snapToGrid w:val="0"/>
            </w:pPr>
            <w:r>
              <w:t>在有食品加工定位且有集中式中水回用设施的区域，允许新建；现有食品加工企业，在不突破原氮、磷排放许可量的前提下，允许改、扩建</w:t>
            </w:r>
          </w:p>
        </w:tc>
        <w:tc>
          <w:tcPr>
            <w:tcW w:w="918" w:type="pct"/>
            <w:vAlign w:val="center"/>
          </w:tcPr>
          <w:p>
            <w:pPr>
              <w:pStyle w:val="100"/>
              <w:widowControl w:val="0"/>
              <w:bidi w:val="0"/>
              <w:adjustRightInd w:val="0"/>
              <w:snapToGrid w:val="0"/>
            </w:pPr>
            <w:r>
              <w:rPr>
                <w:rFonts w:hint="eastAsia"/>
              </w:rPr>
              <w:t>不涉及</w:t>
            </w:r>
          </w:p>
        </w:tc>
        <w:tc>
          <w:tcPr>
            <w:tcW w:w="517" w:type="pct"/>
            <w:vMerge w:val="continue"/>
            <w:vAlign w:val="center"/>
          </w:tcPr>
          <w:p>
            <w:pPr>
              <w:pStyle w:val="100"/>
              <w:widowControl w:val="0"/>
              <w:bidi w:val="0"/>
              <w:adjustRightInd w:val="0"/>
              <w:snapToGrid w:val="0"/>
            </w:pPr>
          </w:p>
        </w:tc>
      </w:tr>
    </w:tbl>
    <w:p>
      <w:pPr>
        <w:pStyle w:val="103"/>
        <w:bidi w:val="0"/>
      </w:pPr>
      <w:r>
        <w:t>综上所述，本项目符合《苏州市吴江区建设项目环境影响评价特别管理措施（试行）》要求</w:t>
      </w:r>
      <w:r>
        <w:rPr>
          <w:rFonts w:hint="eastAsia"/>
        </w:rPr>
        <w:t>。</w:t>
      </w:r>
    </w:p>
    <w:p>
      <w:pPr>
        <w:pStyle w:val="105"/>
      </w:pPr>
      <w:r>
        <w:rPr>
          <w:rFonts w:hint="eastAsia"/>
        </w:rPr>
        <w:t>《打赢蓝天保卫战三年行动计划》的相符性分析</w:t>
      </w:r>
    </w:p>
    <w:p>
      <w:pPr>
        <w:pStyle w:val="103"/>
        <w:bidi w:val="0"/>
      </w:pPr>
      <w:r>
        <w:rPr>
          <w:rFonts w:hint="eastAsia"/>
        </w:rPr>
        <w:t>本项目与《国务院关于印发打赢蓝天保卫战三年行动计划的通知》（国发</w:t>
      </w:r>
      <w:r>
        <w:t>[2018]22 号）、《省政府关于印发江苏省打赢蓝天保卫战三年行动计划实施方案的通知》（苏政发[2018]122 号）的相符性分析见表1-</w:t>
      </w:r>
      <w:r>
        <w:rPr>
          <w:rFonts w:hint="eastAsia"/>
          <w:lang w:val="en-US" w:eastAsia="zh-CN"/>
        </w:rPr>
        <w:t>20</w:t>
      </w:r>
      <w:r>
        <w:t>。</w:t>
      </w:r>
    </w:p>
    <w:p>
      <w:pPr>
        <w:pStyle w:val="273"/>
        <w:bidi w:val="0"/>
        <w:rPr>
          <w:rFonts w:hint="eastAsia"/>
          <w:lang w:val="en-US" w:eastAsia="zh-CN"/>
        </w:rPr>
      </w:pPr>
      <w:r>
        <w:rPr>
          <w:rFonts w:hint="eastAsia"/>
          <w:lang w:val="en-US" w:eastAsia="zh-CN"/>
        </w:rPr>
        <w:t>表1-20  与《打赢蓝天保卫战三年行动计划》相符性分析</w:t>
      </w:r>
    </w:p>
    <w:tbl>
      <w:tblPr>
        <w:tblStyle w:val="260"/>
        <w:tblW w:w="501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273"/>
        <w:gridCol w:w="3726"/>
        <w:gridCol w:w="2309"/>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08" w:type="pct"/>
            <w:vAlign w:val="center"/>
          </w:tcPr>
          <w:p>
            <w:pPr>
              <w:pStyle w:val="100"/>
              <w:widowControl w:val="0"/>
              <w:bidi w:val="0"/>
              <w:adjustRightInd w:val="0"/>
              <w:snapToGrid w:val="0"/>
            </w:pPr>
            <w:r>
              <w:rPr>
                <w:rFonts w:hint="eastAsia"/>
              </w:rPr>
              <w:t>序号</w:t>
            </w:r>
          </w:p>
        </w:tc>
        <w:tc>
          <w:tcPr>
            <w:tcW w:w="744" w:type="pct"/>
            <w:vAlign w:val="center"/>
          </w:tcPr>
          <w:p>
            <w:pPr>
              <w:pStyle w:val="100"/>
              <w:widowControl w:val="0"/>
              <w:bidi w:val="0"/>
              <w:adjustRightInd w:val="0"/>
              <w:snapToGrid w:val="0"/>
            </w:pPr>
            <w:r>
              <w:rPr>
                <w:rFonts w:hint="eastAsia"/>
              </w:rPr>
              <w:t>文件名称</w:t>
            </w:r>
          </w:p>
        </w:tc>
        <w:tc>
          <w:tcPr>
            <w:tcW w:w="2178" w:type="pct"/>
            <w:vAlign w:val="center"/>
          </w:tcPr>
          <w:p>
            <w:pPr>
              <w:pStyle w:val="100"/>
              <w:widowControl w:val="0"/>
              <w:bidi w:val="0"/>
              <w:adjustRightInd w:val="0"/>
              <w:snapToGrid w:val="0"/>
            </w:pPr>
            <w:r>
              <w:rPr>
                <w:rFonts w:hint="eastAsia"/>
              </w:rPr>
              <w:t>相关要求</w:t>
            </w:r>
          </w:p>
        </w:tc>
        <w:tc>
          <w:tcPr>
            <w:tcW w:w="1350" w:type="pct"/>
            <w:vAlign w:val="center"/>
          </w:tcPr>
          <w:p>
            <w:pPr>
              <w:pStyle w:val="100"/>
              <w:widowControl w:val="0"/>
              <w:bidi w:val="0"/>
              <w:adjustRightInd w:val="0"/>
              <w:snapToGrid w:val="0"/>
            </w:pPr>
            <w:r>
              <w:rPr>
                <w:rFonts w:hint="eastAsia"/>
              </w:rPr>
              <w:t>本项目情况</w:t>
            </w:r>
          </w:p>
        </w:tc>
        <w:tc>
          <w:tcPr>
            <w:tcW w:w="418" w:type="pct"/>
            <w:vAlign w:val="center"/>
          </w:tcPr>
          <w:p>
            <w:pPr>
              <w:pStyle w:val="100"/>
              <w:widowControl w:val="0"/>
              <w:bidi w:val="0"/>
              <w:adjustRightInd w:val="0"/>
              <w:snapToGrid w:val="0"/>
            </w:pPr>
            <w:r>
              <w:rPr>
                <w:rFonts w:hint="eastAsia"/>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8" w:type="pct"/>
            <w:vMerge w:val="restart"/>
            <w:vAlign w:val="center"/>
          </w:tcPr>
          <w:p>
            <w:pPr>
              <w:pStyle w:val="100"/>
              <w:widowControl w:val="0"/>
              <w:bidi w:val="0"/>
              <w:adjustRightInd w:val="0"/>
              <w:snapToGrid w:val="0"/>
            </w:pPr>
            <w:r>
              <w:t>1</w:t>
            </w:r>
          </w:p>
        </w:tc>
        <w:tc>
          <w:tcPr>
            <w:tcW w:w="744" w:type="pct"/>
            <w:vMerge w:val="restart"/>
            <w:vAlign w:val="center"/>
          </w:tcPr>
          <w:p>
            <w:pPr>
              <w:pStyle w:val="100"/>
              <w:widowControl w:val="0"/>
              <w:bidi w:val="0"/>
              <w:adjustRightInd w:val="0"/>
              <w:snapToGrid w:val="0"/>
            </w:pPr>
            <w:r>
              <w:rPr>
                <w:rFonts w:hint="eastAsia"/>
              </w:rPr>
              <w:t>《国务院关于印发打赢蓝天保卫战三年行动计划的通知》（国发</w:t>
            </w:r>
            <w:r>
              <w:t xml:space="preserve">[2018]22 </w:t>
            </w:r>
            <w:r>
              <w:rPr>
                <w:rFonts w:hint="eastAsia"/>
              </w:rPr>
              <w:t>号）</w:t>
            </w:r>
          </w:p>
        </w:tc>
        <w:tc>
          <w:tcPr>
            <w:tcW w:w="2178" w:type="pct"/>
            <w:vAlign w:val="center"/>
          </w:tcPr>
          <w:p>
            <w:pPr>
              <w:pStyle w:val="100"/>
              <w:widowControl w:val="0"/>
              <w:bidi w:val="0"/>
              <w:adjustRightInd w:val="0"/>
              <w:snapToGrid w:val="0"/>
            </w:pPr>
            <w:r>
              <w:rPr>
                <w:rFonts w:hint="eastAsia"/>
              </w:rPr>
              <w:t>推进重点行业污染治理升级改造。重点区域</w:t>
            </w:r>
            <w:r>
              <w:t>[1]</w:t>
            </w:r>
            <w:r>
              <w:rPr>
                <w:rFonts w:hint="eastAsia"/>
              </w:rPr>
              <w:t>二氧化硫、氮氧化物、颗粒物、挥发性有机物（</w:t>
            </w:r>
            <w:r>
              <w:t>VOCs</w:t>
            </w:r>
            <w:r>
              <w:rPr>
                <w:rFonts w:hint="eastAsia"/>
              </w:rPr>
              <w:t xml:space="preserve">）全面执行大气污染物特别排放限值；强化工业企业无组织排放管控；长三角地区和汾渭平原 </w:t>
            </w:r>
            <w:r>
              <w:t xml:space="preserve">2019 </w:t>
            </w:r>
            <w:r>
              <w:rPr>
                <w:rFonts w:hint="eastAsia"/>
              </w:rPr>
              <w:t>年底前完成治理任务。</w:t>
            </w:r>
          </w:p>
        </w:tc>
        <w:tc>
          <w:tcPr>
            <w:tcW w:w="1350" w:type="pct"/>
            <w:vAlign w:val="center"/>
          </w:tcPr>
          <w:p>
            <w:pPr>
              <w:pStyle w:val="100"/>
              <w:widowControl w:val="0"/>
              <w:bidi w:val="0"/>
              <w:adjustRightInd w:val="0"/>
              <w:snapToGrid w:val="0"/>
            </w:pPr>
            <w:r>
              <w:rPr>
                <w:rFonts w:hint="eastAsia"/>
              </w:rPr>
              <w:t>本项目位于吴江</w:t>
            </w:r>
            <w:r>
              <w:rPr>
                <w:rFonts w:hint="eastAsia"/>
                <w:lang w:val="en-US" w:eastAsia="zh-CN"/>
              </w:rPr>
              <w:t>经济技术开发区</w:t>
            </w:r>
            <w:r>
              <w:rPr>
                <w:rFonts w:hint="eastAsia"/>
              </w:rPr>
              <w:t>，属于重点区域，本项目属于</w:t>
            </w:r>
            <w:r>
              <w:rPr>
                <w:rFonts w:hint="eastAsia"/>
                <w:lang w:val="en-US" w:eastAsia="zh-CN"/>
              </w:rPr>
              <w:t>电子专用材料制造</w:t>
            </w:r>
            <w:r>
              <w:rPr>
                <w:rFonts w:hint="eastAsia"/>
              </w:rPr>
              <w:t>项目，大气污染物</w:t>
            </w:r>
            <w:r>
              <w:rPr>
                <w:rFonts w:hint="eastAsia"/>
                <w:lang w:val="en-US" w:eastAsia="zh-CN"/>
              </w:rPr>
              <w:t>为非甲烷总烃，不涉及</w:t>
            </w:r>
            <w:r>
              <w:rPr>
                <w:rFonts w:hint="eastAsia"/>
              </w:rPr>
              <w:t>执行特别排放限值</w:t>
            </w:r>
            <w:r>
              <w:rPr>
                <w:rFonts w:hint="eastAsia"/>
                <w:lang w:val="en-US" w:eastAsia="zh-CN"/>
              </w:rPr>
              <w:t>的污染物</w:t>
            </w:r>
            <w:r>
              <w:rPr>
                <w:rFonts w:hint="eastAsia"/>
              </w:rPr>
              <w:t>。</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0"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重点区域新建高能耗项目单位产品（产值）能耗要达到国际先进水平。</w:t>
            </w:r>
          </w:p>
        </w:tc>
        <w:tc>
          <w:tcPr>
            <w:tcW w:w="1350" w:type="pct"/>
            <w:vAlign w:val="center"/>
          </w:tcPr>
          <w:p>
            <w:pPr>
              <w:pStyle w:val="100"/>
              <w:widowControl w:val="0"/>
              <w:bidi w:val="0"/>
              <w:adjustRightInd w:val="0"/>
              <w:snapToGrid w:val="0"/>
            </w:pPr>
            <w:r>
              <w:rPr>
                <w:rFonts w:hint="eastAsia"/>
              </w:rPr>
              <w:t>本项目不属于高能耗项目。</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58"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 xml:space="preserve">实施 </w:t>
            </w:r>
            <w:r>
              <w:t>VOCs</w:t>
            </w:r>
            <w:r>
              <w:rPr>
                <w:rFonts w:hint="eastAsia"/>
              </w:rPr>
              <w:t>专项整治方案。制定石化、化工、工业涂装、包装印刷等</w:t>
            </w:r>
            <w:r>
              <w:t xml:space="preserve">VOCs </w:t>
            </w:r>
            <w:r>
              <w:rPr>
                <w:rFonts w:hint="eastAsia"/>
              </w:rPr>
              <w:t>排放重点行业和油品储运销综合整治方案。重点区域禁止建设生产和使用高</w:t>
            </w:r>
            <w:r>
              <w:t>VOCs</w:t>
            </w:r>
            <w:r>
              <w:rPr>
                <w:rFonts w:hint="eastAsia"/>
              </w:rPr>
              <w:t>含量的溶剂型涂料、油墨、胶黏剂等项目，加大餐饮油烟治理力度。</w:t>
            </w:r>
          </w:p>
        </w:tc>
        <w:tc>
          <w:tcPr>
            <w:tcW w:w="1350" w:type="pct"/>
            <w:vAlign w:val="center"/>
          </w:tcPr>
          <w:p>
            <w:pPr>
              <w:pStyle w:val="100"/>
              <w:widowControl w:val="0"/>
              <w:bidi w:val="0"/>
              <w:adjustRightInd w:val="0"/>
              <w:snapToGrid w:val="0"/>
            </w:pPr>
            <w:r>
              <w:rPr>
                <w:rFonts w:hint="eastAsia"/>
              </w:rPr>
              <w:t>本项目生产过程产生的非甲烷总烃均得到有效的收集处理，最终达标排放；本项目属于重点区域，使用低</w:t>
            </w:r>
            <w:r>
              <w:t>VOCs</w:t>
            </w:r>
            <w:r>
              <w:rPr>
                <w:rFonts w:hint="eastAsia"/>
              </w:rPr>
              <w:t>含量的原料。</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重点排污单位应及时公布自行检测和污染排放数据、污染治理措施、重污染天气应对、环保违法处罚及整改等信息。已核发排污许可证的企业应按要求及时公布执行报告。</w:t>
            </w:r>
          </w:p>
        </w:tc>
        <w:tc>
          <w:tcPr>
            <w:tcW w:w="1350" w:type="pct"/>
            <w:vAlign w:val="center"/>
          </w:tcPr>
          <w:p>
            <w:pPr>
              <w:pStyle w:val="100"/>
              <w:widowControl w:val="0"/>
              <w:bidi w:val="0"/>
              <w:adjustRightInd w:val="0"/>
              <w:snapToGrid w:val="0"/>
            </w:pPr>
            <w:r>
              <w:rPr>
                <w:rFonts w:hint="eastAsia"/>
              </w:rPr>
              <w:t>本项目不属于重点排污单位。</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08" w:type="pct"/>
            <w:vMerge w:val="restart"/>
            <w:vAlign w:val="center"/>
          </w:tcPr>
          <w:p>
            <w:pPr>
              <w:pStyle w:val="100"/>
              <w:widowControl w:val="0"/>
              <w:bidi w:val="0"/>
              <w:adjustRightInd w:val="0"/>
              <w:snapToGrid w:val="0"/>
            </w:pPr>
            <w:r>
              <w:rPr>
                <w:rFonts w:hint="eastAsia"/>
              </w:rPr>
              <w:t>2</w:t>
            </w:r>
          </w:p>
        </w:tc>
        <w:tc>
          <w:tcPr>
            <w:tcW w:w="744" w:type="pct"/>
            <w:vMerge w:val="restart"/>
            <w:vAlign w:val="center"/>
          </w:tcPr>
          <w:p>
            <w:pPr>
              <w:pStyle w:val="100"/>
              <w:widowControl w:val="0"/>
              <w:bidi w:val="0"/>
              <w:adjustRightInd w:val="0"/>
              <w:snapToGrid w:val="0"/>
            </w:pPr>
            <w:r>
              <w:rPr>
                <w:rFonts w:hint="eastAsia"/>
              </w:rPr>
              <w:t>《省政府关于印发江苏省打赢蓝天保卫战三年行动计划实施方案的通知》（苏政发</w:t>
            </w:r>
            <w:r>
              <w:t>[2018]122 号）</w:t>
            </w:r>
          </w:p>
        </w:tc>
        <w:tc>
          <w:tcPr>
            <w:tcW w:w="2178" w:type="pct"/>
            <w:vAlign w:val="center"/>
          </w:tcPr>
          <w:p>
            <w:pPr>
              <w:pStyle w:val="100"/>
              <w:widowControl w:val="0"/>
              <w:bidi w:val="0"/>
              <w:adjustRightInd w:val="0"/>
              <w:snapToGrid w:val="0"/>
            </w:pPr>
            <w:r>
              <w:rPr>
                <w:rFonts w:hint="eastAsia"/>
              </w:rPr>
              <w:t>持续推进工业污染源全面达标排放，加大超标处罚和联合惩戒力度，未达标排放的企业一律依法停产整治。</w:t>
            </w:r>
          </w:p>
        </w:tc>
        <w:tc>
          <w:tcPr>
            <w:tcW w:w="1350" w:type="pct"/>
            <w:vAlign w:val="center"/>
          </w:tcPr>
          <w:p>
            <w:pPr>
              <w:pStyle w:val="100"/>
              <w:widowControl w:val="0"/>
              <w:bidi w:val="0"/>
              <w:adjustRightInd w:val="0"/>
              <w:snapToGrid w:val="0"/>
            </w:pPr>
            <w:r>
              <w:rPr>
                <w:rFonts w:hint="eastAsia"/>
              </w:rPr>
              <w:t>本项目产生的废气经处理后均达标排放，固废均得到有效处置。</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禁止建设生产和使用高</w:t>
            </w:r>
            <w:r>
              <w:t xml:space="preserve">VOCs </w:t>
            </w:r>
            <w:r>
              <w:rPr>
                <w:rFonts w:hint="eastAsia"/>
              </w:rPr>
              <w:t>含量的溶剂型涂料、油 墨、胶黏剂等项目。以减少苯、甲苯、二甲苯等溶剂和助剂的使用为重点，推进低</w:t>
            </w:r>
            <w:r>
              <w:t>VOCs</w:t>
            </w:r>
            <w:r>
              <w:rPr>
                <w:rFonts w:hint="eastAsia"/>
              </w:rPr>
              <w:t>含量、低反应活性原辅材料和产品的替代。</w:t>
            </w:r>
          </w:p>
        </w:tc>
        <w:tc>
          <w:tcPr>
            <w:tcW w:w="1350" w:type="pct"/>
            <w:vAlign w:val="center"/>
          </w:tcPr>
          <w:p>
            <w:pPr>
              <w:pStyle w:val="100"/>
              <w:widowControl w:val="0"/>
              <w:bidi w:val="0"/>
              <w:adjustRightInd w:val="0"/>
              <w:snapToGrid w:val="0"/>
            </w:pPr>
            <w:r>
              <w:rPr>
                <w:rFonts w:hint="eastAsia"/>
              </w:rPr>
              <w:t>本项目属于重点区域，使用低</w:t>
            </w:r>
            <w:r>
              <w:t>VOCs</w:t>
            </w:r>
            <w:r>
              <w:rPr>
                <w:rFonts w:hint="eastAsia"/>
              </w:rPr>
              <w:t>含量的原料。</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0"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加强工业企业</w:t>
            </w:r>
            <w:r>
              <w:t xml:space="preserve">VOCs </w:t>
            </w:r>
            <w:r>
              <w:rPr>
                <w:rFonts w:hint="eastAsia"/>
              </w:rPr>
              <w:t>无组织排放管理。推动企业实施生产过程密闭化、连续化、自动化技术改造，强化生产工艺环节的有机废气收集。</w:t>
            </w:r>
          </w:p>
        </w:tc>
        <w:tc>
          <w:tcPr>
            <w:tcW w:w="1350" w:type="pct"/>
            <w:vAlign w:val="center"/>
          </w:tcPr>
          <w:p>
            <w:pPr>
              <w:pStyle w:val="100"/>
              <w:widowControl w:val="0"/>
              <w:bidi w:val="0"/>
              <w:adjustRightInd w:val="0"/>
              <w:snapToGrid w:val="0"/>
            </w:pPr>
            <w:r>
              <w:rPr>
                <w:rFonts w:hint="eastAsia"/>
              </w:rPr>
              <w:t>项目生产过程产生的非甲烷总烃得到有效收集处理后达标排放。</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0"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开展</w:t>
            </w:r>
            <w:r>
              <w:t>VOCs</w:t>
            </w:r>
            <w:r>
              <w:rPr>
                <w:rFonts w:hint="eastAsia"/>
              </w:rPr>
              <w:t>整治专项执法行动。严厉打击企业违法排污行为，对负有连带责任的环境服务第三方治理单位应依法追责。</w:t>
            </w:r>
          </w:p>
        </w:tc>
        <w:tc>
          <w:tcPr>
            <w:tcW w:w="1350" w:type="pct"/>
            <w:vAlign w:val="center"/>
          </w:tcPr>
          <w:p>
            <w:pPr>
              <w:pStyle w:val="100"/>
              <w:widowControl w:val="0"/>
              <w:bidi w:val="0"/>
              <w:adjustRightInd w:val="0"/>
              <w:snapToGrid w:val="0"/>
            </w:pPr>
            <w:r>
              <w:rPr>
                <w:rFonts w:hint="eastAsia"/>
              </w:rPr>
              <w:t>企业废气治理措施方案由有资质单位设计、施工、运营，固废均得到有效处置</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0"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强化重点污染源自动监控体系建设。排气口高度超过</w:t>
            </w:r>
            <w:r>
              <w:t>45m</w:t>
            </w:r>
            <w:r>
              <w:rPr>
                <w:rFonts w:hint="eastAsia"/>
              </w:rPr>
              <w:t xml:space="preserve">的高架源，以及石化、化工、包装印刷、工业涂装等 </w:t>
            </w:r>
            <w:r>
              <w:t>VOCs</w:t>
            </w:r>
            <w:r>
              <w:rPr>
                <w:rFonts w:hint="eastAsia"/>
              </w:rPr>
              <w:t>排放重点源，纳入重点排污单位名录，督促重点排污单位</w:t>
            </w:r>
            <w:r>
              <w:t>2019</w:t>
            </w:r>
            <w:r>
              <w:rPr>
                <w:rFonts w:hint="eastAsia"/>
              </w:rPr>
              <w:t xml:space="preserve">年底前完成烟气排放自动监控设施安装，其它企业逐步配备自动监测设备或便携式 </w:t>
            </w:r>
            <w:r>
              <w:t>VOCs</w:t>
            </w:r>
            <w:r>
              <w:rPr>
                <w:rFonts w:hint="eastAsia"/>
              </w:rPr>
              <w:t>检测仪。加强固定污染源生产、治污、排污全过程信息自动采集、分析、预警能力，逐步扩大污染源在线监控覆盖面。</w:t>
            </w:r>
          </w:p>
        </w:tc>
        <w:tc>
          <w:tcPr>
            <w:tcW w:w="1350" w:type="pct"/>
            <w:vAlign w:val="center"/>
          </w:tcPr>
          <w:p>
            <w:pPr>
              <w:pStyle w:val="100"/>
              <w:widowControl w:val="0"/>
              <w:bidi w:val="0"/>
              <w:adjustRightInd w:val="0"/>
              <w:snapToGrid w:val="0"/>
            </w:pPr>
            <w:r>
              <w:rPr>
                <w:rFonts w:hint="eastAsia"/>
              </w:rPr>
              <w:t>企业不属于重点污染源</w:t>
            </w:r>
          </w:p>
        </w:tc>
        <w:tc>
          <w:tcPr>
            <w:tcW w:w="418" w:type="pct"/>
            <w:vAlign w:val="center"/>
          </w:tcPr>
          <w:p>
            <w:pPr>
              <w:pStyle w:val="100"/>
              <w:widowControl w:val="0"/>
              <w:bidi w:val="0"/>
              <w:adjustRightInd w:val="0"/>
              <w:snapToGrid w:val="0"/>
            </w:pPr>
            <w:r>
              <w:rPr>
                <w:rFonts w:hint="eastAsia"/>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08" w:type="pct"/>
            <w:vMerge w:val="continue"/>
            <w:vAlign w:val="center"/>
          </w:tcPr>
          <w:p>
            <w:pPr>
              <w:pStyle w:val="100"/>
              <w:widowControl w:val="0"/>
              <w:bidi w:val="0"/>
              <w:adjustRightInd w:val="0"/>
              <w:snapToGrid w:val="0"/>
            </w:pPr>
          </w:p>
        </w:tc>
        <w:tc>
          <w:tcPr>
            <w:tcW w:w="744" w:type="pct"/>
            <w:vMerge w:val="continue"/>
            <w:vAlign w:val="center"/>
          </w:tcPr>
          <w:p>
            <w:pPr>
              <w:pStyle w:val="100"/>
              <w:widowControl w:val="0"/>
              <w:bidi w:val="0"/>
              <w:adjustRightInd w:val="0"/>
              <w:snapToGrid w:val="0"/>
            </w:pPr>
          </w:p>
        </w:tc>
        <w:tc>
          <w:tcPr>
            <w:tcW w:w="2178" w:type="pct"/>
            <w:vAlign w:val="center"/>
          </w:tcPr>
          <w:p>
            <w:pPr>
              <w:pStyle w:val="100"/>
              <w:widowControl w:val="0"/>
              <w:bidi w:val="0"/>
              <w:adjustRightInd w:val="0"/>
              <w:snapToGrid w:val="0"/>
            </w:pPr>
            <w:r>
              <w:rPr>
                <w:rFonts w:hint="eastAsia"/>
              </w:rPr>
              <w:t>重点排污单位应及时公布自行监测和污染排放数据、污染治理措施、重污染天气应对、环保违法处罚及整改等信息。已核发排污许可证的企业应按要求及时公布执行报告。机动车和非道路移动机械生产、进口企业应依法向社会公开排放检验、污染控制技术等环保信息。</w:t>
            </w:r>
          </w:p>
        </w:tc>
        <w:tc>
          <w:tcPr>
            <w:tcW w:w="1350" w:type="pct"/>
            <w:vAlign w:val="center"/>
          </w:tcPr>
          <w:p>
            <w:pPr>
              <w:pStyle w:val="100"/>
              <w:widowControl w:val="0"/>
              <w:bidi w:val="0"/>
              <w:adjustRightInd w:val="0"/>
              <w:snapToGrid w:val="0"/>
            </w:pPr>
            <w:r>
              <w:rPr>
                <w:rFonts w:hint="eastAsia"/>
              </w:rPr>
              <w:t>本项目产生的废气经处理后均达标排放，固废均得到有效处置。</w:t>
            </w:r>
          </w:p>
        </w:tc>
        <w:tc>
          <w:tcPr>
            <w:tcW w:w="418" w:type="pct"/>
            <w:vAlign w:val="center"/>
          </w:tcPr>
          <w:p>
            <w:pPr>
              <w:pStyle w:val="100"/>
              <w:widowControl w:val="0"/>
              <w:bidi w:val="0"/>
              <w:adjustRightInd w:val="0"/>
              <w:snapToGrid w:val="0"/>
            </w:pPr>
            <w:r>
              <w:rPr>
                <w:rFonts w:hint="eastAsia"/>
              </w:rPr>
              <w:t>相符</w:t>
            </w:r>
          </w:p>
        </w:tc>
      </w:tr>
    </w:tbl>
    <w:p>
      <w:pPr>
        <w:pStyle w:val="105"/>
        <w:rPr>
          <w:rFonts w:hint="eastAsia" w:ascii="Times New Roman" w:hAnsi="Times New Roman"/>
        </w:rPr>
      </w:pPr>
      <w:r>
        <w:rPr>
          <w:rFonts w:hint="eastAsia" w:ascii="Times New Roman" w:hAnsi="Times New Roman"/>
        </w:rPr>
        <w:t>《长三角地区 2019-2020 年秋冬季大气污染综合治理攻坚行动方案》相符性分析</w:t>
      </w:r>
    </w:p>
    <w:p>
      <w:pPr>
        <w:pStyle w:val="103"/>
        <w:bidi w:val="0"/>
      </w:pPr>
      <w:bookmarkStart w:id="23" w:name="_Hlk49371608"/>
      <w:r>
        <w:rPr>
          <w:rFonts w:hint="eastAsia"/>
        </w:rPr>
        <w:t>本项目与《长三角地区</w:t>
      </w:r>
      <w:r>
        <w:t xml:space="preserve"> 2019-2020 年秋冬季大气污染综合治理攻坚行动方案</w:t>
      </w:r>
      <w:r>
        <w:rPr>
          <w:rFonts w:hint="eastAsia"/>
        </w:rPr>
        <w:t>》（环大气〔</w:t>
      </w:r>
      <w:r>
        <w:t>2019〕97号）的相符性分析见表1-</w:t>
      </w:r>
      <w:r>
        <w:rPr>
          <w:rFonts w:hint="eastAsia"/>
          <w:lang w:val="en-US" w:eastAsia="zh-CN"/>
        </w:rPr>
        <w:t>21</w:t>
      </w:r>
      <w:r>
        <w:t>。</w:t>
      </w:r>
    </w:p>
    <w:bookmarkEnd w:id="23"/>
    <w:p>
      <w:pPr>
        <w:pStyle w:val="273"/>
        <w:bidi w:val="0"/>
        <w:rPr>
          <w:rFonts w:hint="eastAsia"/>
          <w:lang w:val="en-US" w:eastAsia="zh-CN"/>
        </w:rPr>
      </w:pPr>
      <w:r>
        <w:rPr>
          <w:rFonts w:hint="eastAsia"/>
          <w:lang w:val="en-US" w:eastAsia="zh-CN"/>
        </w:rPr>
        <w:t>表1-21  与《长三角地区 2019-2020 年秋冬季大气污染综合治理攻坚行动方案》相符性分析</w:t>
      </w:r>
    </w:p>
    <w:tbl>
      <w:tblPr>
        <w:tblStyle w:val="2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1"/>
        <w:gridCol w:w="1719"/>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3577" w:type="pct"/>
            <w:vAlign w:val="center"/>
          </w:tcPr>
          <w:p>
            <w:pPr>
              <w:pStyle w:val="100"/>
              <w:widowControl w:val="0"/>
              <w:bidi w:val="0"/>
              <w:adjustRightInd w:val="0"/>
              <w:snapToGrid w:val="0"/>
            </w:pPr>
            <w:r>
              <w:rPr>
                <w:rFonts w:hint="eastAsia"/>
              </w:rPr>
              <w:t>要求</w:t>
            </w:r>
          </w:p>
        </w:tc>
        <w:tc>
          <w:tcPr>
            <w:tcW w:w="1008" w:type="pct"/>
            <w:vAlign w:val="center"/>
          </w:tcPr>
          <w:p>
            <w:pPr>
              <w:pStyle w:val="100"/>
              <w:widowControl w:val="0"/>
              <w:bidi w:val="0"/>
              <w:adjustRightInd w:val="0"/>
              <w:snapToGrid w:val="0"/>
            </w:pPr>
            <w:r>
              <w:rPr>
                <w:rFonts w:hint="eastAsia"/>
              </w:rPr>
              <w:t>相符性分析</w:t>
            </w:r>
          </w:p>
        </w:tc>
        <w:tc>
          <w:tcPr>
            <w:tcW w:w="415"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577" w:type="pct"/>
            <w:vAlign w:val="center"/>
          </w:tcPr>
          <w:p>
            <w:pPr>
              <w:pStyle w:val="100"/>
              <w:widowControl w:val="0"/>
              <w:bidi w:val="0"/>
              <w:adjustRightInd w:val="0"/>
              <w:snapToGrid w:val="0"/>
            </w:pPr>
            <w:r>
              <w:rPr>
                <w:rFonts w:hint="eastAsia"/>
              </w:rPr>
              <w:t>各地要大力推广使用低</w:t>
            </w:r>
            <w:r>
              <w:t>VOCs含量涂料、油墨、胶粘剂，在技术成熟的家具、集装箱、汽车制造、船舶制造、机械设备制造、汽修、印刷等行业，推进企业全面实施源头替代</w:t>
            </w:r>
            <w:r>
              <w:rPr>
                <w:rFonts w:hint="eastAsia"/>
              </w:rPr>
              <w:t>。</w:t>
            </w:r>
          </w:p>
        </w:tc>
        <w:tc>
          <w:tcPr>
            <w:tcW w:w="1008" w:type="pct"/>
            <w:vMerge w:val="restart"/>
            <w:vAlign w:val="center"/>
          </w:tcPr>
          <w:p>
            <w:pPr>
              <w:pStyle w:val="100"/>
              <w:widowControl w:val="0"/>
              <w:bidi w:val="0"/>
              <w:adjustRightInd w:val="0"/>
              <w:snapToGrid w:val="0"/>
            </w:pPr>
            <w:r>
              <w:rPr>
                <w:rFonts w:hint="eastAsia"/>
              </w:rPr>
              <w:t>本项目使用低V</w:t>
            </w:r>
            <w:r>
              <w:t>OC</w:t>
            </w:r>
            <w:r>
              <w:rPr>
                <w:rFonts w:hint="eastAsia"/>
              </w:rPr>
              <w:t>s含量的水性</w:t>
            </w:r>
            <w:r>
              <w:rPr>
                <w:rFonts w:hint="eastAsia"/>
                <w:lang w:val="en-US" w:eastAsia="zh-CN"/>
              </w:rPr>
              <w:t>油墨及胶水</w:t>
            </w:r>
            <w:r>
              <w:rPr>
                <w:rFonts w:hint="eastAsia"/>
              </w:rPr>
              <w:t>。</w:t>
            </w:r>
            <w:r>
              <w:rPr>
                <w:rFonts w:hint="eastAsia"/>
                <w:lang w:val="en-US" w:eastAsia="zh-CN"/>
              </w:rPr>
              <w:t>印刷、上胶、</w:t>
            </w:r>
            <w:r>
              <w:rPr>
                <w:rFonts w:hint="eastAsia"/>
              </w:rPr>
              <w:t>烘干均在密闭</w:t>
            </w:r>
            <w:r>
              <w:rPr>
                <w:rFonts w:hint="eastAsia"/>
                <w:lang w:val="en-US" w:eastAsia="zh-CN"/>
              </w:rPr>
              <w:t>空间</w:t>
            </w:r>
            <w:r>
              <w:rPr>
                <w:rFonts w:hint="eastAsia"/>
              </w:rPr>
              <w:t>下进行，不存在露天作业。</w:t>
            </w:r>
            <w:r>
              <w:rPr>
                <w:rFonts w:hint="eastAsia"/>
                <w:lang w:val="en-US" w:eastAsia="zh-CN"/>
              </w:rPr>
              <w:t>印刷、上胶</w:t>
            </w:r>
            <w:r>
              <w:rPr>
                <w:rFonts w:hint="eastAsia"/>
              </w:rPr>
              <w:t>、烘干过程中的产生的非甲烷总烃配套建设了</w:t>
            </w:r>
            <w:r>
              <w:rPr>
                <w:rFonts w:hint="eastAsia"/>
                <w:lang w:eastAsia="zh-CN"/>
              </w:rPr>
              <w:t>“</w:t>
            </w:r>
            <w:r>
              <w:rPr>
                <w:rFonts w:hint="eastAsia"/>
                <w:lang w:val="en-US" w:eastAsia="zh-CN"/>
              </w:rPr>
              <w:t>UV光氧催化+</w:t>
            </w:r>
            <w:r>
              <w:rPr>
                <w:rFonts w:hint="eastAsia"/>
              </w:rPr>
              <w:t>二级活性炭吸附</w:t>
            </w:r>
            <w:r>
              <w:rPr>
                <w:rFonts w:hint="eastAsia"/>
                <w:lang w:eastAsia="zh-CN"/>
              </w:rPr>
              <w:t>”</w:t>
            </w:r>
            <w:r>
              <w:t>处理设施进行处理后达标排放。</w:t>
            </w:r>
          </w:p>
        </w:tc>
        <w:tc>
          <w:tcPr>
            <w:tcW w:w="415" w:type="pct"/>
            <w:vMerge w:val="restar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577" w:type="pct"/>
            <w:vAlign w:val="center"/>
          </w:tcPr>
          <w:p>
            <w:pPr>
              <w:pStyle w:val="100"/>
              <w:widowControl w:val="0"/>
              <w:bidi w:val="0"/>
              <w:adjustRightInd w:val="0"/>
              <w:snapToGrid w:val="0"/>
            </w:pPr>
            <w:r>
              <w:rPr>
                <w:rFonts w:hint="eastAsia"/>
              </w:rPr>
              <w:t>强化无组织排放管控。全面加强含</w:t>
            </w:r>
            <w:r>
              <w:t>VOCs物料储存、转移和输送、设备与管线组件泄漏、敞开液面逸散以及工艺过程等五类排放源VOCs管控。按照“应收尽收、分质收集”的原则，显著提高废气收集率。密封点数量大于等于2000个的，开展泄漏检测与修复（LDAR）工作。船舶制造企业应优化涂装工艺，提高密闭喷涂比例，除船坞涂装、码头涂装、完工涂装、舾装涂装以及其他无法密闭的涂装活动外，禁止露天喷涂、晾（风）干。</w:t>
            </w:r>
          </w:p>
        </w:tc>
        <w:tc>
          <w:tcPr>
            <w:tcW w:w="1008" w:type="pct"/>
            <w:vMerge w:val="continue"/>
            <w:vAlign w:val="center"/>
          </w:tcPr>
          <w:p>
            <w:pPr>
              <w:pStyle w:val="100"/>
              <w:widowControl w:val="0"/>
              <w:bidi w:val="0"/>
              <w:adjustRightInd w:val="0"/>
              <w:snapToGrid w:val="0"/>
            </w:pPr>
          </w:p>
        </w:tc>
        <w:tc>
          <w:tcPr>
            <w:tcW w:w="415"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577" w:type="pct"/>
            <w:vAlign w:val="center"/>
          </w:tcPr>
          <w:p>
            <w:pPr>
              <w:pStyle w:val="100"/>
              <w:widowControl w:val="0"/>
              <w:bidi w:val="0"/>
              <w:adjustRightInd w:val="0"/>
              <w:snapToGrid w:val="0"/>
            </w:pPr>
            <w:r>
              <w:rPr>
                <w:rFonts w:hint="eastAsia"/>
              </w:rPr>
              <w:t>推进建设适宜高效的治理设施。鼓励企业采用多种技术的组合工艺，提高</w:t>
            </w:r>
            <w:r>
              <w:t>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VOCs初始排放速率大于等于2千克/小时的，去除效率不应低于80%（采用的原</w:t>
            </w:r>
            <w:r>
              <w:rPr>
                <w:rFonts w:hint="eastAsia"/>
              </w:rPr>
              <w:t>辅材料符合国家有关低</w:t>
            </w:r>
            <w:r>
              <w:t>VOCs含量产品规定的除外）。2019年10月底前，各地开展一轮VOCs执法检查，将有机溶剂使用量较大的，存在敞开式作业的，仅使用一次活性炭吸附、水或水溶液喷淋吸收、等离子、光催化、光氧化等治理技术的企业作为重点，对不能稳定达到《挥发性有机物无组织排放控制标准》以及相关行业排放标准要求的，督促企业限期整改。</w:t>
            </w:r>
          </w:p>
        </w:tc>
        <w:tc>
          <w:tcPr>
            <w:tcW w:w="1008" w:type="pct"/>
            <w:vMerge w:val="continue"/>
            <w:vAlign w:val="center"/>
          </w:tcPr>
          <w:p>
            <w:pPr>
              <w:pStyle w:val="100"/>
              <w:widowControl w:val="0"/>
              <w:bidi w:val="0"/>
              <w:adjustRightInd w:val="0"/>
              <w:snapToGrid w:val="0"/>
            </w:pPr>
          </w:p>
        </w:tc>
        <w:tc>
          <w:tcPr>
            <w:tcW w:w="415" w:type="pct"/>
            <w:vMerge w:val="continue"/>
            <w:vAlign w:val="center"/>
          </w:tcPr>
          <w:p>
            <w:pPr>
              <w:pStyle w:val="100"/>
              <w:widowControl w:val="0"/>
              <w:bidi w:val="0"/>
              <w:adjustRightInd w:val="0"/>
              <w:snapToGrid w:val="0"/>
            </w:pPr>
          </w:p>
        </w:tc>
      </w:tr>
    </w:tbl>
    <w:p>
      <w:pPr>
        <w:pStyle w:val="105"/>
      </w:pPr>
      <w:r>
        <w:rPr>
          <w:rFonts w:hint="eastAsia"/>
        </w:rPr>
        <w:t>其他挥发性有机物防治相关政策相符性</w:t>
      </w:r>
    </w:p>
    <w:p>
      <w:pPr>
        <w:pStyle w:val="103"/>
        <w:bidi w:val="0"/>
      </w:pPr>
      <w:r>
        <w:rPr>
          <w:rFonts w:hint="eastAsia"/>
        </w:rPr>
        <w:t>本项目与《十三五”挥发性有机物污染防治工作方案》（环大气〔</w:t>
      </w:r>
      <w:r>
        <w:t>2017〕121号）、</w:t>
      </w:r>
      <w:r>
        <w:rPr>
          <w:rFonts w:hint="eastAsia"/>
        </w:rPr>
        <w:t>《江苏省挥发性有机物污染治理专项行动实施方案》</w:t>
      </w:r>
      <w:r>
        <w:t>、</w:t>
      </w:r>
      <w:r>
        <w:rPr>
          <w:rFonts w:hint="eastAsia"/>
        </w:rPr>
        <w:t>《江苏省重点行业挥发性有机物污染控制指南》</w:t>
      </w:r>
      <w:r>
        <w:t>、</w:t>
      </w:r>
      <w:r>
        <w:rPr>
          <w:rFonts w:hint="eastAsia"/>
        </w:rPr>
        <w:t>《挥发性有机物无组织排放控制标准》（</w:t>
      </w:r>
      <w:r>
        <w:t>GB37822-2019</w:t>
      </w:r>
      <w:r>
        <w:rPr>
          <w:rFonts w:hint="eastAsia"/>
        </w:rPr>
        <w:t>）、《关于印发《重点行业挥发性有机物综合治理方案》的通知》（环大气〔</w:t>
      </w:r>
      <w:r>
        <w:t>2019〕53号</w:t>
      </w:r>
      <w:r>
        <w:rPr>
          <w:rFonts w:hint="eastAsia"/>
        </w:rPr>
        <w:t>）、</w:t>
      </w:r>
      <w:r>
        <w:t>的相符性分析见表1-</w:t>
      </w:r>
      <w:r>
        <w:rPr>
          <w:rFonts w:hint="eastAsia"/>
          <w:lang w:val="en-US" w:eastAsia="zh-CN"/>
        </w:rPr>
        <w:t>22</w:t>
      </w:r>
      <w:r>
        <w:t>。</w:t>
      </w:r>
    </w:p>
    <w:p>
      <w:pPr>
        <w:pStyle w:val="273"/>
        <w:bidi w:val="0"/>
        <w:rPr>
          <w:rFonts w:hint="eastAsia"/>
          <w:lang w:val="en-US" w:eastAsia="zh-CN"/>
        </w:rPr>
      </w:pPr>
      <w:r>
        <w:rPr>
          <w:rFonts w:hint="eastAsia"/>
          <w:lang w:val="en-US" w:eastAsia="zh-CN"/>
        </w:rPr>
        <w:t>表1-22  与挥发性有机物防治相关政策的相符性</w:t>
      </w:r>
    </w:p>
    <w:tbl>
      <w:tblPr>
        <w:tblStyle w:val="2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63"/>
        <w:gridCol w:w="3387"/>
        <w:gridCol w:w="2523"/>
        <w:gridCol w:w="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49" w:type="pct"/>
            <w:vAlign w:val="center"/>
          </w:tcPr>
          <w:p>
            <w:pPr>
              <w:pStyle w:val="100"/>
              <w:widowControl w:val="0"/>
              <w:bidi w:val="0"/>
              <w:adjustRightInd w:val="0"/>
              <w:snapToGrid w:val="0"/>
            </w:pPr>
            <w:r>
              <w:rPr>
                <w:rFonts w:hint="eastAsia"/>
              </w:rPr>
              <w:t>序号</w:t>
            </w:r>
          </w:p>
        </w:tc>
        <w:tc>
          <w:tcPr>
            <w:tcW w:w="975" w:type="pct"/>
            <w:vAlign w:val="center"/>
          </w:tcPr>
          <w:p>
            <w:pPr>
              <w:pStyle w:val="100"/>
              <w:widowControl w:val="0"/>
              <w:bidi w:val="0"/>
              <w:adjustRightInd w:val="0"/>
              <w:snapToGrid w:val="0"/>
            </w:pPr>
            <w:r>
              <w:rPr>
                <w:rFonts w:hint="eastAsia"/>
              </w:rPr>
              <w:t>文件名</w:t>
            </w:r>
          </w:p>
        </w:tc>
        <w:tc>
          <w:tcPr>
            <w:tcW w:w="1985" w:type="pct"/>
            <w:vAlign w:val="center"/>
          </w:tcPr>
          <w:p>
            <w:pPr>
              <w:pStyle w:val="100"/>
              <w:widowControl w:val="0"/>
              <w:bidi w:val="0"/>
              <w:adjustRightInd w:val="0"/>
              <w:snapToGrid w:val="0"/>
            </w:pPr>
            <w:r>
              <w:rPr>
                <w:rFonts w:hint="eastAsia"/>
              </w:rPr>
              <w:t>要求（根据相应行业要求写）</w:t>
            </w:r>
          </w:p>
        </w:tc>
        <w:tc>
          <w:tcPr>
            <w:tcW w:w="1479" w:type="pct"/>
            <w:vAlign w:val="center"/>
          </w:tcPr>
          <w:p>
            <w:pPr>
              <w:pStyle w:val="100"/>
              <w:widowControl w:val="0"/>
              <w:bidi w:val="0"/>
              <w:adjustRightInd w:val="0"/>
              <w:snapToGrid w:val="0"/>
            </w:pPr>
            <w:r>
              <w:rPr>
                <w:rFonts w:hint="eastAsia"/>
              </w:rPr>
              <w:t>相符性分析</w:t>
            </w:r>
          </w:p>
        </w:tc>
        <w:tc>
          <w:tcPr>
            <w:tcW w:w="310"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249" w:type="pct"/>
            <w:vAlign w:val="center"/>
          </w:tcPr>
          <w:p>
            <w:pPr>
              <w:pStyle w:val="100"/>
              <w:widowControl w:val="0"/>
              <w:bidi w:val="0"/>
              <w:adjustRightInd w:val="0"/>
              <w:snapToGrid w:val="0"/>
            </w:pPr>
            <w:r>
              <w:rPr>
                <w:rFonts w:hint="eastAsia"/>
              </w:rPr>
              <w:t>1</w:t>
            </w:r>
          </w:p>
        </w:tc>
        <w:tc>
          <w:tcPr>
            <w:tcW w:w="975" w:type="pct"/>
            <w:vAlign w:val="center"/>
          </w:tcPr>
          <w:p>
            <w:pPr>
              <w:pStyle w:val="100"/>
              <w:widowControl w:val="0"/>
              <w:bidi w:val="0"/>
              <w:adjustRightInd w:val="0"/>
              <w:snapToGrid w:val="0"/>
            </w:pPr>
            <w:r>
              <w:rPr>
                <w:rFonts w:hint="eastAsia"/>
              </w:rPr>
              <w:t>十三五”挥发性有机物污染防治工作方案</w:t>
            </w:r>
          </w:p>
        </w:tc>
        <w:tc>
          <w:tcPr>
            <w:tcW w:w="1985" w:type="pct"/>
            <w:vAlign w:val="center"/>
          </w:tcPr>
          <w:p>
            <w:pPr>
              <w:pStyle w:val="100"/>
              <w:widowControl w:val="0"/>
              <w:bidi w:val="0"/>
              <w:adjustRightInd w:val="0"/>
              <w:snapToGrid w:val="0"/>
            </w:pPr>
            <w:r>
              <w:rPr>
                <w:rFonts w:hint="eastAsia"/>
              </w:rPr>
              <w:t>加大工业涂装</w:t>
            </w:r>
            <w:r>
              <w:t>VOCs 治理力度的内容：全面推进集装箱、汽车、木质家具、船舶、工程机械、钢结构、卷材等制造行业工业涂装VOCs 排放控制，在重点地区还应加强其他交通设备、电子、家用电器制造等行业工业涂装VOCs 排放控制。重点地区力争2018 年底前完成，京津冀大气污染传输通道城市2017年底前基本完成</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p>
        </w:tc>
        <w:tc>
          <w:tcPr>
            <w:tcW w:w="310" w:type="pc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249" w:type="pct"/>
            <w:vAlign w:val="center"/>
          </w:tcPr>
          <w:p>
            <w:pPr>
              <w:pStyle w:val="100"/>
              <w:widowControl w:val="0"/>
              <w:bidi w:val="0"/>
              <w:adjustRightInd w:val="0"/>
              <w:snapToGrid w:val="0"/>
            </w:pPr>
            <w:r>
              <w:rPr>
                <w:rFonts w:hint="eastAsia"/>
              </w:rPr>
              <w:t>2</w:t>
            </w:r>
          </w:p>
        </w:tc>
        <w:tc>
          <w:tcPr>
            <w:tcW w:w="975" w:type="pct"/>
            <w:vAlign w:val="center"/>
          </w:tcPr>
          <w:p>
            <w:pPr>
              <w:pStyle w:val="100"/>
              <w:widowControl w:val="0"/>
              <w:bidi w:val="0"/>
              <w:adjustRightInd w:val="0"/>
              <w:snapToGrid w:val="0"/>
            </w:pPr>
            <w:r>
              <w:t>《挥发性有机物（VOCs）污染防治技术政策》（公告2013年 第31号）</w:t>
            </w:r>
          </w:p>
        </w:tc>
        <w:tc>
          <w:tcPr>
            <w:tcW w:w="1985" w:type="pct"/>
            <w:vAlign w:val="center"/>
          </w:tcPr>
          <w:p>
            <w:pPr>
              <w:pStyle w:val="100"/>
              <w:widowControl w:val="0"/>
              <w:bidi w:val="0"/>
              <w:adjustRightInd w:val="0"/>
              <w:snapToGrid w:val="0"/>
            </w:pPr>
            <w:r>
              <w:t>VOCs污染防治应遵循源头和过程控制与末端治理相结合的综合防治原则。在工业生产中采用清洁生产技术，严格控制含VOCs原料与产品在生产和储运销过程中的VOCs排放，鼓励对资源和能源的回收利用；鼓励在生产和生活，严格控制含VOCs原料与产品在生产和储运销过程中的VOCs排放，鼓励对资源和能源的回收利用;鼓励在生产和生活。</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p>
        </w:tc>
        <w:tc>
          <w:tcPr>
            <w:tcW w:w="310" w:type="pc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11" w:hRule="atLeast"/>
          <w:jc w:val="center"/>
        </w:trPr>
        <w:tc>
          <w:tcPr>
            <w:tcW w:w="249" w:type="pct"/>
            <w:vAlign w:val="center"/>
          </w:tcPr>
          <w:p>
            <w:pPr>
              <w:pStyle w:val="100"/>
              <w:widowControl w:val="0"/>
              <w:bidi w:val="0"/>
              <w:adjustRightInd w:val="0"/>
              <w:snapToGrid w:val="0"/>
            </w:pPr>
            <w:r>
              <w:rPr>
                <w:rFonts w:hint="eastAsia"/>
              </w:rPr>
              <w:t>3</w:t>
            </w:r>
          </w:p>
        </w:tc>
        <w:tc>
          <w:tcPr>
            <w:tcW w:w="975" w:type="pct"/>
            <w:vAlign w:val="center"/>
          </w:tcPr>
          <w:p>
            <w:pPr>
              <w:pStyle w:val="100"/>
              <w:widowControl w:val="0"/>
              <w:bidi w:val="0"/>
              <w:adjustRightInd w:val="0"/>
              <w:snapToGrid w:val="0"/>
            </w:pPr>
            <w:r>
              <w:t>《江苏省挥发性有机物污染防治管理办法》</w:t>
            </w:r>
          </w:p>
        </w:tc>
        <w:tc>
          <w:tcPr>
            <w:tcW w:w="1985" w:type="pct"/>
            <w:vAlign w:val="center"/>
          </w:tcPr>
          <w:p>
            <w:pPr>
              <w:pStyle w:val="100"/>
              <w:widowControl w:val="0"/>
              <w:bidi w:val="0"/>
              <w:adjustRightInd w:val="0"/>
              <w:snapToGrid w:val="0"/>
            </w:pPr>
            <w:r>
              <w:t>挥发性有机物污染防治坚持源头控制、综合治理、损害担责、公众参与的原则，重点防治工业源排放的挥发性有机物，强化生活源、农业源等挥发性有机物污染防治</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p>
        </w:tc>
        <w:tc>
          <w:tcPr>
            <w:tcW w:w="310" w:type="pct"/>
            <w:vAlign w:val="center"/>
          </w:tcPr>
          <w:p>
            <w:pPr>
              <w:pStyle w:val="100"/>
              <w:widowControl w:val="0"/>
              <w:bidi w:val="0"/>
              <w:adjustRightInd w:val="0"/>
              <w:snapToGrid w:val="0"/>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249" w:type="pct"/>
            <w:vAlign w:val="center"/>
          </w:tcPr>
          <w:p>
            <w:pPr>
              <w:pStyle w:val="100"/>
              <w:widowControl w:val="0"/>
              <w:bidi w:val="0"/>
              <w:adjustRightInd w:val="0"/>
              <w:snapToGrid w:val="0"/>
            </w:pPr>
            <w:r>
              <w:rPr>
                <w:rFonts w:hint="eastAsia"/>
              </w:rPr>
              <w:t>4</w:t>
            </w:r>
          </w:p>
        </w:tc>
        <w:tc>
          <w:tcPr>
            <w:tcW w:w="975" w:type="pct"/>
            <w:vAlign w:val="center"/>
          </w:tcPr>
          <w:p>
            <w:pPr>
              <w:pStyle w:val="100"/>
              <w:widowControl w:val="0"/>
              <w:bidi w:val="0"/>
              <w:adjustRightInd w:val="0"/>
              <w:snapToGrid w:val="0"/>
            </w:pPr>
            <w:r>
              <w:t>《关于印发开展挥发性有机物污染防治工作的指导意见的通知》(苏大气办〔2012〕2号</w:t>
            </w:r>
          </w:p>
        </w:tc>
        <w:tc>
          <w:tcPr>
            <w:tcW w:w="1985" w:type="pct"/>
            <w:vAlign w:val="center"/>
          </w:tcPr>
          <w:p>
            <w:pPr>
              <w:pStyle w:val="100"/>
              <w:widowControl w:val="0"/>
              <w:bidi w:val="0"/>
              <w:adjustRightInd w:val="0"/>
              <w:snapToGrid w:val="0"/>
            </w:pPr>
            <w:r>
              <w:t>以国家重点区域大气污染防治规划为指导，以化工园区（集中区）为重点区域，以石油炼制和石油化工、化学药品原药制造等为重点行业，以造成重复信访的挥发性有机物排放源为重点整治对象，开展挥发性有机物排放现状调查，推进重点领域污染治理，加快监控能力建设，全面完成加油站、储油库和油罐车油气回收治理，加快实施机动车国Ⅳ标准，推广使用低挥发性有机物排放的有机溶剂，加强污染控制研究，制定重点行业排放标准，积极削减生活源挥发性有机物排放，努力解决挥发性有机物排放造成的恶臭扰民问题。到“十二五”末，挥发性有机物污染防治能力全面提升，基本建成挥发性有机物污染防治管理的法规、标准和政策体系，完成重点区域大气污染防治规划指定任务，改善区域环境质量，推进我省生态文明建设。</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p>
        </w:tc>
        <w:tc>
          <w:tcPr>
            <w:tcW w:w="310" w:type="pc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249" w:type="pct"/>
            <w:vAlign w:val="center"/>
          </w:tcPr>
          <w:p>
            <w:pPr>
              <w:pStyle w:val="100"/>
              <w:widowControl w:val="0"/>
              <w:bidi w:val="0"/>
              <w:adjustRightInd w:val="0"/>
              <w:snapToGrid w:val="0"/>
            </w:pPr>
            <w:r>
              <w:rPr>
                <w:rFonts w:hint="eastAsia"/>
              </w:rPr>
              <w:t>5</w:t>
            </w:r>
          </w:p>
        </w:tc>
        <w:tc>
          <w:tcPr>
            <w:tcW w:w="975" w:type="pct"/>
            <w:vAlign w:val="center"/>
          </w:tcPr>
          <w:p>
            <w:pPr>
              <w:pStyle w:val="100"/>
              <w:widowControl w:val="0"/>
              <w:bidi w:val="0"/>
              <w:adjustRightInd w:val="0"/>
              <w:snapToGrid w:val="0"/>
            </w:pPr>
            <w:r>
              <w:t>《江苏省重点行业挥发性有机物污染控制指南》（苏环办〔2014〕128 号）</w:t>
            </w:r>
          </w:p>
        </w:tc>
        <w:tc>
          <w:tcPr>
            <w:tcW w:w="1985" w:type="pct"/>
            <w:vAlign w:val="center"/>
          </w:tcPr>
          <w:p>
            <w:pPr>
              <w:pStyle w:val="100"/>
              <w:widowControl w:val="0"/>
              <w:bidi w:val="0"/>
              <w:adjustRightInd w:val="0"/>
              <w:snapToGrid w:val="0"/>
            </w:pPr>
            <w:r>
              <w:t>总体要求（一）所有产生有机废气污染的企业，应优先采用环保型原辅料、生产工艺和装备，对相应生产单元或设施进行密闭，从源头控制VOCs 的生产，减少废气污染物排放。（二）鼓励对排放的VOCs 进行回收利用，并优先在生产系统内回用。对浓度、性状差异较大的废气应分类收集，并采用适宜的方式进行有效处理，确保VOCs 总去除率满足管理要求，其中有机化工、医药化工、橡胶和塑料制品（有溶剂浸胶工艺）、溶剂型涂料表面涂装、包装印刷业的VOCs 总收集、净化处理率均不低于90%。</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r>
              <w:t>。符合“优先采用环保型原辅料”的要求</w:t>
            </w:r>
          </w:p>
        </w:tc>
        <w:tc>
          <w:tcPr>
            <w:tcW w:w="310" w:type="pc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249" w:type="pct"/>
            <w:vAlign w:val="center"/>
          </w:tcPr>
          <w:p>
            <w:pPr>
              <w:pStyle w:val="100"/>
              <w:widowControl w:val="0"/>
              <w:bidi w:val="0"/>
              <w:adjustRightInd w:val="0"/>
              <w:snapToGrid w:val="0"/>
            </w:pPr>
            <w:r>
              <w:rPr>
                <w:rFonts w:hint="eastAsia"/>
              </w:rPr>
              <w:t>6</w:t>
            </w:r>
          </w:p>
        </w:tc>
        <w:tc>
          <w:tcPr>
            <w:tcW w:w="975" w:type="pct"/>
            <w:vAlign w:val="center"/>
          </w:tcPr>
          <w:p>
            <w:pPr>
              <w:pStyle w:val="100"/>
              <w:widowControl w:val="0"/>
              <w:bidi w:val="0"/>
              <w:adjustRightInd w:val="0"/>
              <w:snapToGrid w:val="0"/>
            </w:pPr>
            <w:r>
              <w:t>《大气污染物防治行动计划》（国发[2013]37号）</w:t>
            </w:r>
          </w:p>
        </w:tc>
        <w:tc>
          <w:tcPr>
            <w:tcW w:w="1985" w:type="pct"/>
            <w:vAlign w:val="center"/>
          </w:tcPr>
          <w:p>
            <w:pPr>
              <w:pStyle w:val="100"/>
              <w:widowControl w:val="0"/>
              <w:bidi w:val="0"/>
              <w:adjustRightInd w:val="0"/>
              <w:snapToGrid w:val="0"/>
            </w:pPr>
            <w:r>
              <w:t>推进挥发性有机物污染治理。在石化、有机化工、表面涂装、包装印刷等行业实施挥发性有机物综合整治，在石化行业开展“泄漏检测与修复”技术改造。限时完成加油站、储油库、油罐车的油气回收治理，在原油成品油码头积极开展油气回收治理。完善涂料、胶粘剂等产品挥发性有机物限值标准，推广使用水性涂料，鼓励生产、销售和使用低毒、低挥发性有机溶剂</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p>
        </w:tc>
        <w:tc>
          <w:tcPr>
            <w:tcW w:w="310" w:type="pc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64" w:hRule="atLeast"/>
          <w:jc w:val="center"/>
        </w:trPr>
        <w:tc>
          <w:tcPr>
            <w:tcW w:w="249" w:type="pct"/>
            <w:vMerge w:val="restart"/>
            <w:vAlign w:val="center"/>
          </w:tcPr>
          <w:p>
            <w:pPr>
              <w:pStyle w:val="100"/>
              <w:widowControl w:val="0"/>
              <w:bidi w:val="0"/>
              <w:adjustRightInd w:val="0"/>
              <w:snapToGrid w:val="0"/>
            </w:pPr>
            <w:r>
              <w:rPr>
                <w:rFonts w:hint="eastAsia"/>
              </w:rPr>
              <w:t>7</w:t>
            </w:r>
          </w:p>
        </w:tc>
        <w:tc>
          <w:tcPr>
            <w:tcW w:w="975" w:type="pct"/>
            <w:vMerge w:val="restart"/>
            <w:vAlign w:val="center"/>
          </w:tcPr>
          <w:p>
            <w:pPr>
              <w:pStyle w:val="100"/>
              <w:widowControl w:val="0"/>
              <w:bidi w:val="0"/>
              <w:adjustRightInd w:val="0"/>
              <w:snapToGrid w:val="0"/>
            </w:pPr>
            <w:r>
              <w:t>《江苏省挥发性有机物污染防治管理办法》（省政府令第119 号）</w:t>
            </w:r>
          </w:p>
        </w:tc>
        <w:tc>
          <w:tcPr>
            <w:tcW w:w="1985" w:type="pct"/>
            <w:vAlign w:val="center"/>
          </w:tcPr>
          <w:p>
            <w:pPr>
              <w:pStyle w:val="100"/>
              <w:widowControl w:val="0"/>
              <w:bidi w:val="0"/>
              <w:adjustRightInd w:val="0"/>
              <w:snapToGrid w:val="0"/>
            </w:pPr>
            <w:r>
              <w:t>新建、改建、扩建排放挥发性有机物的建设项目，应当依法进行环境影响评价</w:t>
            </w:r>
          </w:p>
        </w:tc>
        <w:tc>
          <w:tcPr>
            <w:tcW w:w="1479" w:type="pct"/>
            <w:vAlign w:val="center"/>
          </w:tcPr>
          <w:p>
            <w:pPr>
              <w:pStyle w:val="100"/>
              <w:widowControl w:val="0"/>
              <w:bidi w:val="0"/>
              <w:adjustRightInd w:val="0"/>
              <w:snapToGrid w:val="0"/>
            </w:pPr>
            <w:r>
              <w:t>本项目已经按照要求进行了环境影响评价</w:t>
            </w:r>
          </w:p>
        </w:tc>
        <w:tc>
          <w:tcPr>
            <w:tcW w:w="310" w:type="pct"/>
            <w:vMerge w:val="restar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49" w:type="pct"/>
            <w:vMerge w:val="continue"/>
            <w:vAlign w:val="center"/>
          </w:tcPr>
          <w:p>
            <w:pPr>
              <w:pStyle w:val="100"/>
              <w:widowControl w:val="0"/>
              <w:bidi w:val="0"/>
              <w:adjustRightInd w:val="0"/>
              <w:snapToGrid w:val="0"/>
            </w:pPr>
          </w:p>
        </w:tc>
        <w:tc>
          <w:tcPr>
            <w:tcW w:w="975" w:type="pct"/>
            <w:vMerge w:val="continue"/>
            <w:vAlign w:val="center"/>
          </w:tcPr>
          <w:p>
            <w:pPr>
              <w:pStyle w:val="100"/>
              <w:widowControl w:val="0"/>
              <w:bidi w:val="0"/>
              <w:adjustRightInd w:val="0"/>
              <w:snapToGrid w:val="0"/>
            </w:pPr>
          </w:p>
        </w:tc>
        <w:tc>
          <w:tcPr>
            <w:tcW w:w="1985" w:type="pct"/>
            <w:vAlign w:val="center"/>
          </w:tcPr>
          <w:p>
            <w:pPr>
              <w:pStyle w:val="100"/>
              <w:widowControl w:val="0"/>
              <w:bidi w:val="0"/>
              <w:adjustRightInd w:val="0"/>
              <w:snapToGrid w:val="0"/>
            </w:pPr>
            <w: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p>
        </w:tc>
        <w:tc>
          <w:tcPr>
            <w:tcW w:w="310"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49" w:type="pct"/>
            <w:vMerge w:val="continue"/>
            <w:vAlign w:val="center"/>
          </w:tcPr>
          <w:p>
            <w:pPr>
              <w:pStyle w:val="100"/>
              <w:widowControl w:val="0"/>
              <w:bidi w:val="0"/>
              <w:adjustRightInd w:val="0"/>
              <w:snapToGrid w:val="0"/>
            </w:pPr>
          </w:p>
        </w:tc>
        <w:tc>
          <w:tcPr>
            <w:tcW w:w="975" w:type="pct"/>
            <w:vMerge w:val="continue"/>
            <w:vAlign w:val="center"/>
          </w:tcPr>
          <w:p>
            <w:pPr>
              <w:pStyle w:val="100"/>
              <w:widowControl w:val="0"/>
              <w:bidi w:val="0"/>
              <w:adjustRightInd w:val="0"/>
              <w:snapToGrid w:val="0"/>
            </w:pPr>
          </w:p>
        </w:tc>
        <w:tc>
          <w:tcPr>
            <w:tcW w:w="1985" w:type="pct"/>
            <w:vAlign w:val="center"/>
          </w:tcPr>
          <w:p>
            <w:pPr>
              <w:pStyle w:val="100"/>
              <w:widowControl w:val="0"/>
              <w:bidi w:val="0"/>
              <w:adjustRightInd w:val="0"/>
              <w:snapToGrid w:val="0"/>
            </w:pPr>
            <w: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pPr>
              <w:pStyle w:val="100"/>
              <w:widowControl w:val="0"/>
              <w:bidi w:val="0"/>
              <w:adjustRightInd w:val="0"/>
              <w:snapToGrid w:val="0"/>
            </w:pPr>
            <w:r>
              <w:t>无法在密闭空间进行的生产经营活动应当采取有效措施，减少挥发性有机物排放量。</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w:t>
            </w:r>
            <w:r>
              <w:rPr>
                <w:rFonts w:hint="eastAsia"/>
              </w:rPr>
              <w:t>废气经处理后达标排放。</w:t>
            </w:r>
          </w:p>
        </w:tc>
        <w:tc>
          <w:tcPr>
            <w:tcW w:w="310"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 w:type="pct"/>
            <w:vMerge w:val="restart"/>
            <w:vAlign w:val="center"/>
          </w:tcPr>
          <w:p>
            <w:pPr>
              <w:pStyle w:val="100"/>
              <w:widowControl w:val="0"/>
              <w:bidi w:val="0"/>
              <w:adjustRightInd w:val="0"/>
              <w:snapToGrid w:val="0"/>
            </w:pPr>
            <w:r>
              <w:rPr>
                <w:rFonts w:hint="eastAsia"/>
              </w:rPr>
              <w:t>8</w:t>
            </w:r>
          </w:p>
        </w:tc>
        <w:tc>
          <w:tcPr>
            <w:tcW w:w="975" w:type="pct"/>
            <w:vMerge w:val="restart"/>
            <w:vAlign w:val="center"/>
          </w:tcPr>
          <w:p>
            <w:pPr>
              <w:pStyle w:val="100"/>
              <w:widowControl w:val="0"/>
              <w:bidi w:val="0"/>
              <w:adjustRightInd w:val="0"/>
              <w:snapToGrid w:val="0"/>
            </w:pPr>
            <w:r>
              <w:t>《挥发性有机物无组织排放控制标准》(GB37822-2019)</w:t>
            </w:r>
          </w:p>
        </w:tc>
        <w:tc>
          <w:tcPr>
            <w:tcW w:w="1985" w:type="pct"/>
            <w:vAlign w:val="center"/>
          </w:tcPr>
          <w:p>
            <w:pPr>
              <w:pStyle w:val="100"/>
              <w:widowControl w:val="0"/>
              <w:bidi w:val="0"/>
              <w:adjustRightInd w:val="0"/>
              <w:snapToGrid w:val="0"/>
            </w:pPr>
            <w:r>
              <w:t>企业应考虑生产工艺、操作方式、废气性质、处理方法等因素，对VOCs废气进行分类收集。</w:t>
            </w:r>
          </w:p>
        </w:tc>
        <w:tc>
          <w:tcPr>
            <w:tcW w:w="1479" w:type="pct"/>
            <w:vAlign w:val="center"/>
          </w:tcPr>
          <w:p>
            <w:pPr>
              <w:pStyle w:val="100"/>
              <w:widowControl w:val="0"/>
              <w:bidi w:val="0"/>
              <w:adjustRightInd w:val="0"/>
              <w:snapToGrid w:val="0"/>
            </w:pPr>
            <w:r>
              <w:rPr>
                <w:rFonts w:hint="eastAsia"/>
              </w:rPr>
              <w:t>本项目考虑产工艺、操作方式、废气性质、处理方法等因素对VOCs废气分类收集、达标排放。</w:t>
            </w:r>
          </w:p>
        </w:tc>
        <w:tc>
          <w:tcPr>
            <w:tcW w:w="310" w:type="pct"/>
            <w:vMerge w:val="restar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9" w:type="pct"/>
            <w:vMerge w:val="continue"/>
            <w:vAlign w:val="center"/>
          </w:tcPr>
          <w:p>
            <w:pPr>
              <w:pStyle w:val="100"/>
              <w:widowControl w:val="0"/>
              <w:bidi w:val="0"/>
              <w:adjustRightInd w:val="0"/>
              <w:snapToGrid w:val="0"/>
            </w:pPr>
          </w:p>
        </w:tc>
        <w:tc>
          <w:tcPr>
            <w:tcW w:w="975" w:type="pct"/>
            <w:vMerge w:val="continue"/>
            <w:vAlign w:val="center"/>
          </w:tcPr>
          <w:p>
            <w:pPr>
              <w:pStyle w:val="100"/>
              <w:widowControl w:val="0"/>
              <w:bidi w:val="0"/>
              <w:adjustRightInd w:val="0"/>
              <w:snapToGrid w:val="0"/>
            </w:pPr>
          </w:p>
        </w:tc>
        <w:tc>
          <w:tcPr>
            <w:tcW w:w="1985" w:type="pct"/>
            <w:vAlign w:val="center"/>
          </w:tcPr>
          <w:p>
            <w:pPr>
              <w:pStyle w:val="100"/>
              <w:widowControl w:val="0"/>
              <w:bidi w:val="0"/>
              <w:adjustRightInd w:val="0"/>
              <w:snapToGrid w:val="0"/>
            </w:pPr>
            <w:r>
              <w:t>收集的废气中NMHC初始排放速率N3kg/h时，应配置VOCs处理设施，处理效率不应低于80%；对于重点地区，收集的废气中NMHC初始排放速率N2kg/h时，应配置VOCs处理设施，处理效率不应低于80%；釆用的原辅材料符合国家有关低VOCs含暈:产品规定的除外。</w:t>
            </w:r>
          </w:p>
        </w:tc>
        <w:tc>
          <w:tcPr>
            <w:tcW w:w="1479" w:type="pct"/>
            <w:vAlign w:val="center"/>
          </w:tcPr>
          <w:p>
            <w:pPr>
              <w:pStyle w:val="100"/>
              <w:widowControl w:val="0"/>
              <w:bidi w:val="0"/>
              <w:adjustRightInd w:val="0"/>
              <w:snapToGrid w:val="0"/>
            </w:pPr>
            <w:r>
              <w:t>本项目为</w:t>
            </w:r>
            <w:r>
              <w:rPr>
                <w:rFonts w:hint="eastAsia"/>
              </w:rPr>
              <w:t>电子专用材料制造</w:t>
            </w:r>
            <w:r>
              <w:t>行业</w:t>
            </w:r>
            <w:r>
              <w:rPr>
                <w:rFonts w:hint="eastAsia"/>
              </w:rPr>
              <w:t>，本项目</w:t>
            </w:r>
            <w:r>
              <w:rPr>
                <w:rFonts w:hint="eastAsia"/>
                <w:lang w:val="en-US" w:eastAsia="zh-CN"/>
              </w:rPr>
              <w:t>使用低</w:t>
            </w:r>
            <w:r>
              <w:t>VOCs</w:t>
            </w:r>
            <w:r>
              <w:rPr>
                <w:rFonts w:hint="eastAsia"/>
                <w:lang w:val="en-US" w:eastAsia="zh-CN"/>
              </w:rPr>
              <w:t>的原料。废气治理设施收集率90%，处理效率90%，</w:t>
            </w:r>
            <w:r>
              <w:rPr>
                <w:rFonts w:hint="eastAsia"/>
              </w:rPr>
              <w:t>废气经处理后达标排放。</w:t>
            </w:r>
          </w:p>
        </w:tc>
        <w:tc>
          <w:tcPr>
            <w:tcW w:w="310"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249" w:type="pct"/>
            <w:vMerge w:val="continue"/>
            <w:vAlign w:val="center"/>
          </w:tcPr>
          <w:p>
            <w:pPr>
              <w:pStyle w:val="100"/>
              <w:widowControl w:val="0"/>
              <w:bidi w:val="0"/>
              <w:adjustRightInd w:val="0"/>
              <w:snapToGrid w:val="0"/>
            </w:pPr>
          </w:p>
        </w:tc>
        <w:tc>
          <w:tcPr>
            <w:tcW w:w="975" w:type="pct"/>
            <w:vMerge w:val="continue"/>
            <w:vAlign w:val="center"/>
          </w:tcPr>
          <w:p>
            <w:pPr>
              <w:pStyle w:val="100"/>
              <w:widowControl w:val="0"/>
              <w:bidi w:val="0"/>
              <w:adjustRightInd w:val="0"/>
              <w:snapToGrid w:val="0"/>
            </w:pPr>
          </w:p>
        </w:tc>
        <w:tc>
          <w:tcPr>
            <w:tcW w:w="1985" w:type="pct"/>
            <w:vAlign w:val="center"/>
          </w:tcPr>
          <w:p>
            <w:pPr>
              <w:pStyle w:val="100"/>
              <w:widowControl w:val="0"/>
              <w:bidi w:val="0"/>
              <w:adjustRightInd w:val="0"/>
              <w:snapToGrid w:val="0"/>
            </w:pPr>
            <w:r>
              <w:t>排气筒高度不低于15m （因安全考虑或有特殊工艺要求的除外），具体高度以及与周围建筑物的相对高度关系应根据环境影响评价文件确定。</w:t>
            </w:r>
          </w:p>
        </w:tc>
        <w:tc>
          <w:tcPr>
            <w:tcW w:w="1479" w:type="pct"/>
            <w:vAlign w:val="center"/>
          </w:tcPr>
          <w:p>
            <w:pPr>
              <w:pStyle w:val="100"/>
              <w:widowControl w:val="0"/>
              <w:bidi w:val="0"/>
              <w:adjustRightInd w:val="0"/>
              <w:snapToGrid w:val="0"/>
            </w:pPr>
            <w:r>
              <w:rPr>
                <w:rFonts w:hint="eastAsia"/>
              </w:rPr>
              <w:t>本项目废气排气筒</w:t>
            </w:r>
            <w:r>
              <w:rPr>
                <w:rFonts w:hint="eastAsia"/>
                <w:lang w:val="en-US" w:eastAsia="zh-CN"/>
              </w:rPr>
              <w:t>DA001</w:t>
            </w:r>
            <w:r>
              <w:rPr>
                <w:rFonts w:hint="eastAsia"/>
              </w:rPr>
              <w:t>高度不低于15m。</w:t>
            </w:r>
          </w:p>
        </w:tc>
        <w:tc>
          <w:tcPr>
            <w:tcW w:w="310" w:type="pct"/>
            <w:vMerge w:val="continue"/>
            <w:vAlign w:val="center"/>
          </w:tcPr>
          <w:p>
            <w:pPr>
              <w:pStyle w:val="100"/>
              <w:widowControl w:val="0"/>
              <w:bidi w:val="0"/>
              <w:adjustRightInd w:val="0"/>
              <w:snapToGrid w:val="0"/>
            </w:pPr>
          </w:p>
        </w:tc>
      </w:tr>
    </w:tbl>
    <w:p>
      <w:pPr>
        <w:pStyle w:val="105"/>
      </w:pPr>
      <w:r>
        <w:rPr>
          <w:rFonts w:hint="eastAsia"/>
        </w:rPr>
        <w:t>“两减六治三提升”专项行动实施方案相符性分析</w:t>
      </w:r>
    </w:p>
    <w:p>
      <w:pPr>
        <w:pStyle w:val="103"/>
        <w:bidi w:val="0"/>
      </w:pPr>
      <w:r>
        <w:rPr>
          <w:rFonts w:hint="eastAsia"/>
        </w:rPr>
        <w:t>本项目与《关于印发“两减六治三提升”专项行动方案的通知》（苏发</w:t>
      </w:r>
      <w:r>
        <w:t>[2016]47号）及《关于印发江苏省“两减六治三提升”专项行动实施方案的通知》（苏政办发[2017]30号）相符性分析见表</w:t>
      </w:r>
      <w:r>
        <w:rPr>
          <w:rFonts w:hint="eastAsia"/>
          <w:lang w:val="en-US" w:eastAsia="zh-CN"/>
        </w:rPr>
        <w:t>1-23</w:t>
      </w:r>
      <w:r>
        <w:t>。</w:t>
      </w:r>
    </w:p>
    <w:p>
      <w:pPr>
        <w:pStyle w:val="273"/>
        <w:bidi w:val="0"/>
        <w:rPr>
          <w:rFonts w:hint="eastAsia"/>
          <w:lang w:val="en-US" w:eastAsia="zh-CN"/>
        </w:rPr>
      </w:pPr>
      <w:r>
        <w:rPr>
          <w:rFonts w:hint="eastAsia"/>
          <w:lang w:val="en-US" w:eastAsia="zh-CN"/>
        </w:rPr>
        <w:t>表1-23  与“两减六治三提升”要求的相符性</w:t>
      </w:r>
    </w:p>
    <w:tbl>
      <w:tblPr>
        <w:tblStyle w:val="26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120"/>
        <w:gridCol w:w="2266"/>
        <w:gridCol w:w="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blHeader/>
          <w:jc w:val="center"/>
        </w:trPr>
        <w:tc>
          <w:tcPr>
            <w:tcW w:w="190" w:type="pct"/>
            <w:vAlign w:val="center"/>
          </w:tcPr>
          <w:p>
            <w:pPr>
              <w:pStyle w:val="100"/>
              <w:widowControl w:val="0"/>
              <w:bidi w:val="0"/>
              <w:adjustRightInd w:val="0"/>
              <w:snapToGrid w:val="0"/>
            </w:pPr>
            <w:r>
              <w:rPr>
                <w:rFonts w:hint="eastAsia"/>
              </w:rPr>
              <w:t>序号</w:t>
            </w:r>
          </w:p>
        </w:tc>
        <w:tc>
          <w:tcPr>
            <w:tcW w:w="3023" w:type="pct"/>
            <w:vAlign w:val="center"/>
          </w:tcPr>
          <w:p>
            <w:pPr>
              <w:pStyle w:val="100"/>
              <w:widowControl w:val="0"/>
              <w:bidi w:val="0"/>
              <w:adjustRightInd w:val="0"/>
              <w:snapToGrid w:val="0"/>
            </w:pPr>
            <w:r>
              <w:rPr>
                <w:rFonts w:hint="eastAsia"/>
              </w:rPr>
              <w:t>要求</w:t>
            </w:r>
          </w:p>
        </w:tc>
        <w:tc>
          <w:tcPr>
            <w:tcW w:w="1349" w:type="pct"/>
            <w:vAlign w:val="center"/>
          </w:tcPr>
          <w:p>
            <w:pPr>
              <w:pStyle w:val="100"/>
              <w:widowControl w:val="0"/>
              <w:bidi w:val="0"/>
              <w:adjustRightInd w:val="0"/>
              <w:snapToGrid w:val="0"/>
            </w:pPr>
            <w:r>
              <w:rPr>
                <w:rFonts w:hint="eastAsia"/>
              </w:rPr>
              <w:t>相符性分析</w:t>
            </w:r>
          </w:p>
        </w:tc>
        <w:tc>
          <w:tcPr>
            <w:tcW w:w="437" w:type="pct"/>
            <w:vAlign w:val="center"/>
          </w:tcPr>
          <w:p>
            <w:pPr>
              <w:pStyle w:val="100"/>
              <w:widowControl w:val="0"/>
              <w:bidi w:val="0"/>
              <w:adjustRightInd w:val="0"/>
              <w:snapToGrid w:val="0"/>
            </w:pPr>
            <w:r>
              <w:rPr>
                <w:rFonts w:hint="eastAsia"/>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90" w:type="pct"/>
            <w:vAlign w:val="center"/>
          </w:tcPr>
          <w:p>
            <w:pPr>
              <w:pStyle w:val="100"/>
              <w:widowControl w:val="0"/>
              <w:bidi w:val="0"/>
              <w:adjustRightInd w:val="0"/>
              <w:snapToGrid w:val="0"/>
            </w:pPr>
            <w:r>
              <w:rPr>
                <w:rFonts w:hint="eastAsia"/>
              </w:rPr>
              <w:t>1</w:t>
            </w:r>
          </w:p>
        </w:tc>
        <w:tc>
          <w:tcPr>
            <w:tcW w:w="3023" w:type="pct"/>
            <w:vAlign w:val="center"/>
          </w:tcPr>
          <w:p>
            <w:pPr>
              <w:pStyle w:val="100"/>
              <w:widowControl w:val="0"/>
              <w:bidi w:val="0"/>
              <w:adjustRightInd w:val="0"/>
              <w:snapToGrid w:val="0"/>
            </w:pPr>
            <w:r>
              <w:rPr>
                <w:rFonts w:hint="eastAsia"/>
              </w:rPr>
              <w:t>推进重点工业行业</w:t>
            </w:r>
            <w:r>
              <w:t>VOCs 治</w:t>
            </w:r>
            <w:r>
              <w:rPr>
                <w:rFonts w:hint="eastAsia"/>
              </w:rPr>
              <w:t>理除工艺有特殊要求外禁止露天和敞开式喷涂作业，加强有机废气分类收集与处理，对喷漆、流平、烘干等环节产生的废气，采取焚烧等高效末端治理技术。</w:t>
            </w:r>
          </w:p>
        </w:tc>
        <w:tc>
          <w:tcPr>
            <w:tcW w:w="1349" w:type="pct"/>
            <w:vAlign w:val="center"/>
          </w:tcPr>
          <w:p>
            <w:pPr>
              <w:pStyle w:val="100"/>
              <w:widowControl w:val="0"/>
              <w:bidi w:val="0"/>
              <w:adjustRightInd w:val="0"/>
              <w:snapToGrid w:val="0"/>
            </w:pPr>
            <w:r>
              <w:rPr>
                <w:rFonts w:hint="eastAsia"/>
              </w:rPr>
              <w:t>本项目印刷在密闭印刷室内进行，产生的有机废气，采取了</w:t>
            </w:r>
            <w:r>
              <w:rPr>
                <w:rFonts w:hint="eastAsia"/>
                <w:lang w:eastAsia="zh-CN"/>
              </w:rPr>
              <w:t>“</w:t>
            </w:r>
            <w:r>
              <w:rPr>
                <w:rFonts w:hint="eastAsia"/>
                <w:lang w:val="en-US" w:eastAsia="zh-CN"/>
              </w:rPr>
              <w:t>UV光氧催化+</w:t>
            </w:r>
            <w:r>
              <w:rPr>
                <w:rFonts w:hint="eastAsia"/>
              </w:rPr>
              <w:t>二级活性炭吸附</w:t>
            </w:r>
            <w:r>
              <w:rPr>
                <w:rFonts w:hint="eastAsia"/>
                <w:lang w:eastAsia="zh-CN"/>
              </w:rPr>
              <w:t>”</w:t>
            </w:r>
            <w:r>
              <w:rPr>
                <w:rFonts w:hint="eastAsia"/>
              </w:rPr>
              <w:t>处理措施，尾气达标排放。</w:t>
            </w:r>
          </w:p>
        </w:tc>
        <w:tc>
          <w:tcPr>
            <w:tcW w:w="437" w:type="pct"/>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90" w:type="pct"/>
            <w:vAlign w:val="center"/>
          </w:tcPr>
          <w:p>
            <w:pPr>
              <w:pStyle w:val="100"/>
              <w:widowControl w:val="0"/>
              <w:bidi w:val="0"/>
              <w:adjustRightInd w:val="0"/>
              <w:snapToGrid w:val="0"/>
            </w:pPr>
            <w:r>
              <w:rPr>
                <w:rFonts w:hint="eastAsia"/>
              </w:rPr>
              <w:t>2</w:t>
            </w:r>
          </w:p>
        </w:tc>
        <w:tc>
          <w:tcPr>
            <w:tcW w:w="3023" w:type="pct"/>
            <w:vAlign w:val="center"/>
          </w:tcPr>
          <w:p>
            <w:pPr>
              <w:pStyle w:val="100"/>
              <w:widowControl w:val="0"/>
              <w:bidi w:val="0"/>
              <w:adjustRightInd w:val="0"/>
              <w:snapToGrid w:val="0"/>
            </w:pPr>
            <w:r>
              <w:rPr>
                <w:rFonts w:hint="eastAsia"/>
              </w:rPr>
              <w:t>强制重点行业清洁原料替代：2017年底前，包装印刷、集装箱、交通工具、机械设备、人造板、家具、船舶制造等行业，全面使用低VOCs含量的涂料、胶黏剂、清洗剂、油墨替代原有的有机溶剂。集装箱制造行业在整箱抛（喷）砂、箱内外涂装、底架涂装和木地板涂装等工序全面使用水性等低VOCs含量涂料替代。交通工具制造行业使用高固体分、水性、粉末、无溶剂型等低VOCs含量涂料替代。家具制造行业使用水性、紫外光固化、高固体分等低VOCs含量涂料替代溶剂型涂料。机械设备、钢结构制造行业使用高固体分等低VOCs含量涂料替代。包装印刷行业使用水性、醇溶性、大豆基、紫外光固化等低VOCs含量的油墨替代。人造板制造行业使用低（无）VOCs含量的胶黏剂替代。</w:t>
            </w:r>
          </w:p>
        </w:tc>
        <w:tc>
          <w:tcPr>
            <w:tcW w:w="1349" w:type="pct"/>
            <w:vAlign w:val="center"/>
          </w:tcPr>
          <w:p>
            <w:pPr>
              <w:pStyle w:val="100"/>
              <w:widowControl w:val="0"/>
              <w:bidi w:val="0"/>
              <w:adjustRightInd w:val="0"/>
              <w:snapToGrid w:val="0"/>
            </w:pPr>
            <w:r>
              <w:rPr>
                <w:rFonts w:hint="eastAsia"/>
              </w:rPr>
              <w:t>本项目属于电子专用材料制造，本项目生产过程中使用水性油墨、水性胶等低VOCs原辅材料。不涉及高VOCs含量的涂料、胶黏剂、清洗剂、油墨。根据《胶粘剂挥发性有机化合物限量》（GB33372-2020）判断，本项目水性胶属于表3热塑类低VOC型胶粘剂。</w:t>
            </w:r>
          </w:p>
        </w:tc>
        <w:tc>
          <w:tcPr>
            <w:tcW w:w="437" w:type="pct"/>
            <w:vAlign w:val="center"/>
          </w:tcPr>
          <w:p>
            <w:pPr>
              <w:pStyle w:val="100"/>
              <w:widowControl w:val="0"/>
              <w:bidi w:val="0"/>
              <w:adjustRightInd w:val="0"/>
              <w:snapToGrid w:val="0"/>
            </w:pPr>
            <w:r>
              <w:rPr>
                <w:rFonts w:hint="eastAsia"/>
              </w:rPr>
              <w:t>符合</w:t>
            </w:r>
          </w:p>
        </w:tc>
      </w:tr>
    </w:tbl>
    <w:p>
      <w:pPr>
        <w:pStyle w:val="105"/>
      </w:pPr>
      <w:r>
        <w:rPr>
          <w:rFonts w:hint="eastAsia"/>
        </w:rPr>
        <w:t>《苏州市空气质量改善达标规划（</w:t>
      </w:r>
      <w:r>
        <w:t>2019-2024 年）》相符性分析</w:t>
      </w:r>
    </w:p>
    <w:p>
      <w:pPr>
        <w:pStyle w:val="103"/>
        <w:bidi w:val="0"/>
      </w:pPr>
      <w:r>
        <w:t>根据《苏州市空气质量改善达标规划（2019-2024）》，苏州市以到 2020 年空气质量优良天数比率达到75%为近期目标，以到2024年环境空气质量实现全面达标为远期目标，通过调整能源结构，控制煤炭消费总量；调整产业结构，减少污染物排放；推进工业领域全行业、全要素达标排放；加强交通行业大气污染防治；严格控制扬尘污染；加强服务业和生活污染防治；推进农业污染防治；加强重污染天气应对等措施，提升大气污染防控能力。本项目生产过程所用能源为电能；</w:t>
      </w:r>
      <w:r>
        <w:rPr>
          <w:rFonts w:hint="eastAsia"/>
          <w:lang w:val="en-US" w:eastAsia="zh-CN"/>
        </w:rPr>
        <w:t>印刷</w:t>
      </w:r>
      <w:r>
        <w:t>产生的有机废气经集气罩收集（收集效率90%）至</w:t>
      </w:r>
      <w:r>
        <w:rPr>
          <w:rFonts w:hint="eastAsia"/>
          <w:lang w:eastAsia="zh-CN"/>
        </w:rPr>
        <w:t>“</w:t>
      </w:r>
      <w:r>
        <w:rPr>
          <w:rFonts w:hint="eastAsia"/>
          <w:lang w:val="en-US" w:eastAsia="zh-CN"/>
        </w:rPr>
        <w:t>二级活性炭</w:t>
      </w:r>
      <w:r>
        <w:rPr>
          <w:rFonts w:hint="eastAsia"/>
          <w:lang w:eastAsia="zh-CN"/>
        </w:rPr>
        <w:t>”</w:t>
      </w:r>
      <w:r>
        <w:rPr>
          <w:rFonts w:hint="eastAsia"/>
          <w:lang w:val="en-US" w:eastAsia="zh-CN"/>
        </w:rPr>
        <w:t>装置</w:t>
      </w:r>
      <w:r>
        <w:t>处理后通过15米高排气筒</w:t>
      </w:r>
      <w:r>
        <w:rPr>
          <w:rFonts w:hint="eastAsia"/>
          <w:lang w:val="en-US" w:eastAsia="zh-CN"/>
        </w:rPr>
        <w:t>DA001</w:t>
      </w:r>
      <w:r>
        <w:t>达标排放。因此，本项目的建设符合《苏州市空气质量改善达标规划（2019-2024）》的要求。本项目采取的措施能满足区域环境质量改善目标管理的要求。</w:t>
      </w:r>
    </w:p>
    <w:p>
      <w:pPr>
        <w:pStyle w:val="105"/>
      </w:pPr>
      <w:r>
        <w:rPr>
          <w:rFonts w:hint="eastAsia"/>
        </w:rPr>
        <w:t>“三线一单”相符性</w:t>
      </w:r>
    </w:p>
    <w:p>
      <w:pPr>
        <w:pStyle w:val="103"/>
        <w:bidi w:val="0"/>
      </w:pPr>
      <w:r>
        <w:t>“三线一单”，即落实“生态保护红线、环境质量底线、资源利用上线和环境准入负面清单”约束。</w:t>
      </w:r>
    </w:p>
    <w:p>
      <w:pPr>
        <w:pStyle w:val="103"/>
        <w:bidi w:val="0"/>
      </w:pPr>
      <w:r>
        <w:rPr>
          <w:rFonts w:hint="eastAsia"/>
        </w:rPr>
        <w:t>1、</w:t>
      </w:r>
      <w:r>
        <w:t>与生态红线区域保护规划的相符性</w:t>
      </w:r>
    </w:p>
    <w:p>
      <w:pPr>
        <w:pStyle w:val="103"/>
        <w:bidi w:val="0"/>
      </w:pPr>
      <w:r>
        <w:t>根据《江苏省生态空间管控区域规划》（苏政发[2020]1号）、《江苏省国家级生态保护红线规划》，距离最近的</w:t>
      </w:r>
      <w:r>
        <w:rPr>
          <w:rFonts w:hint="eastAsia"/>
        </w:rPr>
        <w:t>生态空间保护区域</w:t>
      </w:r>
      <w:r>
        <w:t>为</w:t>
      </w:r>
      <w:r>
        <w:rPr>
          <w:rFonts w:hint="eastAsia"/>
        </w:rPr>
        <w:t>南面约3.6km</w:t>
      </w:r>
      <w:r>
        <w:t>处的</w:t>
      </w:r>
      <w:r>
        <w:rPr>
          <w:rFonts w:hint="eastAsia"/>
        </w:rPr>
        <w:t>同里风景名胜区</w:t>
      </w:r>
      <w:r>
        <w:t>，生态红线区域名录见表</w:t>
      </w:r>
      <w:r>
        <w:rPr>
          <w:rFonts w:hint="eastAsia"/>
          <w:lang w:val="en-US" w:eastAsia="zh-CN"/>
        </w:rPr>
        <w:t>1-24</w:t>
      </w:r>
      <w:r>
        <w:t>。</w:t>
      </w:r>
    </w:p>
    <w:p>
      <w:pPr>
        <w:pStyle w:val="103"/>
        <w:bidi w:val="0"/>
      </w:pPr>
      <w:r>
        <w:t>因此本项目的建设符合《江苏省生态空间管控区域规划》、《江苏省国家级生态保护红线规划》的相关要求。</w:t>
      </w:r>
    </w:p>
    <w:p>
      <w:pPr>
        <w:pStyle w:val="273"/>
        <w:bidi w:val="0"/>
        <w:rPr>
          <w:rFonts w:hint="eastAsia"/>
          <w:lang w:val="en-US" w:eastAsia="zh-CN"/>
        </w:rPr>
      </w:pPr>
      <w:r>
        <w:rPr>
          <w:rFonts w:hint="eastAsia"/>
          <w:lang w:val="en-US" w:eastAsia="zh-CN"/>
        </w:rPr>
        <w:t>表1-24  生态空间管控区域名录</w:t>
      </w:r>
    </w:p>
    <w:tbl>
      <w:tblPr>
        <w:tblStyle w:val="260"/>
        <w:tblW w:w="50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972"/>
        <w:gridCol w:w="1115"/>
        <w:gridCol w:w="1262"/>
        <w:gridCol w:w="1117"/>
        <w:gridCol w:w="1267"/>
        <w:gridCol w:w="1051"/>
        <w:gridCol w:w="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496" w:type="pct"/>
            <w:vMerge w:val="restart"/>
            <w:vAlign w:val="center"/>
          </w:tcPr>
          <w:p>
            <w:pPr>
              <w:pStyle w:val="100"/>
              <w:widowControl w:val="0"/>
              <w:bidi w:val="0"/>
              <w:adjustRightInd w:val="0"/>
              <w:snapToGrid w:val="0"/>
            </w:pPr>
            <w:r>
              <w:rPr>
                <w:rFonts w:hint="eastAsia"/>
              </w:rPr>
              <w:t>生态空间保护区域名称</w:t>
            </w:r>
          </w:p>
        </w:tc>
        <w:tc>
          <w:tcPr>
            <w:tcW w:w="569" w:type="pct"/>
            <w:vMerge w:val="restart"/>
            <w:vAlign w:val="center"/>
          </w:tcPr>
          <w:p>
            <w:pPr>
              <w:pStyle w:val="100"/>
              <w:widowControl w:val="0"/>
              <w:bidi w:val="0"/>
              <w:adjustRightInd w:val="0"/>
              <w:snapToGrid w:val="0"/>
            </w:pPr>
            <w:r>
              <w:t>主导生态功能</w:t>
            </w:r>
          </w:p>
        </w:tc>
        <w:tc>
          <w:tcPr>
            <w:tcW w:w="1392" w:type="pct"/>
            <w:gridSpan w:val="2"/>
            <w:vAlign w:val="center"/>
          </w:tcPr>
          <w:p>
            <w:pPr>
              <w:pStyle w:val="100"/>
              <w:widowControl w:val="0"/>
              <w:bidi w:val="0"/>
              <w:adjustRightInd w:val="0"/>
              <w:snapToGrid w:val="0"/>
            </w:pPr>
            <w:r>
              <w:rPr>
                <w:rFonts w:hint="eastAsia"/>
              </w:rPr>
              <w:t>范围</w:t>
            </w:r>
          </w:p>
        </w:tc>
        <w:tc>
          <w:tcPr>
            <w:tcW w:w="2011" w:type="pct"/>
            <w:gridSpan w:val="3"/>
            <w:vAlign w:val="center"/>
          </w:tcPr>
          <w:p>
            <w:pPr>
              <w:pStyle w:val="100"/>
              <w:widowControl w:val="0"/>
              <w:bidi w:val="0"/>
              <w:adjustRightInd w:val="0"/>
              <w:snapToGrid w:val="0"/>
            </w:pPr>
            <w:r>
              <w:t>面积（平方公里）</w:t>
            </w:r>
          </w:p>
        </w:tc>
        <w:tc>
          <w:tcPr>
            <w:tcW w:w="530" w:type="pct"/>
            <w:vMerge w:val="restart"/>
            <w:vAlign w:val="center"/>
          </w:tcPr>
          <w:p>
            <w:pPr>
              <w:pStyle w:val="100"/>
              <w:widowControl w:val="0"/>
              <w:bidi w:val="0"/>
              <w:adjustRightInd w:val="0"/>
              <w:snapToGrid w:val="0"/>
            </w:pPr>
            <w:r>
              <w:rPr>
                <w:rFonts w:hint="eastAsia"/>
              </w:rPr>
              <w:t>与本项目最近距离（km）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496" w:type="pct"/>
            <w:vMerge w:val="continue"/>
            <w:vAlign w:val="center"/>
          </w:tcPr>
          <w:p>
            <w:pPr>
              <w:pStyle w:val="100"/>
              <w:widowControl w:val="0"/>
              <w:bidi w:val="0"/>
              <w:adjustRightInd w:val="0"/>
              <w:snapToGrid w:val="0"/>
            </w:pPr>
          </w:p>
        </w:tc>
        <w:tc>
          <w:tcPr>
            <w:tcW w:w="569" w:type="pct"/>
            <w:vMerge w:val="continue"/>
            <w:vAlign w:val="center"/>
          </w:tcPr>
          <w:p>
            <w:pPr>
              <w:pStyle w:val="100"/>
              <w:widowControl w:val="0"/>
              <w:bidi w:val="0"/>
              <w:adjustRightInd w:val="0"/>
              <w:snapToGrid w:val="0"/>
            </w:pPr>
          </w:p>
        </w:tc>
        <w:tc>
          <w:tcPr>
            <w:tcW w:w="653" w:type="pct"/>
            <w:vAlign w:val="center"/>
          </w:tcPr>
          <w:p>
            <w:pPr>
              <w:pStyle w:val="100"/>
              <w:widowControl w:val="0"/>
              <w:bidi w:val="0"/>
              <w:adjustRightInd w:val="0"/>
              <w:snapToGrid w:val="0"/>
            </w:pPr>
            <w:r>
              <w:rPr>
                <w:rFonts w:hint="eastAsia"/>
              </w:rPr>
              <w:t>国家级生态保护红线范围</w:t>
            </w:r>
          </w:p>
        </w:tc>
        <w:tc>
          <w:tcPr>
            <w:tcW w:w="738" w:type="pct"/>
            <w:vAlign w:val="center"/>
          </w:tcPr>
          <w:p>
            <w:pPr>
              <w:pStyle w:val="100"/>
              <w:widowControl w:val="0"/>
              <w:bidi w:val="0"/>
              <w:adjustRightInd w:val="0"/>
              <w:snapToGrid w:val="0"/>
            </w:pPr>
            <w:r>
              <w:rPr>
                <w:rFonts w:hint="eastAsia"/>
              </w:rPr>
              <w:t>生态空间管控区域范围</w:t>
            </w:r>
          </w:p>
        </w:tc>
        <w:tc>
          <w:tcPr>
            <w:tcW w:w="654" w:type="pct"/>
            <w:vAlign w:val="center"/>
          </w:tcPr>
          <w:p>
            <w:pPr>
              <w:pStyle w:val="100"/>
              <w:widowControl w:val="0"/>
              <w:bidi w:val="0"/>
              <w:adjustRightInd w:val="0"/>
              <w:snapToGrid w:val="0"/>
            </w:pPr>
            <w:r>
              <w:rPr>
                <w:rFonts w:hint="eastAsia"/>
              </w:rPr>
              <w:t>国家级生态保护红线面积</w:t>
            </w:r>
          </w:p>
        </w:tc>
        <w:tc>
          <w:tcPr>
            <w:tcW w:w="742" w:type="pct"/>
            <w:vAlign w:val="center"/>
          </w:tcPr>
          <w:p>
            <w:pPr>
              <w:pStyle w:val="100"/>
              <w:widowControl w:val="0"/>
              <w:bidi w:val="0"/>
              <w:adjustRightInd w:val="0"/>
              <w:snapToGrid w:val="0"/>
            </w:pPr>
            <w:r>
              <w:rPr>
                <w:rFonts w:hint="eastAsia"/>
              </w:rPr>
              <w:t>生态空间管控区域面积</w:t>
            </w:r>
          </w:p>
        </w:tc>
        <w:tc>
          <w:tcPr>
            <w:tcW w:w="614" w:type="pct"/>
            <w:vAlign w:val="center"/>
          </w:tcPr>
          <w:p>
            <w:pPr>
              <w:pStyle w:val="100"/>
              <w:widowControl w:val="0"/>
              <w:bidi w:val="0"/>
              <w:adjustRightInd w:val="0"/>
              <w:snapToGrid w:val="0"/>
            </w:pPr>
            <w:r>
              <w:rPr>
                <w:rFonts w:hint="eastAsia"/>
              </w:rPr>
              <w:t>总面积</w:t>
            </w:r>
          </w:p>
        </w:tc>
        <w:tc>
          <w:tcPr>
            <w:tcW w:w="530"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496" w:type="pct"/>
            <w:vAlign w:val="center"/>
          </w:tcPr>
          <w:p>
            <w:pPr>
              <w:pStyle w:val="100"/>
              <w:widowControl w:val="0"/>
              <w:bidi w:val="0"/>
              <w:adjustRightInd w:val="0"/>
              <w:snapToGrid w:val="0"/>
              <w:rPr>
                <w:rFonts w:hint="default"/>
                <w:lang w:val="en-US" w:eastAsia="zh-CN"/>
              </w:rPr>
            </w:pPr>
            <w:r>
              <w:rPr>
                <w:rFonts w:hint="eastAsia"/>
                <w:lang w:val="en-US" w:eastAsia="zh-CN"/>
              </w:rPr>
              <w:t>太湖国家级风景名胜区同里（吴江区、吴中区）景区</w:t>
            </w:r>
          </w:p>
        </w:tc>
        <w:tc>
          <w:tcPr>
            <w:tcW w:w="569" w:type="pct"/>
            <w:vAlign w:val="center"/>
          </w:tcPr>
          <w:p>
            <w:pPr>
              <w:pStyle w:val="100"/>
              <w:widowControl w:val="0"/>
              <w:bidi w:val="0"/>
              <w:adjustRightInd w:val="0"/>
              <w:snapToGrid w:val="0"/>
            </w:pPr>
            <w:r>
              <w:rPr>
                <w:rFonts w:hint="eastAsia"/>
              </w:rPr>
              <w:t>自然与人文景观保护</w:t>
            </w:r>
          </w:p>
        </w:tc>
        <w:tc>
          <w:tcPr>
            <w:tcW w:w="653" w:type="pct"/>
            <w:vAlign w:val="center"/>
          </w:tcPr>
          <w:p>
            <w:pPr>
              <w:pStyle w:val="100"/>
              <w:widowControl w:val="0"/>
              <w:bidi w:val="0"/>
              <w:adjustRightInd w:val="0"/>
              <w:snapToGrid w:val="0"/>
            </w:pPr>
            <w:r>
              <w:t>-</w:t>
            </w:r>
          </w:p>
        </w:tc>
        <w:tc>
          <w:tcPr>
            <w:tcW w:w="738" w:type="pct"/>
            <w:vAlign w:val="center"/>
          </w:tcPr>
          <w:p>
            <w:pPr>
              <w:pStyle w:val="100"/>
              <w:widowControl w:val="0"/>
              <w:bidi w:val="0"/>
              <w:adjustRightInd w:val="0"/>
              <w:snapToGrid w:val="0"/>
            </w:pPr>
            <w:r>
              <w:rPr>
                <w:rFonts w:hint="eastAsia"/>
              </w:rPr>
              <w:t>东面以苏同黎公路、屯浦塘为界，南面以松厍公路为界，西面以云梨路、上元港、大庙路、未名一路为界，北面以未名三路、洋湖西侧200米、洋湖北侧为界</w:t>
            </w:r>
          </w:p>
        </w:tc>
        <w:tc>
          <w:tcPr>
            <w:tcW w:w="654" w:type="pct"/>
            <w:vAlign w:val="center"/>
          </w:tcPr>
          <w:p>
            <w:pPr>
              <w:pStyle w:val="100"/>
              <w:widowControl w:val="0"/>
              <w:bidi w:val="0"/>
              <w:adjustRightInd w:val="0"/>
              <w:snapToGrid w:val="0"/>
            </w:pPr>
            <w:r>
              <w:t>0</w:t>
            </w:r>
          </w:p>
        </w:tc>
        <w:tc>
          <w:tcPr>
            <w:tcW w:w="742" w:type="pct"/>
            <w:vAlign w:val="center"/>
          </w:tcPr>
          <w:p>
            <w:pPr>
              <w:pStyle w:val="100"/>
              <w:widowControl w:val="0"/>
              <w:bidi w:val="0"/>
              <w:adjustRightInd w:val="0"/>
              <w:snapToGrid w:val="0"/>
              <w:rPr>
                <w:rFonts w:hint="default"/>
                <w:lang w:val="en-US" w:eastAsia="zh-CN"/>
              </w:rPr>
            </w:pPr>
            <w:r>
              <w:rPr>
                <w:rFonts w:hint="eastAsia"/>
                <w:lang w:val="en-US" w:eastAsia="zh-CN"/>
              </w:rPr>
              <w:t>18.96</w:t>
            </w:r>
          </w:p>
        </w:tc>
        <w:tc>
          <w:tcPr>
            <w:tcW w:w="614" w:type="pct"/>
            <w:vAlign w:val="center"/>
          </w:tcPr>
          <w:p>
            <w:pPr>
              <w:pStyle w:val="100"/>
              <w:widowControl w:val="0"/>
              <w:bidi w:val="0"/>
              <w:adjustRightInd w:val="0"/>
              <w:snapToGrid w:val="0"/>
              <w:rPr>
                <w:rFonts w:hint="default"/>
                <w:lang w:val="en-US" w:eastAsia="zh-CN"/>
              </w:rPr>
            </w:pPr>
            <w:r>
              <w:rPr>
                <w:rFonts w:hint="eastAsia"/>
                <w:lang w:val="en-US" w:eastAsia="zh-CN"/>
              </w:rPr>
              <w:t>18.96</w:t>
            </w:r>
          </w:p>
        </w:tc>
        <w:tc>
          <w:tcPr>
            <w:tcW w:w="530" w:type="pct"/>
            <w:vAlign w:val="center"/>
          </w:tcPr>
          <w:p>
            <w:pPr>
              <w:pStyle w:val="100"/>
              <w:widowControl w:val="0"/>
              <w:bidi w:val="0"/>
              <w:adjustRightInd w:val="0"/>
              <w:snapToGrid w:val="0"/>
            </w:pPr>
            <w:r>
              <w:rPr>
                <w:rFonts w:hint="eastAsia"/>
              </w:rPr>
              <w:t>3.6</w:t>
            </w:r>
          </w:p>
        </w:tc>
      </w:tr>
    </w:tbl>
    <w:p>
      <w:pPr>
        <w:pStyle w:val="103"/>
      </w:pPr>
      <w:r>
        <w:rPr>
          <w:rFonts w:hint="eastAsia"/>
        </w:rPr>
        <w:t>2、</w:t>
      </w:r>
      <w:r>
        <w:t>环境质量底线相符性</w:t>
      </w:r>
    </w:p>
    <w:p>
      <w:pPr>
        <w:pStyle w:val="103"/>
        <w:bidi w:val="0"/>
      </w:pPr>
      <w:r>
        <w:rPr>
          <w:rFonts w:hint="eastAsia"/>
        </w:rPr>
        <w:t>（1）环境空气</w:t>
      </w:r>
    </w:p>
    <w:p>
      <w:pPr>
        <w:pStyle w:val="103"/>
        <w:bidi w:val="0"/>
      </w:pPr>
      <w:r>
        <w:t>根据《2019 年度苏州市生态环境状况公报》，苏州市PM2.5、O3超标，因此判定为不达标区。根据《苏州市空气质量改善达标规划（2019-2024 年）》的远期目标以及近期主要大气污染防治任务，到2024年，通过完成全要素深度控制，可完成重点行业低VOCs含量原辅料替代目标，实现除臭氧以外的主要大气污染物全面达标，臭氧浓度不再上升的总体目标；且本项目</w:t>
      </w:r>
      <w:r>
        <w:rPr>
          <w:rFonts w:hint="eastAsia"/>
          <w:lang w:val="en-US" w:eastAsia="zh-CN"/>
        </w:rPr>
        <w:t>印刷、烘干</w:t>
      </w:r>
      <w:r>
        <w:t>过程中产生的非甲烷总烃经“</w:t>
      </w:r>
      <w:r>
        <w:rPr>
          <w:rFonts w:hint="eastAsia"/>
          <w:lang w:val="en-US" w:eastAsia="zh-CN"/>
        </w:rPr>
        <w:t>二级活性炭</w:t>
      </w:r>
      <w:r>
        <w:t>”处理后达标排放</w:t>
      </w:r>
      <w:r>
        <w:rPr>
          <w:rFonts w:hint="eastAsia"/>
          <w:lang w:eastAsia="zh-CN"/>
        </w:rPr>
        <w:t>，</w:t>
      </w:r>
      <w:r>
        <w:t>未收集的部分在加强通风的情况下，对周围大气环境影响不大。本项目采取的措施能满足区域环境质量改善目标管理。</w:t>
      </w:r>
    </w:p>
    <w:p>
      <w:pPr>
        <w:pStyle w:val="103"/>
        <w:bidi w:val="0"/>
      </w:pPr>
      <w:r>
        <w:rPr>
          <w:rFonts w:hint="eastAsia"/>
        </w:rPr>
        <w:t>（2）地表水</w:t>
      </w:r>
    </w:p>
    <w:p>
      <w:pPr>
        <w:pStyle w:val="103"/>
        <w:bidi w:val="0"/>
      </w:pPr>
      <w:r>
        <w:t>地表水监测结果表明，本项目纳污水体水质满足《地表水环境质量标准</w:t>
      </w:r>
      <w:r>
        <w:rPr>
          <w:rFonts w:hint="eastAsia"/>
          <w:lang w:eastAsia="zh-CN"/>
        </w:rPr>
        <w:t>》</w:t>
      </w:r>
      <w:r>
        <w:t>（GB3838-2002）中的Ⅳ类标准，尚有一定的环境容量。本项目生活污水</w:t>
      </w:r>
      <w:r>
        <w:rPr>
          <w:rFonts w:hint="eastAsia"/>
          <w:lang w:val="en-US" w:eastAsia="zh-CN"/>
        </w:rPr>
        <w:t>经市政管网排放至吴江经济技术开发区运东污水处理厂</w:t>
      </w:r>
      <w:r>
        <w:t>处理，处理达标后排入</w:t>
      </w:r>
      <w:r>
        <w:rPr>
          <w:rFonts w:hint="eastAsia"/>
          <w:lang w:val="en-US" w:eastAsia="zh-CN"/>
        </w:rPr>
        <w:t>吴淞江</w:t>
      </w:r>
      <w:r>
        <w:t>。根据该污水处理厂环境影响评价报告，污水处理厂的尾水不会降低水体在评价区域的水环境功能，对纳污水体影响较小。</w:t>
      </w:r>
    </w:p>
    <w:p>
      <w:pPr>
        <w:pStyle w:val="103"/>
        <w:bidi w:val="0"/>
      </w:pPr>
      <w:r>
        <w:rPr>
          <w:rFonts w:hint="eastAsia"/>
        </w:rPr>
        <w:t>（3）</w:t>
      </w:r>
      <w:r>
        <w:t>声环境</w:t>
      </w:r>
    </w:p>
    <w:p>
      <w:pPr>
        <w:pStyle w:val="103"/>
        <w:bidi w:val="0"/>
        <w:rPr>
          <w:rFonts w:hint="eastAsia"/>
          <w:lang w:eastAsia="zh-CN"/>
        </w:rPr>
      </w:pPr>
      <w:r>
        <w:t>声环境现状监测结果表明，项目所在地</w:t>
      </w:r>
      <w:r>
        <w:rPr>
          <w:rFonts w:hint="eastAsia"/>
          <w:lang w:val="en-US" w:eastAsia="zh-CN"/>
        </w:rPr>
        <w:t>西厂界、南厂界</w:t>
      </w:r>
      <w:r>
        <w:t>昼、夜噪声符合《声环境质量标准》（GB3096-2008）中</w:t>
      </w:r>
      <w:r>
        <w:rPr>
          <w:rFonts w:hint="eastAsia"/>
          <w:lang w:val="en-US" w:eastAsia="zh-CN"/>
        </w:rPr>
        <w:t>3</w:t>
      </w:r>
      <w:r>
        <w:t>类标准</w:t>
      </w:r>
      <w:r>
        <w:rPr>
          <w:rFonts w:hint="eastAsia"/>
          <w:lang w:eastAsia="zh-CN"/>
        </w:rPr>
        <w:t>，</w:t>
      </w:r>
      <w:r>
        <w:t>项目所在地</w:t>
      </w:r>
      <w:r>
        <w:rPr>
          <w:rFonts w:hint="eastAsia"/>
          <w:lang w:val="en-US" w:eastAsia="zh-CN"/>
        </w:rPr>
        <w:t>东厂界、北厂界</w:t>
      </w:r>
      <w:r>
        <w:t>昼、夜噪声符合《声环境质量标准》（GB3096-2008）中</w:t>
      </w:r>
      <w:r>
        <w:rPr>
          <w:rFonts w:hint="eastAsia"/>
          <w:lang w:val="en-US" w:eastAsia="zh-CN"/>
        </w:rPr>
        <w:t>4a</w:t>
      </w:r>
      <w:r>
        <w:t>类标准</w:t>
      </w:r>
    </w:p>
    <w:p>
      <w:pPr>
        <w:pStyle w:val="103"/>
        <w:bidi w:val="0"/>
      </w:pPr>
      <w:r>
        <w:t>现状监测表明：本项目评价范围内环境空气、地表水、噪声等环境监测指标良好，总体环境现状符合环境功能区划要求，项目的建设不会突破环境质量底线。</w:t>
      </w:r>
    </w:p>
    <w:p>
      <w:pPr>
        <w:pStyle w:val="103"/>
        <w:bidi w:val="0"/>
      </w:pPr>
      <w:r>
        <w:rPr>
          <w:rFonts w:hint="eastAsia"/>
        </w:rPr>
        <w:t>3、</w:t>
      </w:r>
      <w:r>
        <w:t>资源利用上线相符性</w:t>
      </w:r>
    </w:p>
    <w:p>
      <w:pPr>
        <w:pStyle w:val="103"/>
        <w:bidi w:val="0"/>
      </w:pPr>
      <w:r>
        <w:rPr>
          <w:rFonts w:hint="eastAsia"/>
        </w:rPr>
        <w:t>本项目生产过程中所用的资源主要为水资源和电能，项目所在地水资源丰富，且项目用水量较小，不会达到资源利用上线；项目占地符合当地规划要求，亦不会达到资源利用上线。</w:t>
      </w:r>
    </w:p>
    <w:p>
      <w:pPr>
        <w:pStyle w:val="103"/>
        <w:bidi w:val="0"/>
      </w:pPr>
      <w:r>
        <w:rPr>
          <w:rFonts w:hint="eastAsia"/>
        </w:rPr>
        <w:t>4、</w:t>
      </w:r>
      <w:r>
        <w:t>与环境准入负面清单相符性分析</w:t>
      </w:r>
    </w:p>
    <w:p>
      <w:pPr>
        <w:pStyle w:val="103"/>
        <w:bidi w:val="0"/>
      </w:pPr>
      <w:r>
        <w:t>本项目所在地没有环境准入负面清单，本次环评对照国家及地方产业政策进行说明，具体见表</w:t>
      </w:r>
      <w:r>
        <w:rPr>
          <w:rFonts w:hint="eastAsia"/>
          <w:lang w:val="en-US" w:eastAsia="zh-CN"/>
        </w:rPr>
        <w:t>1-25</w:t>
      </w:r>
      <w:r>
        <w:t>。</w:t>
      </w:r>
    </w:p>
    <w:p>
      <w:pPr>
        <w:pStyle w:val="273"/>
        <w:bidi w:val="0"/>
        <w:rPr>
          <w:rFonts w:hint="eastAsia"/>
          <w:lang w:val="en-US" w:eastAsia="zh-CN"/>
        </w:rPr>
      </w:pPr>
      <w:r>
        <w:rPr>
          <w:rFonts w:hint="eastAsia"/>
          <w:lang w:val="en-US" w:eastAsia="zh-CN"/>
        </w:rPr>
        <w:t>表1-25  环境准入负面清单表</w:t>
      </w:r>
    </w:p>
    <w:tbl>
      <w:tblPr>
        <w:tblStyle w:val="2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6926"/>
        <w:gridCol w:w="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63" w:type="pct"/>
            <w:vAlign w:val="center"/>
          </w:tcPr>
          <w:p>
            <w:pPr>
              <w:pStyle w:val="100"/>
              <w:widowControl w:val="0"/>
              <w:bidi w:val="0"/>
              <w:adjustRightInd w:val="0"/>
              <w:snapToGrid w:val="0"/>
            </w:pPr>
            <w:r>
              <w:t>序号</w:t>
            </w:r>
          </w:p>
        </w:tc>
        <w:tc>
          <w:tcPr>
            <w:tcW w:w="4061" w:type="pct"/>
            <w:vAlign w:val="center"/>
          </w:tcPr>
          <w:p>
            <w:pPr>
              <w:pStyle w:val="100"/>
              <w:widowControl w:val="0"/>
              <w:bidi w:val="0"/>
              <w:adjustRightInd w:val="0"/>
              <w:snapToGrid w:val="0"/>
            </w:pPr>
            <w:r>
              <w:t>法律、法规、政策文件等</w:t>
            </w:r>
          </w:p>
        </w:tc>
        <w:tc>
          <w:tcPr>
            <w:tcW w:w="576" w:type="pct"/>
            <w:vAlign w:val="center"/>
          </w:tcPr>
          <w:p>
            <w:pPr>
              <w:pStyle w:val="100"/>
              <w:widowControl w:val="0"/>
              <w:bidi w:val="0"/>
              <w:adjustRightInd w:val="0"/>
              <w:snapToGrid w:val="0"/>
            </w:pPr>
            <w:r>
              <w:t>是否属于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63" w:type="pct"/>
            <w:vAlign w:val="center"/>
          </w:tcPr>
          <w:p>
            <w:pPr>
              <w:pStyle w:val="100"/>
              <w:widowControl w:val="0"/>
              <w:bidi w:val="0"/>
              <w:adjustRightInd w:val="0"/>
              <w:snapToGrid w:val="0"/>
            </w:pPr>
            <w:r>
              <w:t>1</w:t>
            </w:r>
          </w:p>
        </w:tc>
        <w:tc>
          <w:tcPr>
            <w:tcW w:w="4061" w:type="pct"/>
            <w:vAlign w:val="center"/>
          </w:tcPr>
          <w:p>
            <w:pPr>
              <w:pStyle w:val="100"/>
              <w:widowControl w:val="0"/>
              <w:bidi w:val="0"/>
              <w:adjustRightInd w:val="0"/>
              <w:snapToGrid w:val="0"/>
            </w:pPr>
            <w:r>
              <w:t>属于《产业结构调整指导目录》（2019 年本）、《江苏工业和产业结构调整指导目录（2012 年本）》中淘汰类项目、</w:t>
            </w:r>
            <w:r>
              <w:rPr>
                <w:rFonts w:hint="eastAsia"/>
              </w:rPr>
              <w:t>《省政府办公厅转发省经济和信息化委省发展改革委江苏省工业和信息产业结构调整限制淘汰目录和能耗限额的通知（苏政办发</w:t>
            </w:r>
            <w:r>
              <w:t>[2015]118号）》</w:t>
            </w:r>
            <w:r>
              <w:rPr>
                <w:rFonts w:hint="eastAsia"/>
              </w:rPr>
              <w:t>、</w:t>
            </w:r>
            <w:r>
              <w:t>《苏州市产业发展导向目录（2007年本）》（苏府[2007]129号）、《汾湖高新区关于推进产业发展、项目准入的指导意见（试行）》、</w:t>
            </w:r>
            <w:r>
              <w:rPr>
                <w:rFonts w:hint="eastAsia"/>
              </w:rPr>
              <w:t>《</w:t>
            </w:r>
            <w:r>
              <w:t>市场准入负面清单</w:t>
            </w:r>
            <w:r>
              <w:rPr>
                <w:rFonts w:hint="eastAsia"/>
              </w:rPr>
              <w:t>》</w:t>
            </w:r>
            <w:r>
              <w:t>（2019年版）中禁止</w:t>
            </w:r>
            <w:r>
              <w:rPr>
                <w:rFonts w:hint="eastAsia"/>
              </w:rPr>
              <w:t>、限值类</w:t>
            </w:r>
            <w:r>
              <w:t>投资项目</w:t>
            </w:r>
          </w:p>
        </w:tc>
        <w:tc>
          <w:tcPr>
            <w:tcW w:w="576" w:type="pct"/>
            <w:vAlign w:val="center"/>
          </w:tcPr>
          <w:p>
            <w:pPr>
              <w:pStyle w:val="100"/>
              <w:widowControl w:val="0"/>
              <w:bidi w:val="0"/>
              <w:adjustRightInd w:val="0"/>
              <w:snapToGrid w:val="0"/>
            </w:pPr>
            <w: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63" w:type="pct"/>
            <w:vAlign w:val="center"/>
          </w:tcPr>
          <w:p>
            <w:pPr>
              <w:pStyle w:val="100"/>
              <w:widowControl w:val="0"/>
              <w:bidi w:val="0"/>
              <w:adjustRightInd w:val="0"/>
              <w:snapToGrid w:val="0"/>
            </w:pPr>
            <w:r>
              <w:t>2</w:t>
            </w:r>
          </w:p>
        </w:tc>
        <w:tc>
          <w:tcPr>
            <w:tcW w:w="4061" w:type="pct"/>
            <w:vAlign w:val="center"/>
          </w:tcPr>
          <w:p>
            <w:pPr>
              <w:pStyle w:val="100"/>
              <w:widowControl w:val="0"/>
              <w:bidi w:val="0"/>
              <w:adjustRightInd w:val="0"/>
              <w:snapToGrid w:val="0"/>
            </w:pPr>
            <w:r>
              <w:rPr>
                <w:rFonts w:hint="eastAsia"/>
              </w:rPr>
              <w:t>属于《江苏省生态空间管控区域规划》中规定的国家级生态保护红线范围或生态空间管控区域范围</w:t>
            </w:r>
          </w:p>
        </w:tc>
        <w:tc>
          <w:tcPr>
            <w:tcW w:w="576" w:type="pct"/>
            <w:vAlign w:val="center"/>
          </w:tcPr>
          <w:p>
            <w:pPr>
              <w:pStyle w:val="100"/>
              <w:widowControl w:val="0"/>
              <w:bidi w:val="0"/>
              <w:adjustRightInd w:val="0"/>
              <w:snapToGrid w:val="0"/>
            </w:pPr>
            <w: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63" w:type="pct"/>
            <w:vAlign w:val="center"/>
          </w:tcPr>
          <w:p>
            <w:pPr>
              <w:pStyle w:val="100"/>
              <w:widowControl w:val="0"/>
              <w:bidi w:val="0"/>
              <w:adjustRightInd w:val="0"/>
              <w:snapToGrid w:val="0"/>
            </w:pPr>
            <w:r>
              <w:t>3</w:t>
            </w:r>
          </w:p>
        </w:tc>
        <w:tc>
          <w:tcPr>
            <w:tcW w:w="4061" w:type="pct"/>
            <w:vAlign w:val="center"/>
          </w:tcPr>
          <w:p>
            <w:pPr>
              <w:pStyle w:val="100"/>
              <w:widowControl w:val="0"/>
              <w:bidi w:val="0"/>
              <w:adjustRightInd w:val="0"/>
              <w:snapToGrid w:val="0"/>
            </w:pPr>
            <w:r>
              <w:t>属于《江苏省人民代表大会常务委员会关于加强饮用水源地保护的决定》中规定的位于饮用水源准保护区、二级保护区、一级保护区内禁止从事的开发建设项目</w:t>
            </w:r>
          </w:p>
        </w:tc>
        <w:tc>
          <w:tcPr>
            <w:tcW w:w="576" w:type="pct"/>
            <w:vAlign w:val="center"/>
          </w:tcPr>
          <w:p>
            <w:pPr>
              <w:pStyle w:val="100"/>
              <w:widowControl w:val="0"/>
              <w:bidi w:val="0"/>
              <w:adjustRightInd w:val="0"/>
              <w:snapToGrid w:val="0"/>
            </w:pPr>
            <w: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63" w:type="pct"/>
            <w:vAlign w:val="center"/>
          </w:tcPr>
          <w:p>
            <w:pPr>
              <w:pStyle w:val="100"/>
              <w:widowControl w:val="0"/>
              <w:bidi w:val="0"/>
              <w:adjustRightInd w:val="0"/>
              <w:snapToGrid w:val="0"/>
            </w:pPr>
            <w:r>
              <w:t>4</w:t>
            </w:r>
          </w:p>
        </w:tc>
        <w:tc>
          <w:tcPr>
            <w:tcW w:w="4061" w:type="pct"/>
            <w:vAlign w:val="center"/>
          </w:tcPr>
          <w:p>
            <w:pPr>
              <w:pStyle w:val="100"/>
              <w:widowControl w:val="0"/>
              <w:bidi w:val="0"/>
              <w:adjustRightInd w:val="0"/>
              <w:snapToGrid w:val="0"/>
            </w:pPr>
            <w:r>
              <w:t>属于《苏州市吴江区建设项目环境影响评价特别管理措施(试行)》中规定的区域发展限制性规定、建设项目限制性规定（禁止类）、建设项目限制性规定（限制类）及各区镇区域禁止和限制类项目。</w:t>
            </w:r>
          </w:p>
        </w:tc>
        <w:tc>
          <w:tcPr>
            <w:tcW w:w="576" w:type="pct"/>
            <w:vAlign w:val="center"/>
          </w:tcPr>
          <w:p>
            <w:pPr>
              <w:pStyle w:val="100"/>
              <w:widowControl w:val="0"/>
              <w:bidi w:val="0"/>
              <w:adjustRightInd w:val="0"/>
              <w:snapToGrid w:val="0"/>
            </w:pPr>
            <w: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63" w:type="pct"/>
            <w:vAlign w:val="center"/>
          </w:tcPr>
          <w:p>
            <w:pPr>
              <w:pStyle w:val="100"/>
              <w:widowControl w:val="0"/>
              <w:bidi w:val="0"/>
              <w:adjustRightInd w:val="0"/>
              <w:snapToGrid w:val="0"/>
            </w:pPr>
            <w:r>
              <w:t>5</w:t>
            </w:r>
          </w:p>
        </w:tc>
        <w:tc>
          <w:tcPr>
            <w:tcW w:w="4061" w:type="pct"/>
            <w:vAlign w:val="center"/>
          </w:tcPr>
          <w:p>
            <w:pPr>
              <w:pStyle w:val="100"/>
              <w:widowControl w:val="0"/>
              <w:bidi w:val="0"/>
              <w:adjustRightInd w:val="0"/>
              <w:snapToGrid w:val="0"/>
            </w:pPr>
            <w:r>
              <w:t>国家、江苏省明确规定不得审批的建设项目</w:t>
            </w:r>
          </w:p>
        </w:tc>
        <w:tc>
          <w:tcPr>
            <w:tcW w:w="576" w:type="pct"/>
            <w:vAlign w:val="center"/>
          </w:tcPr>
          <w:p>
            <w:pPr>
              <w:pStyle w:val="100"/>
              <w:widowControl w:val="0"/>
              <w:bidi w:val="0"/>
              <w:adjustRightInd w:val="0"/>
              <w:snapToGrid w:val="0"/>
            </w:pPr>
            <w: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63" w:type="pct"/>
            <w:vAlign w:val="center"/>
          </w:tcPr>
          <w:p>
            <w:pPr>
              <w:pStyle w:val="100"/>
              <w:widowControl w:val="0"/>
              <w:bidi w:val="0"/>
              <w:adjustRightInd w:val="0"/>
              <w:snapToGrid w:val="0"/>
            </w:pPr>
            <w:r>
              <w:rPr>
                <w:rFonts w:hint="eastAsia"/>
              </w:rPr>
              <w:t>6</w:t>
            </w:r>
          </w:p>
        </w:tc>
        <w:tc>
          <w:tcPr>
            <w:tcW w:w="4061" w:type="pct"/>
            <w:vAlign w:val="center"/>
          </w:tcPr>
          <w:p>
            <w:pPr>
              <w:pStyle w:val="100"/>
              <w:widowControl w:val="0"/>
              <w:bidi w:val="0"/>
              <w:adjustRightInd w:val="0"/>
              <w:snapToGrid w:val="0"/>
            </w:pPr>
            <w:r>
              <w:rPr>
                <w:rFonts w:hint="eastAsia"/>
              </w:rPr>
              <w:t>属于《长江经济带发展负面清单指南（试行）》及江苏省实施细则中的禁止条款</w:t>
            </w:r>
          </w:p>
        </w:tc>
        <w:tc>
          <w:tcPr>
            <w:tcW w:w="576" w:type="pct"/>
            <w:vAlign w:val="center"/>
          </w:tcPr>
          <w:p>
            <w:pPr>
              <w:pStyle w:val="100"/>
              <w:widowControl w:val="0"/>
              <w:bidi w:val="0"/>
              <w:adjustRightInd w:val="0"/>
              <w:snapToGrid w:val="0"/>
            </w:pPr>
            <w:r>
              <w:t>不属于</w:t>
            </w:r>
          </w:p>
        </w:tc>
      </w:tr>
    </w:tbl>
    <w:p>
      <w:pPr>
        <w:pStyle w:val="103"/>
        <w:bidi w:val="0"/>
      </w:pPr>
      <w:r>
        <w:t>综上所述，本项目建设符合“三线一单”的要求。</w:t>
      </w:r>
    </w:p>
    <w:p>
      <w:pPr>
        <w:pStyle w:val="102"/>
        <w:bidi w:val="0"/>
      </w:pPr>
      <w:bookmarkStart w:id="24" w:name="_Toc307515782"/>
      <w:r>
        <w:t>与本项目有关的原有污染情况及主要环境问题</w:t>
      </w:r>
      <w:bookmarkEnd w:id="24"/>
      <w:bookmarkStart w:id="25" w:name="_Hlk17811046"/>
    </w:p>
    <w:p>
      <w:pPr>
        <w:pStyle w:val="103"/>
        <w:bidi w:val="0"/>
      </w:pPr>
      <w:r>
        <w:rPr>
          <w:rFonts w:hint="eastAsia"/>
        </w:rPr>
        <w:t>本项目为迁建项目，本项目租赁苏州德坤传感器有限公司的已建闲置厂房，该土地用地现状属于工业用地，可以作为本项目建设使用，经现场勘察，无与本项目有关的原有污染情况及主要环境问题。</w:t>
      </w:r>
    </w:p>
    <w:p>
      <w:pPr>
        <w:pStyle w:val="103"/>
        <w:bidi w:val="0"/>
      </w:pPr>
      <w:r>
        <w:rPr>
          <w:rFonts w:hint="eastAsia"/>
        </w:rPr>
        <w:t>项目厂房出租方苏州德坤传感器有限公司成立于</w:t>
      </w:r>
      <w:r>
        <w:t>20</w:t>
      </w:r>
      <w:r>
        <w:rPr>
          <w:rFonts w:hint="eastAsia"/>
        </w:rPr>
        <w:t>04</w:t>
      </w:r>
      <w:r>
        <w:t>年8月</w:t>
      </w:r>
      <w:r>
        <w:rPr>
          <w:rFonts w:hint="eastAsia"/>
        </w:rPr>
        <w:t>11</w:t>
      </w:r>
      <w:r>
        <w:t>日，营业执照经营范围主要为：</w:t>
      </w:r>
      <w:r>
        <w:rPr>
          <w:rFonts w:hint="eastAsia"/>
        </w:rPr>
        <w:t>生产和销售敏感元器件及传感器</w:t>
      </w:r>
      <w:r>
        <w:t>。出租房厂区目前包括各类标准厂房</w:t>
      </w:r>
      <w:r>
        <w:rPr>
          <w:rFonts w:hint="eastAsia"/>
        </w:rPr>
        <w:t>三层</w:t>
      </w:r>
      <w:r>
        <w:t>，其中本项目涉及承租厂房</w:t>
      </w:r>
      <w:r>
        <w:rPr>
          <w:rFonts w:hint="eastAsia"/>
        </w:rPr>
        <w:t>一层</w:t>
      </w:r>
      <w:r>
        <w:t>，出租方名下所属土地、厂房均办理了不动产权证，用途为工业用地/厂房。</w:t>
      </w:r>
    </w:p>
    <w:p>
      <w:pPr>
        <w:pStyle w:val="103"/>
        <w:bidi w:val="0"/>
      </w:pPr>
      <w:r>
        <w:rPr>
          <w:rFonts w:hint="eastAsia"/>
        </w:rPr>
        <w:t>苏州德坤传感器有限公司基础设施建设情况：</w:t>
      </w:r>
    </w:p>
    <w:p>
      <w:pPr>
        <w:pStyle w:val="103"/>
        <w:bidi w:val="0"/>
      </w:pPr>
      <w:r>
        <w:rPr>
          <w:rFonts w:hint="eastAsia"/>
        </w:rPr>
        <w:t>（</w:t>
      </w:r>
      <w:r>
        <w:t>1）供水方式：由吴江区域水厂实施区域供水，管径为DN300毫米。供水管网引至厂区后分为多条支路分别供给生产车间、办公楼等。</w:t>
      </w:r>
    </w:p>
    <w:p>
      <w:pPr>
        <w:pStyle w:val="103"/>
        <w:bidi w:val="0"/>
      </w:pPr>
      <w:r>
        <w:rPr>
          <w:rFonts w:hint="eastAsia"/>
        </w:rPr>
        <w:t>（</w:t>
      </w:r>
      <w:r>
        <w:t>2）排水系统：采用雨污分流制排水系统。雨水经雨水管网排至附近水体，设置一个雨水排放口。</w:t>
      </w:r>
    </w:p>
    <w:p>
      <w:pPr>
        <w:pStyle w:val="103"/>
        <w:bidi w:val="0"/>
      </w:pPr>
      <w:r>
        <w:rPr>
          <w:rFonts w:hint="eastAsia"/>
        </w:rPr>
        <w:t>（</w:t>
      </w:r>
      <w:r>
        <w:t>3）厂区绿化：厂区内已设置绿化，绿化率达</w:t>
      </w:r>
      <w:r>
        <w:rPr>
          <w:rFonts w:hint="eastAsia"/>
        </w:rPr>
        <w:t>1.7</w:t>
      </w:r>
      <w:r>
        <w:t>%。</w:t>
      </w:r>
    </w:p>
    <w:p>
      <w:pPr>
        <w:pStyle w:val="103"/>
        <w:bidi w:val="0"/>
      </w:pPr>
      <w:r>
        <w:rPr>
          <w:rFonts w:hint="eastAsia"/>
        </w:rPr>
        <w:t>（</w:t>
      </w:r>
      <w:r>
        <w:t>4）供电：电源采用10KV高压电源供电，由市政电力网引至厂区开闭所，再分别通至各车间，各车间分别进行计量。</w:t>
      </w:r>
    </w:p>
    <w:p>
      <w:pPr>
        <w:pStyle w:val="103"/>
        <w:bidi w:val="0"/>
      </w:pPr>
      <w:r>
        <w:rPr>
          <w:rFonts w:hint="eastAsia"/>
        </w:rPr>
        <w:t>《中华人民共和国环境保护法》第六条指出：“已经对环境造成污染和其。他公害的单位，应当按照谁污染谁治理的原则，制定规划，积极治理，或者报请主管部门批准转产、搬迁。”企业作为污染防治主体，必须依法履行环保责任，谁污染、谁治理、谁负责；企业实际生产运行时应按照环境风险应急预案相关规定及要求设置消防尾水池（兼事故应急池），该消防尾水池（兼事故应急池）建设及运维责任主体均为苏州德坤传感器有限公司。</w:t>
      </w:r>
    </w:p>
    <w:p>
      <w:pPr>
        <w:pStyle w:val="103"/>
        <w:bidi w:val="0"/>
      </w:pPr>
      <w:r>
        <w:rPr>
          <w:rFonts w:hint="eastAsia"/>
        </w:rPr>
        <w:t>本项目租用苏州德坤传感器有限公司空置厂房（出租房环保手续齐全），供电、供水、排水等公共辅助工程均已配备，厂房的耐火等级、防火距离、防爆及安全疏散等均符合相关要求。生产车间按火灾危险等级丙类设计建造。供电、给排水等基础设施基本完成。由于目前厂区内暂时无其他租户，后续可能引入其他承租企业因此，为实现污水排放浓度、总量单独控制，建议建设单位在本项目污水排口安装浓度、流量自动监控装置。</w:t>
      </w:r>
    </w:p>
    <w:p>
      <w:pPr>
        <w:pStyle w:val="103"/>
        <w:bidi w:val="0"/>
      </w:pPr>
      <w:r>
        <w:rPr>
          <w:rFonts w:hint="eastAsia"/>
        </w:rPr>
        <w:t>综上，租用厂房用作本项目生产车间是可行的。</w:t>
      </w:r>
    </w:p>
    <w:p>
      <w:pPr>
        <w:pStyle w:val="104"/>
      </w:pPr>
      <w:r>
        <w:rPr>
          <w:rFonts w:hint="eastAsia"/>
          <w:lang w:val="en-US" w:eastAsia="zh-CN"/>
        </w:rPr>
        <w:t>原</w:t>
      </w:r>
      <w:r>
        <w:rPr>
          <w:rFonts w:hint="eastAsia"/>
        </w:rPr>
        <w:t>有项目回顾</w:t>
      </w:r>
    </w:p>
    <w:p>
      <w:pPr>
        <w:pStyle w:val="103"/>
        <w:bidi w:val="0"/>
      </w:pPr>
      <w:r>
        <w:rPr>
          <w:rFonts w:hint="eastAsia"/>
        </w:rPr>
        <w:t>吴江高利橡塑制品有限公司现有项目位于吴江经济技术开发区吉市东路217号，于</w:t>
      </w:r>
      <w:r>
        <w:t>201</w:t>
      </w:r>
      <w:r>
        <w:rPr>
          <w:rFonts w:hint="eastAsia"/>
        </w:rPr>
        <w:t>2</w:t>
      </w:r>
      <w:r>
        <w:t>年2日</w:t>
      </w:r>
      <w:r>
        <w:rPr>
          <w:rFonts w:hint="eastAsia"/>
        </w:rPr>
        <w:t>24</w:t>
      </w:r>
      <w:r>
        <w:t>日苏州市吴江区环境保护局审批通过了“</w:t>
      </w:r>
      <w:r>
        <w:rPr>
          <w:rFonts w:hint="eastAsia"/>
        </w:rPr>
        <w:t>年产薄膜4500万片、软性线路板3000万片、电脑键盘开关按键2700万个项目</w:t>
      </w:r>
      <w:r>
        <w:t>”环境影响</w:t>
      </w:r>
      <w:r>
        <w:rPr>
          <w:rFonts w:hint="eastAsia"/>
        </w:rPr>
        <w:t>登记</w:t>
      </w:r>
      <w:r>
        <w:t>表，批准文号为吴环建[20</w:t>
      </w:r>
      <w:r>
        <w:rPr>
          <w:rFonts w:hint="eastAsia"/>
        </w:rPr>
        <w:t>12</w:t>
      </w:r>
      <w:r>
        <w:t>]</w:t>
      </w:r>
      <w:r>
        <w:rPr>
          <w:rFonts w:hint="eastAsia"/>
        </w:rPr>
        <w:t>138</w:t>
      </w:r>
      <w:r>
        <w:t>号。</w:t>
      </w:r>
    </w:p>
    <w:p>
      <w:pPr>
        <w:pStyle w:val="103"/>
        <w:bidi w:val="0"/>
      </w:pPr>
      <w:r>
        <w:rPr>
          <w:rFonts w:hint="eastAsia"/>
        </w:rPr>
        <w:t>企业成立至今环保报批及实际投产、验收情况见表1-</w:t>
      </w:r>
      <w:r>
        <w:rPr>
          <w:rFonts w:hint="eastAsia"/>
          <w:lang w:val="en-US" w:eastAsia="zh-CN"/>
        </w:rPr>
        <w:t>26</w:t>
      </w:r>
      <w:r>
        <w:rPr>
          <w:rFonts w:hint="eastAsia"/>
        </w:rPr>
        <w:t>。</w:t>
      </w:r>
    </w:p>
    <w:p>
      <w:pPr>
        <w:pStyle w:val="273"/>
        <w:bidi w:val="0"/>
        <w:rPr>
          <w:rFonts w:hint="eastAsia"/>
          <w:lang w:val="en-US" w:eastAsia="zh-CN"/>
        </w:rPr>
      </w:pPr>
      <w:r>
        <w:rPr>
          <w:rFonts w:hint="eastAsia"/>
          <w:lang w:val="en-US" w:eastAsia="zh-CN"/>
        </w:rPr>
        <w:t>表1-26  企业已批项目情况</w:t>
      </w:r>
    </w:p>
    <w:tbl>
      <w:tblPr>
        <w:tblStyle w:val="260"/>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766"/>
        <w:gridCol w:w="1494"/>
        <w:gridCol w:w="2108"/>
        <w:gridCol w:w="893"/>
        <w:gridCol w:w="961"/>
        <w:gridCol w:w="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42" w:type="pct"/>
            <w:vAlign w:val="center"/>
          </w:tcPr>
          <w:p>
            <w:pPr>
              <w:pStyle w:val="100"/>
              <w:widowControl w:val="0"/>
              <w:bidi w:val="0"/>
              <w:adjustRightInd w:val="0"/>
              <w:snapToGrid w:val="0"/>
            </w:pPr>
            <w:r>
              <w:rPr>
                <w:rFonts w:hint="eastAsia"/>
              </w:rPr>
              <w:t>序号</w:t>
            </w:r>
          </w:p>
        </w:tc>
        <w:tc>
          <w:tcPr>
            <w:tcW w:w="451" w:type="pct"/>
            <w:vAlign w:val="center"/>
          </w:tcPr>
          <w:p>
            <w:pPr>
              <w:pStyle w:val="100"/>
              <w:widowControl w:val="0"/>
              <w:bidi w:val="0"/>
              <w:adjustRightInd w:val="0"/>
              <w:snapToGrid w:val="0"/>
            </w:pPr>
            <w:r>
              <w:rPr>
                <w:rFonts w:hint="eastAsia"/>
              </w:rPr>
              <w:t>审批时间</w:t>
            </w:r>
          </w:p>
        </w:tc>
        <w:tc>
          <w:tcPr>
            <w:tcW w:w="879" w:type="pct"/>
            <w:vAlign w:val="center"/>
          </w:tcPr>
          <w:p>
            <w:pPr>
              <w:pStyle w:val="100"/>
              <w:widowControl w:val="0"/>
              <w:bidi w:val="0"/>
              <w:adjustRightInd w:val="0"/>
              <w:snapToGrid w:val="0"/>
            </w:pPr>
            <w:r>
              <w:rPr>
                <w:rFonts w:hint="eastAsia"/>
              </w:rPr>
              <w:t>批复文号</w:t>
            </w:r>
          </w:p>
        </w:tc>
        <w:tc>
          <w:tcPr>
            <w:tcW w:w="1241" w:type="pct"/>
            <w:vAlign w:val="center"/>
          </w:tcPr>
          <w:p>
            <w:pPr>
              <w:pStyle w:val="100"/>
              <w:widowControl w:val="0"/>
              <w:bidi w:val="0"/>
              <w:adjustRightInd w:val="0"/>
              <w:snapToGrid w:val="0"/>
            </w:pPr>
            <w:r>
              <w:rPr>
                <w:rFonts w:hint="eastAsia"/>
              </w:rPr>
              <w:t>项目名称</w:t>
            </w:r>
          </w:p>
        </w:tc>
        <w:tc>
          <w:tcPr>
            <w:tcW w:w="525" w:type="pct"/>
            <w:vAlign w:val="center"/>
          </w:tcPr>
          <w:p>
            <w:pPr>
              <w:pStyle w:val="100"/>
              <w:widowControl w:val="0"/>
              <w:bidi w:val="0"/>
              <w:adjustRightInd w:val="0"/>
              <w:snapToGrid w:val="0"/>
            </w:pPr>
            <w:r>
              <w:rPr>
                <w:rFonts w:hint="eastAsia"/>
              </w:rPr>
              <w:t>环评文件类型</w:t>
            </w:r>
          </w:p>
        </w:tc>
        <w:tc>
          <w:tcPr>
            <w:tcW w:w="565" w:type="pct"/>
            <w:vAlign w:val="center"/>
          </w:tcPr>
          <w:p>
            <w:pPr>
              <w:pStyle w:val="100"/>
              <w:widowControl w:val="0"/>
              <w:bidi w:val="0"/>
              <w:adjustRightInd w:val="0"/>
              <w:snapToGrid w:val="0"/>
            </w:pPr>
            <w:r>
              <w:rPr>
                <w:rFonts w:hint="eastAsia"/>
              </w:rPr>
              <w:t>投产情况</w:t>
            </w:r>
          </w:p>
        </w:tc>
        <w:tc>
          <w:tcPr>
            <w:tcW w:w="493" w:type="pct"/>
            <w:vAlign w:val="center"/>
          </w:tcPr>
          <w:p>
            <w:pPr>
              <w:pStyle w:val="100"/>
              <w:widowControl w:val="0"/>
              <w:bidi w:val="0"/>
              <w:adjustRightInd w:val="0"/>
              <w:snapToGrid w:val="0"/>
            </w:pPr>
            <w:r>
              <w:rPr>
                <w:rFonts w:hint="eastAsia"/>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42" w:type="pct"/>
            <w:vAlign w:val="center"/>
          </w:tcPr>
          <w:p>
            <w:pPr>
              <w:pStyle w:val="100"/>
              <w:widowControl w:val="0"/>
              <w:bidi w:val="0"/>
              <w:adjustRightInd w:val="0"/>
              <w:snapToGrid w:val="0"/>
            </w:pPr>
            <w:r>
              <w:rPr>
                <w:rFonts w:hint="eastAsia"/>
              </w:rPr>
              <w:t>1</w:t>
            </w:r>
          </w:p>
        </w:tc>
        <w:tc>
          <w:tcPr>
            <w:tcW w:w="451" w:type="pct"/>
            <w:vAlign w:val="center"/>
          </w:tcPr>
          <w:p>
            <w:pPr>
              <w:pStyle w:val="100"/>
              <w:widowControl w:val="0"/>
              <w:bidi w:val="0"/>
              <w:adjustRightInd w:val="0"/>
              <w:snapToGrid w:val="0"/>
            </w:pPr>
            <w:r>
              <w:rPr>
                <w:rFonts w:hint="eastAsia"/>
              </w:rPr>
              <w:t>2012.2.24</w:t>
            </w:r>
          </w:p>
        </w:tc>
        <w:tc>
          <w:tcPr>
            <w:tcW w:w="879" w:type="pct"/>
            <w:vAlign w:val="center"/>
          </w:tcPr>
          <w:p>
            <w:pPr>
              <w:pStyle w:val="100"/>
              <w:widowControl w:val="0"/>
              <w:bidi w:val="0"/>
              <w:adjustRightInd w:val="0"/>
              <w:snapToGrid w:val="0"/>
            </w:pPr>
            <w:r>
              <w:rPr>
                <w:rFonts w:hint="eastAsia"/>
              </w:rPr>
              <w:t>吴环建[2012]138号</w:t>
            </w:r>
          </w:p>
        </w:tc>
        <w:tc>
          <w:tcPr>
            <w:tcW w:w="1241" w:type="pct"/>
            <w:vAlign w:val="center"/>
          </w:tcPr>
          <w:p>
            <w:pPr>
              <w:pStyle w:val="100"/>
              <w:widowControl w:val="0"/>
              <w:bidi w:val="0"/>
              <w:adjustRightInd w:val="0"/>
              <w:snapToGrid w:val="0"/>
            </w:pPr>
            <w:r>
              <w:rPr>
                <w:rFonts w:hint="eastAsia"/>
              </w:rPr>
              <w:t>年产薄膜4500万片、软性线路板3000万片、电脑键盘开关按键2700万个项目</w:t>
            </w:r>
          </w:p>
        </w:tc>
        <w:tc>
          <w:tcPr>
            <w:tcW w:w="525" w:type="pct"/>
            <w:vAlign w:val="center"/>
          </w:tcPr>
          <w:p>
            <w:pPr>
              <w:pStyle w:val="100"/>
              <w:widowControl w:val="0"/>
              <w:bidi w:val="0"/>
              <w:adjustRightInd w:val="0"/>
              <w:snapToGrid w:val="0"/>
            </w:pPr>
            <w:r>
              <w:rPr>
                <w:rFonts w:hint="eastAsia"/>
              </w:rPr>
              <w:t>登记表</w:t>
            </w:r>
          </w:p>
        </w:tc>
        <w:tc>
          <w:tcPr>
            <w:tcW w:w="565" w:type="pct"/>
            <w:vAlign w:val="center"/>
          </w:tcPr>
          <w:p>
            <w:pPr>
              <w:pStyle w:val="100"/>
              <w:widowControl w:val="0"/>
              <w:bidi w:val="0"/>
              <w:adjustRightInd w:val="0"/>
              <w:snapToGrid w:val="0"/>
            </w:pPr>
            <w:r>
              <w:rPr>
                <w:rFonts w:hint="eastAsia"/>
              </w:rPr>
              <w:t>已投产</w:t>
            </w:r>
          </w:p>
        </w:tc>
        <w:tc>
          <w:tcPr>
            <w:tcW w:w="493" w:type="pct"/>
            <w:vAlign w:val="center"/>
          </w:tcPr>
          <w:p>
            <w:pPr>
              <w:pStyle w:val="100"/>
              <w:widowControl w:val="0"/>
              <w:bidi w:val="0"/>
              <w:adjustRightInd w:val="0"/>
              <w:snapToGrid w:val="0"/>
              <w:rPr>
                <w:rFonts w:hint="default"/>
                <w:lang w:val="en-US" w:eastAsia="zh-CN"/>
              </w:rPr>
            </w:pPr>
            <w:r>
              <w:rPr>
                <w:rFonts w:hint="eastAsia"/>
                <w:lang w:val="en-US" w:eastAsia="zh-CN"/>
              </w:rPr>
              <w:t>登记表不需要验收</w:t>
            </w:r>
          </w:p>
        </w:tc>
      </w:tr>
    </w:tbl>
    <w:p>
      <w:pPr>
        <w:pStyle w:val="103"/>
        <w:bidi w:val="0"/>
      </w:pPr>
      <w:r>
        <w:rPr>
          <w:rFonts w:hint="eastAsia"/>
        </w:rPr>
        <w:t>现有项目位于吴江经济技术开发区</w:t>
      </w:r>
      <w:r>
        <w:rPr>
          <w:rFonts w:hint="eastAsia"/>
          <w:lang w:val="en-US" w:eastAsia="zh-CN"/>
        </w:rPr>
        <w:t>柳胥路</w:t>
      </w:r>
      <w:r>
        <w:rPr>
          <w:rFonts w:hint="eastAsia"/>
        </w:rPr>
        <w:t>路</w:t>
      </w:r>
      <w:r>
        <w:rPr>
          <w:rFonts w:hint="eastAsia"/>
          <w:lang w:val="en-US" w:eastAsia="zh-CN"/>
        </w:rPr>
        <w:t>359</w:t>
      </w:r>
      <w:r>
        <w:rPr>
          <w:rFonts w:hint="eastAsia"/>
        </w:rPr>
        <w:t>号，总投资</w:t>
      </w:r>
      <w:r>
        <w:rPr>
          <w:rFonts w:hint="eastAsia"/>
          <w:lang w:val="en-US" w:eastAsia="zh-CN"/>
        </w:rPr>
        <w:t>200</w:t>
      </w:r>
      <w:r>
        <w:rPr>
          <w:rFonts w:hint="eastAsia"/>
        </w:rPr>
        <w:t>万元，总占地面积为</w:t>
      </w:r>
      <w:r>
        <w:rPr>
          <w:rFonts w:hint="eastAsia"/>
          <w:lang w:val="en-US" w:eastAsia="zh-CN"/>
        </w:rPr>
        <w:t>1000</w:t>
      </w:r>
      <w:r>
        <w:rPr>
          <w:rFonts w:hint="eastAsia"/>
        </w:rPr>
        <w:t>平方米。本项目定员28人，年工作300天，采用2班10小时制生产。</w:t>
      </w:r>
    </w:p>
    <w:p>
      <w:pPr>
        <w:pStyle w:val="104"/>
      </w:pPr>
      <w:r>
        <w:rPr>
          <w:rFonts w:hint="eastAsia"/>
          <w:lang w:val="en-US" w:eastAsia="zh-CN"/>
        </w:rPr>
        <w:t>原</w:t>
      </w:r>
      <w:r>
        <w:rPr>
          <w:rFonts w:hint="eastAsia"/>
        </w:rPr>
        <w:t>有项目产品规模及方案</w:t>
      </w:r>
    </w:p>
    <w:p>
      <w:pPr>
        <w:pStyle w:val="103"/>
        <w:bidi w:val="0"/>
      </w:pPr>
      <w:r>
        <w:rPr>
          <w:rFonts w:hint="eastAsia"/>
          <w:lang w:val="en-US" w:eastAsia="zh-CN"/>
        </w:rPr>
        <w:t>原</w:t>
      </w:r>
      <w:r>
        <w:rPr>
          <w:rFonts w:hint="eastAsia"/>
        </w:rPr>
        <w:t>有项目</w:t>
      </w:r>
      <w:r>
        <w:t>产品规模及方案</w:t>
      </w:r>
      <w:r>
        <w:rPr>
          <w:rFonts w:hint="eastAsia"/>
        </w:rPr>
        <w:t>见表1</w:t>
      </w:r>
      <w:r>
        <w:t>-</w:t>
      </w:r>
      <w:r>
        <w:rPr>
          <w:rFonts w:hint="eastAsia"/>
          <w:lang w:val="en-US" w:eastAsia="zh-CN"/>
        </w:rPr>
        <w:t>27。</w:t>
      </w:r>
    </w:p>
    <w:p>
      <w:pPr>
        <w:pStyle w:val="273"/>
        <w:bidi w:val="0"/>
        <w:rPr>
          <w:rFonts w:hint="eastAsia"/>
          <w:lang w:val="en-US" w:eastAsia="zh-CN"/>
        </w:rPr>
      </w:pPr>
      <w:r>
        <w:rPr>
          <w:rFonts w:hint="eastAsia"/>
          <w:lang w:val="en-US" w:eastAsia="zh-CN"/>
        </w:rPr>
        <w:t>表1-27  建设项目主体工程及产品（含副产品）方案</w:t>
      </w:r>
    </w:p>
    <w:tbl>
      <w:tblPr>
        <w:tblStyle w:val="2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25"/>
        <w:gridCol w:w="2519"/>
        <w:gridCol w:w="1407"/>
        <w:gridCol w:w="2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675" w:type="dxa"/>
            <w:vAlign w:val="center"/>
          </w:tcPr>
          <w:p>
            <w:pPr>
              <w:pStyle w:val="100"/>
              <w:widowControl w:val="0"/>
              <w:bidi w:val="0"/>
              <w:adjustRightInd w:val="0"/>
              <w:snapToGrid w:val="0"/>
            </w:pPr>
            <w:r>
              <w:rPr>
                <w:rFonts w:hint="eastAsia"/>
              </w:rPr>
              <w:t>序号</w:t>
            </w:r>
          </w:p>
        </w:tc>
        <w:tc>
          <w:tcPr>
            <w:tcW w:w="1825" w:type="dxa"/>
            <w:vAlign w:val="center"/>
          </w:tcPr>
          <w:p>
            <w:pPr>
              <w:pStyle w:val="100"/>
              <w:widowControl w:val="0"/>
              <w:bidi w:val="0"/>
              <w:adjustRightInd w:val="0"/>
              <w:snapToGrid w:val="0"/>
            </w:pPr>
            <w:r>
              <w:rPr>
                <w:rFonts w:hint="eastAsia"/>
              </w:rPr>
              <w:t>主体工程名称</w:t>
            </w:r>
          </w:p>
        </w:tc>
        <w:tc>
          <w:tcPr>
            <w:tcW w:w="2519" w:type="dxa"/>
            <w:vAlign w:val="center"/>
          </w:tcPr>
          <w:p>
            <w:pPr>
              <w:pStyle w:val="100"/>
              <w:widowControl w:val="0"/>
              <w:bidi w:val="0"/>
              <w:adjustRightInd w:val="0"/>
              <w:snapToGrid w:val="0"/>
            </w:pPr>
            <w:r>
              <w:rPr>
                <w:rFonts w:hint="eastAsia"/>
              </w:rPr>
              <w:t>产品名称及规格</w:t>
            </w:r>
          </w:p>
        </w:tc>
        <w:tc>
          <w:tcPr>
            <w:tcW w:w="1407" w:type="dxa"/>
            <w:vAlign w:val="center"/>
          </w:tcPr>
          <w:p>
            <w:pPr>
              <w:pStyle w:val="100"/>
              <w:widowControl w:val="0"/>
              <w:bidi w:val="0"/>
              <w:adjustRightInd w:val="0"/>
              <w:snapToGrid w:val="0"/>
            </w:pPr>
            <w:r>
              <w:rPr>
                <w:rFonts w:hint="eastAsia"/>
              </w:rPr>
              <w:t>年设计能力</w:t>
            </w:r>
          </w:p>
        </w:tc>
        <w:tc>
          <w:tcPr>
            <w:tcW w:w="2020" w:type="dxa"/>
            <w:vAlign w:val="center"/>
          </w:tcPr>
          <w:p>
            <w:pPr>
              <w:pStyle w:val="100"/>
              <w:widowControl w:val="0"/>
              <w:bidi w:val="0"/>
              <w:adjustRightInd w:val="0"/>
              <w:snapToGrid w:val="0"/>
            </w:pPr>
            <w:r>
              <w:rPr>
                <w:rFonts w:hint="eastAsia"/>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75" w:type="dxa"/>
            <w:vAlign w:val="center"/>
          </w:tcPr>
          <w:p>
            <w:pPr>
              <w:pStyle w:val="100"/>
              <w:widowControl w:val="0"/>
              <w:bidi w:val="0"/>
              <w:adjustRightInd w:val="0"/>
              <w:snapToGrid w:val="0"/>
            </w:pPr>
            <w:r>
              <w:rPr>
                <w:rFonts w:hint="eastAsia"/>
              </w:rPr>
              <w:t>1</w:t>
            </w:r>
          </w:p>
        </w:tc>
        <w:tc>
          <w:tcPr>
            <w:tcW w:w="1825" w:type="dxa"/>
            <w:vAlign w:val="center"/>
          </w:tcPr>
          <w:p>
            <w:pPr>
              <w:pStyle w:val="100"/>
              <w:widowControl w:val="0"/>
              <w:bidi w:val="0"/>
              <w:adjustRightInd w:val="0"/>
              <w:snapToGrid w:val="0"/>
            </w:pPr>
            <w:r>
              <w:rPr>
                <w:rFonts w:hint="eastAsia"/>
              </w:rPr>
              <w:t>薄膜生产线</w:t>
            </w:r>
          </w:p>
        </w:tc>
        <w:tc>
          <w:tcPr>
            <w:tcW w:w="2519" w:type="dxa"/>
            <w:vAlign w:val="center"/>
          </w:tcPr>
          <w:p>
            <w:pPr>
              <w:pStyle w:val="100"/>
              <w:widowControl w:val="0"/>
              <w:bidi w:val="0"/>
              <w:adjustRightInd w:val="0"/>
              <w:snapToGrid w:val="0"/>
            </w:pPr>
            <w:r>
              <w:rPr>
                <w:rFonts w:hint="eastAsia"/>
              </w:rPr>
              <w:t>薄膜</w:t>
            </w:r>
          </w:p>
        </w:tc>
        <w:tc>
          <w:tcPr>
            <w:tcW w:w="1407" w:type="dxa"/>
            <w:vAlign w:val="center"/>
          </w:tcPr>
          <w:p>
            <w:pPr>
              <w:pStyle w:val="100"/>
              <w:widowControl w:val="0"/>
              <w:bidi w:val="0"/>
              <w:adjustRightInd w:val="0"/>
              <w:snapToGrid w:val="0"/>
            </w:pPr>
            <w:r>
              <w:rPr>
                <w:rFonts w:hint="eastAsia"/>
                <w:lang w:val="en-US" w:eastAsia="zh-CN"/>
              </w:rPr>
              <w:t>4500</w:t>
            </w:r>
            <w:r>
              <w:rPr>
                <w:rFonts w:hint="eastAsia"/>
              </w:rPr>
              <w:t>万片</w:t>
            </w:r>
          </w:p>
        </w:tc>
        <w:tc>
          <w:tcPr>
            <w:tcW w:w="2020" w:type="dxa"/>
            <w:vAlign w:val="center"/>
          </w:tcPr>
          <w:p>
            <w:pPr>
              <w:pStyle w:val="100"/>
              <w:widowControl w:val="0"/>
              <w:bidi w:val="0"/>
              <w:adjustRightInd w:val="0"/>
              <w:snapToGrid w:val="0"/>
            </w:pPr>
            <w:r>
              <w:rPr>
                <w:rFonts w:hint="eastAsia"/>
              </w:rPr>
              <w:t>6000小时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75" w:type="dxa"/>
            <w:vAlign w:val="center"/>
          </w:tcPr>
          <w:p>
            <w:pPr>
              <w:pStyle w:val="100"/>
              <w:widowControl w:val="0"/>
              <w:bidi w:val="0"/>
              <w:adjustRightInd w:val="0"/>
              <w:snapToGrid w:val="0"/>
            </w:pPr>
            <w:r>
              <w:rPr>
                <w:rFonts w:hint="eastAsia"/>
              </w:rPr>
              <w:t>2</w:t>
            </w:r>
          </w:p>
        </w:tc>
        <w:tc>
          <w:tcPr>
            <w:tcW w:w="1825" w:type="dxa"/>
            <w:vAlign w:val="center"/>
          </w:tcPr>
          <w:p>
            <w:pPr>
              <w:pStyle w:val="100"/>
              <w:widowControl w:val="0"/>
              <w:bidi w:val="0"/>
              <w:adjustRightInd w:val="0"/>
              <w:snapToGrid w:val="0"/>
            </w:pPr>
            <w:r>
              <w:rPr>
                <w:rFonts w:hint="eastAsia"/>
              </w:rPr>
              <w:t>电脑键盘开关按键生产线</w:t>
            </w:r>
          </w:p>
        </w:tc>
        <w:tc>
          <w:tcPr>
            <w:tcW w:w="2519" w:type="dxa"/>
            <w:vAlign w:val="center"/>
          </w:tcPr>
          <w:p>
            <w:pPr>
              <w:pStyle w:val="100"/>
              <w:widowControl w:val="0"/>
              <w:bidi w:val="0"/>
              <w:adjustRightInd w:val="0"/>
              <w:snapToGrid w:val="0"/>
            </w:pPr>
            <w:r>
              <w:rPr>
                <w:rFonts w:hint="eastAsia"/>
              </w:rPr>
              <w:t>电脑键盘开关按键</w:t>
            </w:r>
          </w:p>
        </w:tc>
        <w:tc>
          <w:tcPr>
            <w:tcW w:w="1407" w:type="dxa"/>
            <w:vAlign w:val="center"/>
          </w:tcPr>
          <w:p>
            <w:pPr>
              <w:pStyle w:val="100"/>
              <w:widowControl w:val="0"/>
              <w:bidi w:val="0"/>
              <w:adjustRightInd w:val="0"/>
              <w:snapToGrid w:val="0"/>
            </w:pPr>
            <w:r>
              <w:rPr>
                <w:rFonts w:hint="eastAsia"/>
                <w:lang w:val="en-US" w:eastAsia="zh-CN"/>
              </w:rPr>
              <w:t>2700</w:t>
            </w:r>
            <w:r>
              <w:rPr>
                <w:rFonts w:hint="eastAsia"/>
              </w:rPr>
              <w:t>万个</w:t>
            </w:r>
          </w:p>
        </w:tc>
        <w:tc>
          <w:tcPr>
            <w:tcW w:w="2020" w:type="dxa"/>
            <w:vAlign w:val="center"/>
          </w:tcPr>
          <w:p>
            <w:pPr>
              <w:pStyle w:val="100"/>
              <w:widowControl w:val="0"/>
              <w:bidi w:val="0"/>
              <w:adjustRightInd w:val="0"/>
              <w:snapToGrid w:val="0"/>
            </w:pPr>
            <w:r>
              <w:rPr>
                <w:rFonts w:hint="eastAsia"/>
              </w:rPr>
              <w:t>6000小时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75" w:type="dxa"/>
            <w:vAlign w:val="center"/>
          </w:tcPr>
          <w:p>
            <w:pPr>
              <w:pStyle w:val="100"/>
              <w:widowControl w:val="0"/>
              <w:bidi w:val="0"/>
              <w:adjustRightInd w:val="0"/>
              <w:snapToGrid w:val="0"/>
              <w:rPr>
                <w:rFonts w:hint="eastAsia"/>
                <w:lang w:val="en-US" w:eastAsia="zh-CN"/>
              </w:rPr>
            </w:pPr>
            <w:r>
              <w:rPr>
                <w:rFonts w:hint="eastAsia"/>
                <w:lang w:val="en-US" w:eastAsia="zh-CN"/>
              </w:rPr>
              <w:t>3</w:t>
            </w:r>
          </w:p>
        </w:tc>
        <w:tc>
          <w:tcPr>
            <w:tcW w:w="1825" w:type="dxa"/>
            <w:vAlign w:val="center"/>
          </w:tcPr>
          <w:p>
            <w:pPr>
              <w:pStyle w:val="100"/>
              <w:widowControl w:val="0"/>
              <w:bidi w:val="0"/>
              <w:adjustRightInd w:val="0"/>
              <w:snapToGrid w:val="0"/>
              <w:rPr>
                <w:rFonts w:hint="default"/>
                <w:lang w:val="en-US" w:eastAsia="zh-CN"/>
              </w:rPr>
            </w:pPr>
            <w:r>
              <w:rPr>
                <w:rFonts w:hint="eastAsia"/>
                <w:lang w:val="en-US" w:eastAsia="zh-CN"/>
              </w:rPr>
              <w:t>软性线路板生产线（未投产）</w:t>
            </w:r>
          </w:p>
        </w:tc>
        <w:tc>
          <w:tcPr>
            <w:tcW w:w="2519" w:type="dxa"/>
            <w:vAlign w:val="center"/>
          </w:tcPr>
          <w:p>
            <w:pPr>
              <w:pStyle w:val="100"/>
              <w:widowControl w:val="0"/>
              <w:bidi w:val="0"/>
              <w:adjustRightInd w:val="0"/>
              <w:snapToGrid w:val="0"/>
              <w:rPr>
                <w:rFonts w:hint="eastAsia"/>
                <w:lang w:val="en-US" w:eastAsia="zh-CN"/>
              </w:rPr>
            </w:pPr>
            <w:r>
              <w:rPr>
                <w:rFonts w:hint="eastAsia"/>
                <w:lang w:val="en-US" w:eastAsia="zh-CN"/>
              </w:rPr>
              <w:t>软性线路板</w:t>
            </w:r>
          </w:p>
        </w:tc>
        <w:tc>
          <w:tcPr>
            <w:tcW w:w="1407" w:type="dxa"/>
            <w:vAlign w:val="center"/>
          </w:tcPr>
          <w:p>
            <w:pPr>
              <w:pStyle w:val="100"/>
              <w:widowControl w:val="0"/>
              <w:bidi w:val="0"/>
              <w:adjustRightInd w:val="0"/>
              <w:snapToGrid w:val="0"/>
              <w:rPr>
                <w:rFonts w:hint="default"/>
                <w:lang w:val="en-US" w:eastAsia="zh-CN"/>
              </w:rPr>
            </w:pPr>
            <w:r>
              <w:rPr>
                <w:rFonts w:hint="eastAsia"/>
                <w:lang w:val="en-US" w:eastAsia="zh-CN"/>
              </w:rPr>
              <w:t>3000万片</w:t>
            </w:r>
          </w:p>
        </w:tc>
        <w:tc>
          <w:tcPr>
            <w:tcW w:w="2020" w:type="dxa"/>
            <w:vAlign w:val="center"/>
          </w:tcPr>
          <w:p>
            <w:pPr>
              <w:pStyle w:val="100"/>
              <w:widowControl w:val="0"/>
              <w:bidi w:val="0"/>
              <w:adjustRightInd w:val="0"/>
              <w:snapToGrid w:val="0"/>
              <w:rPr>
                <w:rFonts w:hint="default"/>
                <w:lang w:val="en-US" w:eastAsia="zh-CN"/>
              </w:rPr>
            </w:pPr>
            <w:r>
              <w:rPr>
                <w:rFonts w:hint="eastAsia"/>
                <w:lang w:val="en-US" w:eastAsia="zh-CN"/>
              </w:rPr>
              <w:t>0小时</w:t>
            </w:r>
          </w:p>
        </w:tc>
      </w:tr>
    </w:tbl>
    <w:p>
      <w:pPr>
        <w:pStyle w:val="104"/>
      </w:pPr>
      <w:r>
        <w:pict>
          <v:shape id="_x0000_s1028" o:spid="_x0000_s1028" o:spt="75" type="#_x0000_t75" style="position:absolute;left:0pt;margin-left:-67.25pt;margin-top:-43.45pt;height:291.3pt;width:537.65pt;z-index:251668480;mso-width-relative:page;mso-height-relative:page;" o:ole="t" filled="f" o:preferrelative="t" stroked="f" coordsize="21600,21600">
            <v:path/>
            <v:fill on="f" focussize="0,0"/>
            <v:stroke on="f"/>
            <v:imagedata r:id="rId9" o:title=""/>
            <o:lock v:ext="edit" aspectratio="t"/>
          </v:shape>
          <o:OLEObject Type="Embed" ProgID="Visio.Drawing.15" ShapeID="_x0000_s1028" DrawAspect="Content" ObjectID="_1468075725" r:id="rId8">
            <o:LockedField>false</o:LockedField>
          </o:OLEObject>
        </w:pict>
      </w:r>
      <w:r>
        <w:rPr>
          <w:rFonts w:hint="eastAsia"/>
          <w:lang w:val="en-US" w:eastAsia="zh-CN"/>
        </w:rPr>
        <w:t>原</w:t>
      </w:r>
      <w:r>
        <w:rPr>
          <w:rFonts w:hint="eastAsia"/>
        </w:rPr>
        <w:t>有项目生产工艺</w:t>
      </w:r>
    </w:p>
    <w:p>
      <w:pPr>
        <w:pStyle w:val="103"/>
      </w:pPr>
      <w:r>
        <w:rPr>
          <w:rFonts w:hint="eastAsia"/>
        </w:rPr>
        <w:t>（一）</w:t>
      </w:r>
      <w:r>
        <w:rPr>
          <w:rFonts w:hint="eastAsia"/>
          <w:lang w:val="en-US" w:eastAsia="zh-CN"/>
        </w:rPr>
        <w:t>薄膜</w:t>
      </w:r>
      <w:r>
        <w:rPr>
          <w:rFonts w:hint="eastAsia"/>
        </w:rPr>
        <w:t>生产工艺</w:t>
      </w:r>
    </w:p>
    <w:p>
      <w:pPr>
        <w:pStyle w:val="134"/>
        <w:rPr>
          <w:rFonts w:hint="eastAsia"/>
        </w:rPr>
      </w:pPr>
    </w:p>
    <w:p>
      <w:pPr>
        <w:pStyle w:val="134"/>
        <w:rPr>
          <w:rFonts w:hint="eastAsia"/>
        </w:rPr>
      </w:pPr>
    </w:p>
    <w:p>
      <w:pPr>
        <w:pStyle w:val="134"/>
        <w:rPr>
          <w:rFonts w:hint="eastAsia"/>
        </w:rPr>
      </w:pPr>
    </w:p>
    <w:p>
      <w:pPr>
        <w:pStyle w:val="134"/>
      </w:pPr>
      <w:r>
        <w:rPr>
          <w:rFonts w:hint="eastAsia"/>
        </w:rPr>
        <w:t>图1</w:t>
      </w:r>
      <w:r>
        <w:t xml:space="preserve">-2 </w:t>
      </w:r>
      <w:r>
        <w:rPr>
          <w:rFonts w:hint="eastAsia"/>
          <w:lang w:val="en-US" w:eastAsia="zh-CN"/>
        </w:rPr>
        <w:t>薄膜</w:t>
      </w:r>
      <w:r>
        <w:rPr>
          <w:rFonts w:hint="eastAsia"/>
        </w:rPr>
        <w:t>生产工艺</w:t>
      </w:r>
    </w:p>
    <w:p>
      <w:pPr>
        <w:pStyle w:val="103"/>
        <w:bidi w:val="0"/>
      </w:pPr>
      <w:r>
        <w:t>工艺说明：</w:t>
      </w:r>
    </w:p>
    <w:p>
      <w:pPr>
        <w:pStyle w:val="103"/>
        <w:bidi w:val="0"/>
      </w:pPr>
      <w:r>
        <w:rPr>
          <w:rFonts w:hint="eastAsia"/>
        </w:rPr>
        <w:t>1、</w:t>
      </w:r>
      <w:r>
        <w:rPr>
          <w:rFonts w:hint="eastAsia"/>
          <w:lang w:val="en-US" w:eastAsia="zh-CN"/>
        </w:rPr>
        <w:t>打孔定位</w:t>
      </w:r>
      <w:r>
        <w:t>：</w:t>
      </w:r>
      <w:r>
        <w:rPr>
          <w:rFonts w:hint="eastAsia"/>
          <w:lang w:val="en-US" w:eastAsia="zh-CN"/>
        </w:rPr>
        <w:t>将原料PET送入打孔机进行打孔，该过程会产出废边角料S1</w:t>
      </w:r>
      <w:r>
        <w:rPr>
          <w:rFonts w:hint="eastAsia"/>
        </w:rPr>
        <w:t>。</w:t>
      </w:r>
    </w:p>
    <w:p>
      <w:pPr>
        <w:pStyle w:val="103"/>
        <w:bidi w:val="0"/>
      </w:pPr>
      <w:r>
        <w:pict>
          <v:shape id="_x0000_s1029" o:spid="_x0000_s1029" o:spt="75" type="#_x0000_t75" style="position:absolute;left:0pt;margin-left:-18.8pt;margin-top:23.1pt;height:316pt;width:583.25pt;z-index:251679744;mso-width-relative:page;mso-height-relative:page;" o:ole="t" filled="f" o:preferrelative="t" stroked="f" coordsize="21600,21600">
            <v:path/>
            <v:fill on="f" focussize="0,0"/>
            <v:stroke on="f"/>
            <v:imagedata r:id="rId11" o:title=""/>
            <o:lock v:ext="edit" aspectratio="t"/>
          </v:shape>
          <o:OLEObject Type="Embed" ProgID="Visio.Drawing.15" ShapeID="_x0000_s1029" DrawAspect="Content" ObjectID="_1468075726" r:id="rId10">
            <o:LockedField>false</o:LockedField>
          </o:OLEObject>
        </w:pict>
      </w:r>
      <w:r>
        <w:rPr>
          <w:rFonts w:hint="eastAsia"/>
        </w:rPr>
        <w:t>2、</w:t>
      </w:r>
      <w:r>
        <w:rPr>
          <w:rFonts w:hint="eastAsia"/>
          <w:lang w:val="en-US" w:eastAsia="zh-CN"/>
        </w:rPr>
        <w:t>冲型</w:t>
      </w:r>
      <w:r>
        <w:t>：</w:t>
      </w:r>
      <w:r>
        <w:rPr>
          <w:rFonts w:hint="eastAsia"/>
          <w:lang w:val="en-US" w:eastAsia="zh-CN"/>
        </w:rPr>
        <w:t>将打孔后的PET送入冲床，完成其外形的塑造</w:t>
      </w:r>
      <w:r>
        <w:rPr>
          <w:rFonts w:hint="eastAsia"/>
        </w:rPr>
        <w:t>。</w:t>
      </w:r>
    </w:p>
    <w:p>
      <w:pPr>
        <w:pStyle w:val="103"/>
        <w:bidi w:val="0"/>
      </w:pPr>
      <w:r>
        <w:rPr>
          <w:rFonts w:hint="eastAsia"/>
        </w:rPr>
        <w:t>3、</w:t>
      </w:r>
      <w:r>
        <w:rPr>
          <w:rFonts w:hint="eastAsia"/>
          <w:lang w:val="en-US" w:eastAsia="zh-CN"/>
        </w:rPr>
        <w:t>检验：检验生产的薄膜是否符合出厂要求，该过程会产出不合格品S2</w:t>
      </w:r>
      <w:r>
        <w:rPr>
          <w:rFonts w:hint="eastAsia"/>
        </w:rPr>
        <w:t>。</w:t>
      </w:r>
    </w:p>
    <w:p>
      <w:pPr>
        <w:pStyle w:val="103"/>
        <w:bidi w:val="0"/>
      </w:pPr>
      <w:r>
        <w:rPr>
          <w:rFonts w:hint="eastAsia"/>
        </w:rPr>
        <w:t>4、</w:t>
      </w:r>
      <w:r>
        <w:rPr>
          <w:rFonts w:hint="eastAsia"/>
          <w:lang w:val="en-US" w:eastAsia="zh-CN"/>
        </w:rPr>
        <w:t>包装</w:t>
      </w:r>
      <w:r>
        <w:t>：</w:t>
      </w:r>
      <w:r>
        <w:rPr>
          <w:rFonts w:hint="eastAsia"/>
          <w:lang w:val="en-US" w:eastAsia="zh-CN"/>
        </w:rPr>
        <w:t>用纸箱将检验合格后的薄膜进行包装处理</w:t>
      </w:r>
      <w:r>
        <w:t>。</w:t>
      </w:r>
    </w:p>
    <w:p>
      <w:pPr>
        <w:pStyle w:val="103"/>
        <w:bidi w:val="0"/>
        <w:rPr>
          <w:rFonts w:hint="eastAsia"/>
        </w:rPr>
      </w:pPr>
      <w:r>
        <w:rPr>
          <w:rFonts w:hint="eastAsia"/>
        </w:rPr>
        <w:t>5、</w:t>
      </w:r>
      <w:r>
        <w:rPr>
          <w:rFonts w:hint="eastAsia"/>
          <w:lang w:val="en-US" w:eastAsia="zh-CN"/>
        </w:rPr>
        <w:t>成品入库</w:t>
      </w:r>
      <w:r>
        <w:rPr>
          <w:rFonts w:hint="eastAsia"/>
        </w:rPr>
        <w:t>：</w:t>
      </w:r>
      <w:r>
        <w:rPr>
          <w:rFonts w:hint="eastAsia"/>
          <w:lang w:val="en-US" w:eastAsia="zh-CN"/>
        </w:rPr>
        <w:t>将包装后的成品薄膜送入成品仓库</w:t>
      </w:r>
      <w:r>
        <w:rPr>
          <w:rFonts w:hint="eastAsia"/>
        </w:rPr>
        <w:t>。</w:t>
      </w:r>
    </w:p>
    <w:p>
      <w:pPr>
        <w:pStyle w:val="103"/>
        <w:bidi w:val="0"/>
      </w:pPr>
      <w:r>
        <w:rPr>
          <w:rFonts w:hint="eastAsia"/>
        </w:rPr>
        <w:t>（二）</w:t>
      </w:r>
      <w:r>
        <w:rPr>
          <w:rFonts w:hint="eastAsia"/>
          <w:lang w:val="en-US" w:eastAsia="zh-CN"/>
        </w:rPr>
        <w:t>电脑键盘开关按键</w:t>
      </w:r>
      <w:r>
        <w:rPr>
          <w:rFonts w:hint="eastAsia"/>
        </w:rPr>
        <w:t>生产工艺</w:t>
      </w:r>
    </w:p>
    <w:p>
      <w:pPr>
        <w:pStyle w:val="103"/>
        <w:ind w:left="0" w:leftChars="0" w:firstLine="0" w:firstLineChars="0"/>
        <w:rPr>
          <w:rFonts w:ascii="宋体" w:hAnsi="宋体" w:cs="宋体"/>
        </w:rPr>
      </w:pPr>
    </w:p>
    <w:p>
      <w:pPr>
        <w:pStyle w:val="134"/>
      </w:pPr>
    </w:p>
    <w:p>
      <w:pPr>
        <w:pStyle w:val="134"/>
      </w:pPr>
    </w:p>
    <w:p>
      <w:pPr>
        <w:pStyle w:val="134"/>
      </w:pPr>
    </w:p>
    <w:p>
      <w:pPr>
        <w:pStyle w:val="134"/>
      </w:pPr>
      <w:r>
        <w:rPr>
          <w:rFonts w:hint="eastAsia"/>
        </w:rPr>
        <w:t xml:space="preserve">图1-3 </w:t>
      </w:r>
      <w:r>
        <w:rPr>
          <w:rFonts w:hint="eastAsia"/>
          <w:lang w:val="en-US" w:eastAsia="zh-CN"/>
        </w:rPr>
        <w:t>电脑键盘开关按键</w:t>
      </w:r>
      <w:r>
        <w:rPr>
          <w:rFonts w:hint="eastAsia"/>
        </w:rPr>
        <w:t>生产工艺</w:t>
      </w:r>
    </w:p>
    <w:p>
      <w:pPr>
        <w:pStyle w:val="103"/>
        <w:bidi w:val="0"/>
      </w:pPr>
      <w:r>
        <w:t>工艺说明：</w:t>
      </w:r>
    </w:p>
    <w:p>
      <w:pPr>
        <w:pStyle w:val="103"/>
        <w:bidi w:val="0"/>
      </w:pPr>
      <w:r>
        <w:rPr>
          <w:rFonts w:hint="eastAsia"/>
        </w:rPr>
        <w:t>1、</w:t>
      </w:r>
      <w:r>
        <w:rPr>
          <w:rFonts w:hint="eastAsia"/>
          <w:lang w:val="en-US" w:eastAsia="zh-CN"/>
        </w:rPr>
        <w:t>冲切</w:t>
      </w:r>
      <w:r>
        <w:t>：</w:t>
      </w:r>
      <w:r>
        <w:rPr>
          <w:rFonts w:hint="eastAsia"/>
        </w:rPr>
        <w:t>将</w:t>
      </w:r>
      <w:r>
        <w:rPr>
          <w:rFonts w:hint="eastAsia"/>
          <w:lang w:val="en-US" w:eastAsia="zh-CN"/>
        </w:rPr>
        <w:t>半成品的电脑键盘开关按键</w:t>
      </w:r>
      <w:r>
        <w:rPr>
          <w:rFonts w:hint="eastAsia"/>
        </w:rPr>
        <w:t>送入</w:t>
      </w:r>
      <w:r>
        <w:rPr>
          <w:rFonts w:hint="eastAsia"/>
          <w:lang w:val="en-US" w:eastAsia="zh-CN"/>
        </w:rPr>
        <w:t>冲床</w:t>
      </w:r>
      <w:r>
        <w:rPr>
          <w:rFonts w:hint="eastAsia"/>
        </w:rPr>
        <w:t>进行</w:t>
      </w:r>
      <w:r>
        <w:rPr>
          <w:rFonts w:hint="eastAsia"/>
          <w:lang w:val="en-US" w:eastAsia="zh-CN"/>
        </w:rPr>
        <w:t>冲切</w:t>
      </w:r>
      <w:r>
        <w:rPr>
          <w:rFonts w:hint="eastAsia"/>
        </w:rPr>
        <w:t>得到基本形状。该过程会产生边角料S</w:t>
      </w:r>
      <w:r>
        <w:rPr>
          <w:rFonts w:hint="eastAsia"/>
          <w:lang w:val="en-US" w:eastAsia="zh-CN"/>
        </w:rPr>
        <w:t>3</w:t>
      </w:r>
      <w:r>
        <w:rPr>
          <w:rFonts w:hint="eastAsia"/>
        </w:rPr>
        <w:t>。</w:t>
      </w:r>
    </w:p>
    <w:p>
      <w:pPr>
        <w:pStyle w:val="103"/>
        <w:bidi w:val="0"/>
      </w:pPr>
      <w:r>
        <w:rPr>
          <w:rFonts w:hint="eastAsia"/>
        </w:rPr>
        <w:t>2、</w:t>
      </w:r>
      <w:r>
        <w:rPr>
          <w:rFonts w:hint="eastAsia"/>
          <w:lang w:val="en-US" w:eastAsia="zh-CN"/>
        </w:rPr>
        <w:t>检验</w:t>
      </w:r>
      <w:r>
        <w:t>：</w:t>
      </w:r>
      <w:r>
        <w:rPr>
          <w:rFonts w:hint="eastAsia"/>
          <w:lang w:val="en-US" w:eastAsia="zh-CN"/>
        </w:rPr>
        <w:t>检查冲切好的电脑键盘开关按键是否符合出厂要求，该过程会产生不合格品S4</w:t>
      </w:r>
      <w:r>
        <w:rPr>
          <w:rFonts w:hint="eastAsia"/>
        </w:rPr>
        <w:t>。</w:t>
      </w:r>
    </w:p>
    <w:p>
      <w:pPr>
        <w:pStyle w:val="103"/>
        <w:bidi w:val="0"/>
        <w:rPr>
          <w:rFonts w:hint="eastAsia"/>
        </w:rPr>
      </w:pPr>
      <w:r>
        <w:rPr>
          <w:rFonts w:hint="eastAsia"/>
        </w:rPr>
        <w:t>3、</w:t>
      </w:r>
      <w:r>
        <w:rPr>
          <w:rFonts w:hint="eastAsia"/>
          <w:lang w:val="en-US" w:eastAsia="zh-CN"/>
        </w:rPr>
        <w:t>包装</w:t>
      </w:r>
      <w:r>
        <w:t>：</w:t>
      </w:r>
      <w:r>
        <w:rPr>
          <w:rFonts w:hint="eastAsia"/>
          <w:lang w:val="en-US" w:eastAsia="zh-CN"/>
        </w:rPr>
        <w:t>将检验合格后的电脑键盘开关按键成品用纸箱包装好</w:t>
      </w:r>
      <w:r>
        <w:rPr>
          <w:rFonts w:hint="eastAsia"/>
        </w:rPr>
        <w:t>。</w:t>
      </w:r>
    </w:p>
    <w:p>
      <w:pPr>
        <w:pStyle w:val="103"/>
        <w:bidi w:val="0"/>
        <w:rPr>
          <w:rFonts w:hint="eastAsia"/>
          <w:lang w:val="en-US" w:eastAsia="zh-CN"/>
        </w:rPr>
      </w:pPr>
      <w:r>
        <w:rPr>
          <w:rFonts w:hint="eastAsia"/>
          <w:lang w:val="en-US" w:eastAsia="zh-CN"/>
        </w:rPr>
        <w:t>4、成品入库：将包装好以后的电脑键盘开关按键送入成品仓库。</w:t>
      </w:r>
    </w:p>
    <w:p>
      <w:pPr>
        <w:pStyle w:val="103"/>
        <w:bidi w:val="0"/>
        <w:rPr>
          <w:rFonts w:hint="eastAsia"/>
          <w:lang w:val="en-US" w:eastAsia="zh-CN"/>
        </w:rPr>
      </w:pPr>
      <w:r>
        <w:rPr>
          <w:rFonts w:hint="eastAsia"/>
          <w:lang w:val="en-US" w:eastAsia="zh-CN"/>
        </w:rPr>
        <w:t>（三）软性线路板生产工艺</w:t>
      </w:r>
    </w:p>
    <w:p>
      <w:pPr>
        <w:pStyle w:val="103"/>
        <w:bidi w:val="0"/>
        <w:rPr>
          <w:rFonts w:hint="default"/>
          <w:lang w:val="en-US" w:eastAsia="zh-CN"/>
        </w:rPr>
      </w:pPr>
      <w:r>
        <w:rPr>
          <w:rFonts w:hint="eastAsia"/>
          <w:lang w:val="en-US" w:eastAsia="zh-CN"/>
        </w:rPr>
        <w:t>由于软性线路板项目获批以来均未进行投产，所以不进行说明</w:t>
      </w:r>
    </w:p>
    <w:p>
      <w:pPr>
        <w:pStyle w:val="104"/>
      </w:pPr>
      <w:r>
        <w:rPr>
          <w:rFonts w:hint="eastAsia"/>
          <w:lang w:val="en-US" w:eastAsia="zh-CN"/>
        </w:rPr>
        <w:t>原</w:t>
      </w:r>
      <w:r>
        <w:rPr>
          <w:rFonts w:hint="eastAsia"/>
        </w:rPr>
        <w:t>有项目污染物产生及排放情况</w:t>
      </w:r>
    </w:p>
    <w:p>
      <w:pPr>
        <w:pStyle w:val="103"/>
        <w:bidi w:val="0"/>
      </w:pPr>
      <w:r>
        <w:rPr>
          <w:rFonts w:hint="eastAsia"/>
        </w:rPr>
        <w:t>1、</w:t>
      </w:r>
      <w:r>
        <w:t>废气：</w:t>
      </w:r>
      <w:r>
        <w:rPr>
          <w:rFonts w:hint="eastAsia"/>
          <w:lang w:val="en-US" w:eastAsia="zh-CN"/>
        </w:rPr>
        <w:t>现有项目生产过程中无废气产生</w:t>
      </w:r>
      <w:r>
        <w:t>。</w:t>
      </w:r>
    </w:p>
    <w:p>
      <w:pPr>
        <w:pStyle w:val="103"/>
        <w:bidi w:val="0"/>
      </w:pPr>
      <w:r>
        <w:rPr>
          <w:rFonts w:hint="eastAsia"/>
        </w:rPr>
        <w:t>2、</w:t>
      </w:r>
      <w:r>
        <w:t>废水：废水主要为员工日常生活产生的生活污水，生活污水量为</w:t>
      </w:r>
      <w:r>
        <w:rPr>
          <w:rFonts w:hint="eastAsia"/>
          <w:lang w:val="en-US" w:eastAsia="zh-CN"/>
        </w:rPr>
        <w:t>425</w:t>
      </w:r>
      <w:r>
        <w:t>t/a，</w:t>
      </w:r>
      <w:r>
        <w:rPr>
          <w:rFonts w:hint="eastAsia"/>
        </w:rPr>
        <w:t>排入市政管网</w:t>
      </w:r>
      <w:r>
        <w:t>送入</w:t>
      </w:r>
      <w:r>
        <w:rPr>
          <w:rFonts w:hint="eastAsia"/>
        </w:rPr>
        <w:t>苏州市吴江经济技术开发区运东污水处理厂</w:t>
      </w:r>
      <w:r>
        <w:t>处理。</w:t>
      </w:r>
    </w:p>
    <w:p>
      <w:pPr>
        <w:pStyle w:val="103"/>
        <w:bidi w:val="0"/>
      </w:pPr>
      <w:r>
        <w:rPr>
          <w:rFonts w:hint="eastAsia"/>
        </w:rPr>
        <w:t>3、</w:t>
      </w:r>
      <w:r>
        <w:t>噪声：项目主要的噪声源为生产设备运行时的噪声。项目主要噪声生产设备为粉碎机、混料设备和空压机等，噪声源强为75~85dB(A)之间。经选用低噪声设备、合理布局、减振隔声等措施</w:t>
      </w:r>
      <w:r>
        <w:rPr>
          <w:rFonts w:hint="eastAsia"/>
        </w:rPr>
        <w:t>。</w:t>
      </w:r>
    </w:p>
    <w:p>
      <w:pPr>
        <w:pStyle w:val="103"/>
        <w:bidi w:val="0"/>
      </w:pPr>
      <w:r>
        <w:rPr>
          <w:rFonts w:hint="eastAsia"/>
        </w:rPr>
        <w:t>4、</w:t>
      </w:r>
      <w:r>
        <w:t>固废：项目主要固废为</w:t>
      </w:r>
      <w:r>
        <w:rPr>
          <w:rFonts w:hint="eastAsia"/>
        </w:rPr>
        <w:t>边角料、不合格品和生活垃圾</w:t>
      </w:r>
      <w:r>
        <w:t>。边角料、不合格品收集后</w:t>
      </w:r>
      <w:r>
        <w:rPr>
          <w:rFonts w:hint="eastAsia"/>
        </w:rPr>
        <w:t>外售利用单位</w:t>
      </w:r>
      <w:r>
        <w:t>，生活垃圾由当地环卫部门日产日清</w:t>
      </w:r>
      <w:r>
        <w:rPr>
          <w:rFonts w:hint="eastAsia"/>
          <w:lang w:eastAsia="zh-CN"/>
        </w:rPr>
        <w:t>。</w:t>
      </w:r>
      <w:r>
        <w:t>固废均能得到妥善处置。</w:t>
      </w:r>
    </w:p>
    <w:p>
      <w:pPr>
        <w:pStyle w:val="103"/>
        <w:bidi w:val="0"/>
      </w:pPr>
      <w:r>
        <w:rPr>
          <w:rFonts w:hint="eastAsia"/>
        </w:rPr>
        <w:t>原有项目污染物排放情况见表1</w:t>
      </w:r>
      <w:r>
        <w:t>-</w:t>
      </w:r>
      <w:r>
        <w:rPr>
          <w:rFonts w:hint="eastAsia"/>
          <w:lang w:val="en-US" w:eastAsia="zh-CN"/>
        </w:rPr>
        <w:t>28</w:t>
      </w:r>
      <w:r>
        <w:rPr>
          <w:rFonts w:hint="eastAsia"/>
        </w:rPr>
        <w:t>。</w:t>
      </w:r>
    </w:p>
    <w:p>
      <w:pPr>
        <w:pStyle w:val="273"/>
        <w:bidi w:val="0"/>
      </w:pPr>
      <w:r>
        <w:rPr>
          <w:rFonts w:hint="eastAsia"/>
        </w:rPr>
        <w:t>表1-</w:t>
      </w:r>
      <w:r>
        <w:rPr>
          <w:rFonts w:hint="eastAsia"/>
          <w:lang w:val="en-US" w:eastAsia="zh-CN"/>
        </w:rPr>
        <w:t>28</w:t>
      </w:r>
      <w:r>
        <w:rPr>
          <w:rFonts w:hint="eastAsia"/>
        </w:rPr>
        <w:t xml:space="preserve"> </w:t>
      </w:r>
      <w:r>
        <w:rPr>
          <w:rFonts w:hint="eastAsia"/>
          <w:lang w:val="en-US" w:eastAsia="zh-CN"/>
        </w:rPr>
        <w:t>原</w:t>
      </w:r>
      <w:r>
        <w:rPr>
          <w:rFonts w:hint="eastAsia"/>
        </w:rPr>
        <w:t>有项目污染物排放情况</w:t>
      </w:r>
    </w:p>
    <w:tbl>
      <w:tblPr>
        <w:tblStyle w:val="260"/>
        <w:tblW w:w="494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480"/>
        <w:gridCol w:w="1727"/>
        <w:gridCol w:w="1516"/>
        <w:gridCol w:w="1315"/>
        <w:gridCol w:w="1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restart"/>
            <w:vAlign w:val="center"/>
          </w:tcPr>
          <w:p>
            <w:pPr>
              <w:pStyle w:val="100"/>
              <w:widowControl w:val="0"/>
              <w:bidi w:val="0"/>
              <w:adjustRightInd w:val="0"/>
              <w:snapToGrid w:val="0"/>
            </w:pPr>
            <w:r>
              <w:rPr>
                <w:rFonts w:hint="eastAsia"/>
              </w:rPr>
              <w:t>废水</w:t>
            </w:r>
          </w:p>
        </w:tc>
        <w:tc>
          <w:tcPr>
            <w:tcW w:w="1902" w:type="pct"/>
            <w:gridSpan w:val="2"/>
            <w:vAlign w:val="center"/>
          </w:tcPr>
          <w:p>
            <w:pPr>
              <w:pStyle w:val="100"/>
              <w:widowControl w:val="0"/>
              <w:bidi w:val="0"/>
              <w:adjustRightInd w:val="0"/>
              <w:snapToGrid w:val="0"/>
            </w:pPr>
            <w:r>
              <w:rPr>
                <w:rFonts w:hint="eastAsia"/>
              </w:rPr>
              <w:t>污染物</w:t>
            </w:r>
          </w:p>
        </w:tc>
        <w:tc>
          <w:tcPr>
            <w:tcW w:w="899" w:type="pct"/>
            <w:vAlign w:val="center"/>
          </w:tcPr>
          <w:p>
            <w:pPr>
              <w:pStyle w:val="100"/>
              <w:widowControl w:val="0"/>
              <w:bidi w:val="0"/>
              <w:adjustRightInd w:val="0"/>
              <w:snapToGrid w:val="0"/>
            </w:pPr>
            <w:r>
              <w:rPr>
                <w:rFonts w:hint="eastAsia"/>
              </w:rPr>
              <w:t>接管量</w:t>
            </w:r>
            <w:r>
              <w:t>t/a</w:t>
            </w:r>
          </w:p>
        </w:tc>
        <w:tc>
          <w:tcPr>
            <w:tcW w:w="780" w:type="pct"/>
            <w:vAlign w:val="center"/>
          </w:tcPr>
          <w:p>
            <w:pPr>
              <w:pStyle w:val="100"/>
              <w:widowControl w:val="0"/>
              <w:bidi w:val="0"/>
              <w:adjustRightInd w:val="0"/>
              <w:snapToGrid w:val="0"/>
            </w:pPr>
            <w:r>
              <w:rPr>
                <w:rFonts w:hint="eastAsia"/>
              </w:rPr>
              <w:t>外排量</w:t>
            </w:r>
            <w:r>
              <w:t>t/a</w:t>
            </w:r>
          </w:p>
        </w:tc>
        <w:tc>
          <w:tcPr>
            <w:tcW w:w="1020" w:type="pct"/>
            <w:vAlign w:val="center"/>
          </w:tcPr>
          <w:p>
            <w:pPr>
              <w:pStyle w:val="100"/>
              <w:widowControl w:val="0"/>
              <w:bidi w:val="0"/>
              <w:adjustRightInd w:val="0"/>
              <w:snapToGrid w:val="0"/>
            </w:pPr>
            <w:r>
              <w:rPr>
                <w:rFonts w:hint="eastAsia"/>
              </w:rPr>
              <w:t>实际排放量t/a*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continue"/>
            <w:vAlign w:val="center"/>
          </w:tcPr>
          <w:p>
            <w:pPr>
              <w:pStyle w:val="100"/>
              <w:widowControl w:val="0"/>
              <w:bidi w:val="0"/>
              <w:adjustRightInd w:val="0"/>
              <w:snapToGrid w:val="0"/>
            </w:pPr>
          </w:p>
        </w:tc>
        <w:tc>
          <w:tcPr>
            <w:tcW w:w="1902" w:type="pct"/>
            <w:gridSpan w:val="2"/>
            <w:vAlign w:val="center"/>
          </w:tcPr>
          <w:p>
            <w:pPr>
              <w:pStyle w:val="100"/>
              <w:widowControl w:val="0"/>
              <w:bidi w:val="0"/>
              <w:adjustRightInd w:val="0"/>
              <w:snapToGrid w:val="0"/>
            </w:pPr>
            <w:r>
              <w:rPr>
                <w:rFonts w:hint="eastAsia"/>
              </w:rPr>
              <w:t>水量</w:t>
            </w:r>
          </w:p>
        </w:tc>
        <w:tc>
          <w:tcPr>
            <w:tcW w:w="899" w:type="pct"/>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780" w:type="pct"/>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1020" w:type="pct"/>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continue"/>
            <w:vAlign w:val="center"/>
          </w:tcPr>
          <w:p>
            <w:pPr>
              <w:pStyle w:val="100"/>
              <w:widowControl w:val="0"/>
              <w:bidi w:val="0"/>
              <w:adjustRightInd w:val="0"/>
              <w:snapToGrid w:val="0"/>
            </w:pPr>
          </w:p>
        </w:tc>
        <w:tc>
          <w:tcPr>
            <w:tcW w:w="1902" w:type="pct"/>
            <w:gridSpan w:val="2"/>
            <w:vAlign w:val="center"/>
          </w:tcPr>
          <w:p>
            <w:pPr>
              <w:pStyle w:val="100"/>
              <w:widowControl w:val="0"/>
              <w:bidi w:val="0"/>
              <w:adjustRightInd w:val="0"/>
              <w:snapToGrid w:val="0"/>
            </w:pPr>
            <w:r>
              <w:rPr>
                <w:rFonts w:hint="eastAsia"/>
              </w:rPr>
              <w:t>COD</w:t>
            </w:r>
          </w:p>
        </w:tc>
        <w:tc>
          <w:tcPr>
            <w:tcW w:w="899" w:type="pct"/>
            <w:vAlign w:val="center"/>
          </w:tcPr>
          <w:p>
            <w:pPr>
              <w:pStyle w:val="100"/>
              <w:widowControl w:val="0"/>
              <w:bidi w:val="0"/>
              <w:adjustRightInd w:val="0"/>
              <w:snapToGrid w:val="0"/>
              <w:rPr>
                <w:rFonts w:hint="default"/>
                <w:lang w:val="en-US" w:eastAsia="zh-CN"/>
              </w:rPr>
            </w:pPr>
            <w:r>
              <w:rPr>
                <w:rFonts w:hint="eastAsia"/>
              </w:rPr>
              <w:t>0</w:t>
            </w:r>
            <w:r>
              <w:t>.</w:t>
            </w:r>
            <w:r>
              <w:rPr>
                <w:rFonts w:hint="eastAsia"/>
                <w:lang w:val="en-US" w:eastAsia="zh-CN"/>
              </w:rPr>
              <w:t>149</w:t>
            </w:r>
          </w:p>
        </w:tc>
        <w:tc>
          <w:tcPr>
            <w:tcW w:w="780" w:type="pct"/>
            <w:vAlign w:val="center"/>
          </w:tcPr>
          <w:p>
            <w:pPr>
              <w:pStyle w:val="100"/>
              <w:widowControl w:val="0"/>
              <w:bidi w:val="0"/>
              <w:adjustRightInd w:val="0"/>
              <w:snapToGrid w:val="0"/>
              <w:rPr>
                <w:rFonts w:hint="default"/>
                <w:lang w:val="en-US" w:eastAsia="zh-CN"/>
              </w:rPr>
            </w:pPr>
            <w:r>
              <w:rPr>
                <w:rFonts w:hint="eastAsia"/>
              </w:rPr>
              <w:t>0</w:t>
            </w:r>
            <w:r>
              <w:t>.0</w:t>
            </w:r>
            <w:r>
              <w:rPr>
                <w:rFonts w:hint="eastAsia"/>
                <w:lang w:val="en-US" w:eastAsia="zh-CN"/>
              </w:rPr>
              <w:t>21</w:t>
            </w:r>
          </w:p>
        </w:tc>
        <w:tc>
          <w:tcPr>
            <w:tcW w:w="1020" w:type="pct"/>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continue"/>
            <w:vAlign w:val="center"/>
          </w:tcPr>
          <w:p>
            <w:pPr>
              <w:pStyle w:val="100"/>
              <w:widowControl w:val="0"/>
              <w:bidi w:val="0"/>
              <w:adjustRightInd w:val="0"/>
              <w:snapToGrid w:val="0"/>
            </w:pPr>
          </w:p>
        </w:tc>
        <w:tc>
          <w:tcPr>
            <w:tcW w:w="1902" w:type="pct"/>
            <w:gridSpan w:val="2"/>
            <w:vAlign w:val="center"/>
          </w:tcPr>
          <w:p>
            <w:pPr>
              <w:pStyle w:val="100"/>
              <w:widowControl w:val="0"/>
              <w:bidi w:val="0"/>
              <w:adjustRightInd w:val="0"/>
              <w:snapToGrid w:val="0"/>
            </w:pPr>
            <w:r>
              <w:rPr>
                <w:rFonts w:hint="eastAsia"/>
              </w:rPr>
              <w:t>SS</w:t>
            </w:r>
          </w:p>
        </w:tc>
        <w:tc>
          <w:tcPr>
            <w:tcW w:w="899" w:type="pct"/>
            <w:vAlign w:val="center"/>
          </w:tcPr>
          <w:p>
            <w:pPr>
              <w:pStyle w:val="100"/>
              <w:widowControl w:val="0"/>
              <w:bidi w:val="0"/>
              <w:adjustRightInd w:val="0"/>
              <w:snapToGrid w:val="0"/>
              <w:rPr>
                <w:rFonts w:hint="default"/>
                <w:lang w:val="en-US" w:eastAsia="zh-CN"/>
              </w:rPr>
            </w:pPr>
            <w:r>
              <w:rPr>
                <w:rFonts w:hint="eastAsia"/>
              </w:rPr>
              <w:t>0</w:t>
            </w:r>
            <w:r>
              <w:t>.</w:t>
            </w:r>
            <w:r>
              <w:rPr>
                <w:rFonts w:hint="eastAsia"/>
                <w:lang w:val="en-US" w:eastAsia="zh-CN"/>
              </w:rPr>
              <w:t>094</w:t>
            </w:r>
          </w:p>
        </w:tc>
        <w:tc>
          <w:tcPr>
            <w:tcW w:w="780" w:type="pct"/>
            <w:vAlign w:val="center"/>
          </w:tcPr>
          <w:p>
            <w:pPr>
              <w:pStyle w:val="100"/>
              <w:widowControl w:val="0"/>
              <w:bidi w:val="0"/>
              <w:adjustRightInd w:val="0"/>
              <w:snapToGrid w:val="0"/>
              <w:rPr>
                <w:rFonts w:hint="default"/>
                <w:lang w:val="en-US" w:eastAsia="zh-CN"/>
              </w:rPr>
            </w:pPr>
            <w:r>
              <w:rPr>
                <w:rFonts w:hint="eastAsia"/>
              </w:rPr>
              <w:t>0</w:t>
            </w:r>
            <w:r>
              <w:t>.0</w:t>
            </w:r>
            <w:r>
              <w:rPr>
                <w:rFonts w:hint="eastAsia"/>
                <w:lang w:val="en-US" w:eastAsia="zh-CN"/>
              </w:rPr>
              <w:t>043</w:t>
            </w:r>
          </w:p>
        </w:tc>
        <w:tc>
          <w:tcPr>
            <w:tcW w:w="1020" w:type="pct"/>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2" w:hRule="atLeast"/>
          <w:jc w:val="center"/>
        </w:trPr>
        <w:tc>
          <w:tcPr>
            <w:tcW w:w="396" w:type="pct"/>
            <w:vMerge w:val="continue"/>
            <w:vAlign w:val="center"/>
          </w:tcPr>
          <w:p>
            <w:pPr>
              <w:pStyle w:val="100"/>
              <w:widowControl w:val="0"/>
              <w:bidi w:val="0"/>
              <w:adjustRightInd w:val="0"/>
              <w:snapToGrid w:val="0"/>
            </w:pPr>
          </w:p>
        </w:tc>
        <w:tc>
          <w:tcPr>
            <w:tcW w:w="1902" w:type="pct"/>
            <w:gridSpan w:val="2"/>
            <w:vAlign w:val="center"/>
          </w:tcPr>
          <w:p>
            <w:pPr>
              <w:pStyle w:val="100"/>
              <w:widowControl w:val="0"/>
              <w:bidi w:val="0"/>
              <w:adjustRightInd w:val="0"/>
              <w:snapToGrid w:val="0"/>
            </w:pPr>
            <w:r>
              <w:rPr>
                <w:rFonts w:hint="eastAsia"/>
              </w:rPr>
              <w:t>氨氮</w:t>
            </w:r>
          </w:p>
        </w:tc>
        <w:tc>
          <w:tcPr>
            <w:tcW w:w="899" w:type="pct"/>
            <w:vAlign w:val="center"/>
          </w:tcPr>
          <w:p>
            <w:pPr>
              <w:pStyle w:val="100"/>
              <w:widowControl w:val="0"/>
              <w:bidi w:val="0"/>
              <w:adjustRightInd w:val="0"/>
              <w:snapToGrid w:val="0"/>
              <w:rPr>
                <w:rFonts w:hint="default"/>
                <w:lang w:val="en-US" w:eastAsia="zh-CN"/>
              </w:rPr>
            </w:pPr>
            <w:r>
              <w:rPr>
                <w:rFonts w:hint="eastAsia"/>
              </w:rPr>
              <w:t>0</w:t>
            </w:r>
            <w:r>
              <w:t>.</w:t>
            </w:r>
            <w:r>
              <w:rPr>
                <w:rFonts w:hint="eastAsia"/>
                <w:lang w:val="en-US" w:eastAsia="zh-CN"/>
              </w:rPr>
              <w:t>0128</w:t>
            </w:r>
          </w:p>
        </w:tc>
        <w:tc>
          <w:tcPr>
            <w:tcW w:w="780" w:type="pct"/>
            <w:vAlign w:val="center"/>
          </w:tcPr>
          <w:p>
            <w:pPr>
              <w:pStyle w:val="100"/>
              <w:widowControl w:val="0"/>
              <w:bidi w:val="0"/>
              <w:adjustRightInd w:val="0"/>
              <w:snapToGrid w:val="0"/>
              <w:rPr>
                <w:rFonts w:hint="default"/>
                <w:lang w:val="en-US" w:eastAsia="zh-CN"/>
              </w:rPr>
            </w:pPr>
            <w:r>
              <w:rPr>
                <w:rFonts w:hint="eastAsia"/>
              </w:rPr>
              <w:t>0</w:t>
            </w:r>
            <w:r>
              <w:t>.0</w:t>
            </w:r>
            <w:r>
              <w:rPr>
                <w:rFonts w:hint="eastAsia"/>
                <w:lang w:val="en-US" w:eastAsia="zh-CN"/>
              </w:rPr>
              <w:t>021</w:t>
            </w:r>
          </w:p>
        </w:tc>
        <w:tc>
          <w:tcPr>
            <w:tcW w:w="1020" w:type="pct"/>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96" w:type="pct"/>
            <w:vMerge w:val="continue"/>
            <w:vAlign w:val="center"/>
          </w:tcPr>
          <w:p>
            <w:pPr>
              <w:pStyle w:val="100"/>
              <w:widowControl w:val="0"/>
              <w:bidi w:val="0"/>
              <w:adjustRightInd w:val="0"/>
              <w:snapToGrid w:val="0"/>
            </w:pPr>
          </w:p>
        </w:tc>
        <w:tc>
          <w:tcPr>
            <w:tcW w:w="1902" w:type="pct"/>
            <w:gridSpan w:val="2"/>
            <w:vAlign w:val="center"/>
          </w:tcPr>
          <w:p>
            <w:pPr>
              <w:pStyle w:val="100"/>
              <w:widowControl w:val="0"/>
              <w:bidi w:val="0"/>
              <w:adjustRightInd w:val="0"/>
              <w:snapToGrid w:val="0"/>
              <w:rPr>
                <w:rFonts w:hint="eastAsia"/>
                <w:lang w:val="en-US" w:eastAsia="zh-CN"/>
              </w:rPr>
            </w:pPr>
            <w:r>
              <w:rPr>
                <w:rFonts w:hint="eastAsia"/>
                <w:lang w:val="en-US" w:eastAsia="zh-CN"/>
              </w:rPr>
              <w:t>总磷</w:t>
            </w:r>
          </w:p>
        </w:tc>
        <w:tc>
          <w:tcPr>
            <w:tcW w:w="899" w:type="pct"/>
            <w:vAlign w:val="center"/>
          </w:tcPr>
          <w:p>
            <w:pPr>
              <w:pStyle w:val="100"/>
              <w:widowControl w:val="0"/>
              <w:bidi w:val="0"/>
              <w:adjustRightInd w:val="0"/>
              <w:snapToGrid w:val="0"/>
              <w:rPr>
                <w:rFonts w:hint="default"/>
                <w:lang w:val="en-US" w:eastAsia="zh-CN"/>
              </w:rPr>
            </w:pPr>
            <w:r>
              <w:rPr>
                <w:rFonts w:hint="eastAsia"/>
              </w:rPr>
              <w:t>0</w:t>
            </w:r>
            <w:r>
              <w:t>.0</w:t>
            </w:r>
            <w:r>
              <w:rPr>
                <w:rFonts w:hint="eastAsia"/>
                <w:lang w:val="en-US" w:eastAsia="zh-CN"/>
              </w:rPr>
              <w:t>017</w:t>
            </w:r>
          </w:p>
        </w:tc>
        <w:tc>
          <w:tcPr>
            <w:tcW w:w="780" w:type="pct"/>
            <w:vAlign w:val="center"/>
          </w:tcPr>
          <w:p>
            <w:pPr>
              <w:pStyle w:val="100"/>
              <w:widowControl w:val="0"/>
              <w:bidi w:val="0"/>
              <w:adjustRightInd w:val="0"/>
              <w:snapToGrid w:val="0"/>
              <w:rPr>
                <w:rFonts w:hint="default"/>
                <w:lang w:val="en-US" w:eastAsia="zh-CN"/>
              </w:rPr>
            </w:pPr>
            <w:r>
              <w:rPr>
                <w:rFonts w:hint="eastAsia"/>
              </w:rPr>
              <w:t>0</w:t>
            </w:r>
            <w:r>
              <w:t>.00</w:t>
            </w:r>
            <w:r>
              <w:rPr>
                <w:rFonts w:hint="eastAsia"/>
                <w:lang w:val="en-US" w:eastAsia="zh-CN"/>
              </w:rPr>
              <w:t>021</w:t>
            </w:r>
          </w:p>
        </w:tc>
        <w:tc>
          <w:tcPr>
            <w:tcW w:w="1020" w:type="pct"/>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96" w:type="pct"/>
            <w:vMerge w:val="continue"/>
            <w:vAlign w:val="center"/>
          </w:tcPr>
          <w:p>
            <w:pPr>
              <w:pStyle w:val="100"/>
              <w:widowControl w:val="0"/>
              <w:bidi w:val="0"/>
              <w:adjustRightInd w:val="0"/>
              <w:snapToGrid w:val="0"/>
            </w:pPr>
          </w:p>
        </w:tc>
        <w:tc>
          <w:tcPr>
            <w:tcW w:w="1902" w:type="pct"/>
            <w:gridSpan w:val="2"/>
            <w:vAlign w:val="center"/>
          </w:tcPr>
          <w:p>
            <w:pPr>
              <w:pStyle w:val="100"/>
              <w:widowControl w:val="0"/>
              <w:bidi w:val="0"/>
              <w:adjustRightInd w:val="0"/>
              <w:snapToGrid w:val="0"/>
              <w:rPr>
                <w:rFonts w:hint="eastAsia"/>
                <w:lang w:val="en-US" w:eastAsia="zh-CN"/>
              </w:rPr>
            </w:pPr>
            <w:r>
              <w:rPr>
                <w:rFonts w:hint="eastAsia"/>
                <w:lang w:val="en-US" w:eastAsia="zh-CN"/>
              </w:rPr>
              <w:t>总氮</w:t>
            </w:r>
          </w:p>
        </w:tc>
        <w:tc>
          <w:tcPr>
            <w:tcW w:w="899" w:type="pct"/>
            <w:vAlign w:val="center"/>
          </w:tcPr>
          <w:p>
            <w:pPr>
              <w:pStyle w:val="100"/>
              <w:widowControl w:val="0"/>
              <w:bidi w:val="0"/>
              <w:adjustRightInd w:val="0"/>
              <w:snapToGrid w:val="0"/>
              <w:rPr>
                <w:rFonts w:hint="default"/>
                <w:lang w:val="en-US" w:eastAsia="zh-CN"/>
              </w:rPr>
            </w:pPr>
            <w:r>
              <w:rPr>
                <w:rFonts w:hint="eastAsia"/>
                <w:lang w:val="en-US" w:eastAsia="zh-CN"/>
              </w:rPr>
              <w:t>0.017</w:t>
            </w:r>
          </w:p>
        </w:tc>
        <w:tc>
          <w:tcPr>
            <w:tcW w:w="780" w:type="pct"/>
            <w:vAlign w:val="center"/>
          </w:tcPr>
          <w:p>
            <w:pPr>
              <w:pStyle w:val="100"/>
              <w:widowControl w:val="0"/>
              <w:bidi w:val="0"/>
              <w:adjustRightInd w:val="0"/>
              <w:snapToGrid w:val="0"/>
              <w:rPr>
                <w:rFonts w:hint="default"/>
                <w:lang w:val="en-US" w:eastAsia="zh-CN"/>
              </w:rPr>
            </w:pPr>
            <w:r>
              <w:rPr>
                <w:rFonts w:hint="eastAsia"/>
                <w:lang w:val="en-US" w:eastAsia="zh-CN"/>
              </w:rPr>
              <w:t>0.0064</w:t>
            </w:r>
          </w:p>
        </w:tc>
        <w:tc>
          <w:tcPr>
            <w:tcW w:w="1020" w:type="pct"/>
            <w:vAlign w:val="center"/>
          </w:tcPr>
          <w:p>
            <w:pPr>
              <w:pStyle w:val="100"/>
              <w:widowControl w:val="0"/>
              <w:bidi w:val="0"/>
              <w:adjustRightInd w:val="0"/>
              <w:snapToGrid w:val="0"/>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restart"/>
            <w:vAlign w:val="center"/>
          </w:tcPr>
          <w:p>
            <w:pPr>
              <w:pStyle w:val="100"/>
              <w:widowControl w:val="0"/>
              <w:bidi w:val="0"/>
              <w:adjustRightInd w:val="0"/>
              <w:snapToGrid w:val="0"/>
            </w:pPr>
            <w:r>
              <w:rPr>
                <w:rFonts w:hint="eastAsia"/>
              </w:rPr>
              <w:t>固废</w:t>
            </w:r>
          </w:p>
        </w:tc>
        <w:tc>
          <w:tcPr>
            <w:tcW w:w="878" w:type="pct"/>
            <w:vAlign w:val="center"/>
          </w:tcPr>
          <w:p>
            <w:pPr>
              <w:pStyle w:val="100"/>
              <w:widowControl w:val="0"/>
              <w:bidi w:val="0"/>
              <w:adjustRightInd w:val="0"/>
              <w:snapToGrid w:val="0"/>
            </w:pPr>
            <w:r>
              <w:rPr>
                <w:rFonts w:hint="eastAsia"/>
              </w:rPr>
              <w:t>污染物</w:t>
            </w:r>
          </w:p>
        </w:tc>
        <w:tc>
          <w:tcPr>
            <w:tcW w:w="1024" w:type="pct"/>
            <w:vAlign w:val="center"/>
          </w:tcPr>
          <w:p>
            <w:pPr>
              <w:pStyle w:val="100"/>
              <w:widowControl w:val="0"/>
              <w:bidi w:val="0"/>
              <w:adjustRightInd w:val="0"/>
              <w:snapToGrid w:val="0"/>
            </w:pPr>
            <w:r>
              <w:rPr>
                <w:rFonts w:hint="eastAsia"/>
              </w:rPr>
              <w:t>产生量t/a</w:t>
            </w:r>
          </w:p>
        </w:tc>
        <w:tc>
          <w:tcPr>
            <w:tcW w:w="1679" w:type="pct"/>
            <w:gridSpan w:val="2"/>
            <w:vAlign w:val="center"/>
          </w:tcPr>
          <w:p>
            <w:pPr>
              <w:pStyle w:val="100"/>
              <w:widowControl w:val="0"/>
              <w:bidi w:val="0"/>
              <w:adjustRightInd w:val="0"/>
              <w:snapToGrid w:val="0"/>
            </w:pPr>
            <w:r>
              <w:rPr>
                <w:rFonts w:hint="eastAsia"/>
              </w:rPr>
              <w:t>排放量t/a</w:t>
            </w:r>
          </w:p>
        </w:tc>
        <w:tc>
          <w:tcPr>
            <w:tcW w:w="1020" w:type="pct"/>
            <w:vAlign w:val="center"/>
          </w:tcPr>
          <w:p>
            <w:pPr>
              <w:pStyle w:val="100"/>
              <w:widowControl w:val="0"/>
              <w:bidi w:val="0"/>
              <w:adjustRightInd w:val="0"/>
              <w:snapToGrid w:val="0"/>
            </w:pPr>
            <w:r>
              <w:rPr>
                <w:rFonts w:hint="eastAsia"/>
              </w:rPr>
              <w:t>实际排放量t/a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continue"/>
            <w:vAlign w:val="center"/>
          </w:tcPr>
          <w:p>
            <w:pPr>
              <w:pStyle w:val="100"/>
              <w:widowControl w:val="0"/>
              <w:bidi w:val="0"/>
              <w:adjustRightInd w:val="0"/>
              <w:snapToGrid w:val="0"/>
            </w:pPr>
          </w:p>
        </w:tc>
        <w:tc>
          <w:tcPr>
            <w:tcW w:w="878" w:type="pct"/>
            <w:vAlign w:val="center"/>
          </w:tcPr>
          <w:p>
            <w:pPr>
              <w:pStyle w:val="100"/>
              <w:widowControl w:val="0"/>
              <w:bidi w:val="0"/>
              <w:adjustRightInd w:val="0"/>
              <w:snapToGrid w:val="0"/>
              <w:rPr>
                <w:rFonts w:hint="eastAsia"/>
                <w:lang w:val="en-US" w:eastAsia="zh-CN"/>
              </w:rPr>
            </w:pPr>
            <w:r>
              <w:rPr>
                <w:rFonts w:hint="eastAsia"/>
                <w:lang w:val="en-US" w:eastAsia="zh-CN"/>
              </w:rPr>
              <w:t>边角料</w:t>
            </w:r>
          </w:p>
        </w:tc>
        <w:tc>
          <w:tcPr>
            <w:tcW w:w="1024" w:type="pct"/>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1679" w:type="pct"/>
            <w:gridSpan w:val="2"/>
            <w:vAlign w:val="center"/>
          </w:tcPr>
          <w:p>
            <w:pPr>
              <w:pStyle w:val="100"/>
              <w:widowControl w:val="0"/>
              <w:bidi w:val="0"/>
              <w:adjustRightInd w:val="0"/>
              <w:snapToGrid w:val="0"/>
            </w:pPr>
            <w:r>
              <w:t>0</w:t>
            </w:r>
          </w:p>
        </w:tc>
        <w:tc>
          <w:tcPr>
            <w:tcW w:w="1020" w:type="pct"/>
            <w:vAlign w:val="center"/>
          </w:tcPr>
          <w:p>
            <w:pPr>
              <w:pStyle w:val="100"/>
              <w:widowControl w:val="0"/>
              <w:bidi w:val="0"/>
              <w:adjustRightInd w:val="0"/>
              <w:snapToGrid w:val="0"/>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continue"/>
            <w:vAlign w:val="center"/>
          </w:tcPr>
          <w:p>
            <w:pPr>
              <w:pStyle w:val="100"/>
              <w:widowControl w:val="0"/>
              <w:bidi w:val="0"/>
              <w:adjustRightInd w:val="0"/>
              <w:snapToGrid w:val="0"/>
            </w:pPr>
          </w:p>
        </w:tc>
        <w:tc>
          <w:tcPr>
            <w:tcW w:w="878" w:type="pct"/>
            <w:vAlign w:val="center"/>
          </w:tcPr>
          <w:p>
            <w:pPr>
              <w:pStyle w:val="100"/>
              <w:widowControl w:val="0"/>
              <w:bidi w:val="0"/>
              <w:adjustRightInd w:val="0"/>
              <w:snapToGrid w:val="0"/>
              <w:rPr>
                <w:rFonts w:hint="eastAsia"/>
                <w:lang w:val="en-US" w:eastAsia="zh-CN"/>
              </w:rPr>
            </w:pPr>
            <w:r>
              <w:rPr>
                <w:rFonts w:hint="eastAsia"/>
                <w:lang w:val="en-US" w:eastAsia="zh-CN"/>
              </w:rPr>
              <w:t>不合格品</w:t>
            </w:r>
          </w:p>
        </w:tc>
        <w:tc>
          <w:tcPr>
            <w:tcW w:w="1024" w:type="pct"/>
            <w:vAlign w:val="center"/>
          </w:tcPr>
          <w:p>
            <w:pPr>
              <w:pStyle w:val="100"/>
              <w:widowControl w:val="0"/>
              <w:bidi w:val="0"/>
              <w:adjustRightInd w:val="0"/>
              <w:snapToGrid w:val="0"/>
              <w:rPr>
                <w:rFonts w:hint="default"/>
                <w:lang w:val="en-US" w:eastAsia="zh-CN"/>
              </w:rPr>
            </w:pPr>
            <w:r>
              <w:rPr>
                <w:rFonts w:hint="eastAsia"/>
                <w:lang w:val="en-US" w:eastAsia="zh-CN"/>
              </w:rPr>
              <w:t>0.5</w:t>
            </w:r>
          </w:p>
        </w:tc>
        <w:tc>
          <w:tcPr>
            <w:tcW w:w="1679" w:type="pct"/>
            <w:gridSpan w:val="2"/>
            <w:vAlign w:val="center"/>
          </w:tcPr>
          <w:p>
            <w:pPr>
              <w:pStyle w:val="100"/>
              <w:widowControl w:val="0"/>
              <w:bidi w:val="0"/>
              <w:adjustRightInd w:val="0"/>
              <w:snapToGrid w:val="0"/>
            </w:pPr>
            <w:r>
              <w:t>0</w:t>
            </w:r>
          </w:p>
        </w:tc>
        <w:tc>
          <w:tcPr>
            <w:tcW w:w="1020" w:type="pct"/>
            <w:vAlign w:val="center"/>
          </w:tcPr>
          <w:p>
            <w:pPr>
              <w:pStyle w:val="100"/>
              <w:widowControl w:val="0"/>
              <w:bidi w:val="0"/>
              <w:adjustRightInd w:val="0"/>
              <w:snapToGrid w:val="0"/>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96" w:type="pct"/>
            <w:vMerge w:val="continue"/>
            <w:vAlign w:val="center"/>
          </w:tcPr>
          <w:p>
            <w:pPr>
              <w:pStyle w:val="100"/>
              <w:widowControl w:val="0"/>
              <w:bidi w:val="0"/>
              <w:adjustRightInd w:val="0"/>
              <w:snapToGrid w:val="0"/>
            </w:pPr>
          </w:p>
        </w:tc>
        <w:tc>
          <w:tcPr>
            <w:tcW w:w="878" w:type="pct"/>
            <w:vAlign w:val="center"/>
          </w:tcPr>
          <w:p>
            <w:pPr>
              <w:pStyle w:val="100"/>
              <w:widowControl w:val="0"/>
              <w:bidi w:val="0"/>
              <w:adjustRightInd w:val="0"/>
              <w:snapToGrid w:val="0"/>
            </w:pPr>
            <w:r>
              <w:rPr>
                <w:rFonts w:hint="eastAsia"/>
              </w:rPr>
              <w:t>生活垃圾</w:t>
            </w:r>
          </w:p>
        </w:tc>
        <w:tc>
          <w:tcPr>
            <w:tcW w:w="1024" w:type="pct"/>
            <w:vAlign w:val="center"/>
          </w:tcPr>
          <w:p>
            <w:pPr>
              <w:pStyle w:val="100"/>
              <w:widowControl w:val="0"/>
              <w:bidi w:val="0"/>
              <w:adjustRightInd w:val="0"/>
              <w:snapToGrid w:val="0"/>
              <w:rPr>
                <w:rFonts w:hint="default"/>
                <w:lang w:val="en-US" w:eastAsia="zh-CN"/>
              </w:rPr>
            </w:pPr>
            <w:r>
              <w:rPr>
                <w:rFonts w:hint="eastAsia"/>
                <w:lang w:val="en-US" w:eastAsia="zh-CN"/>
              </w:rPr>
              <w:t>8.4</w:t>
            </w:r>
          </w:p>
        </w:tc>
        <w:tc>
          <w:tcPr>
            <w:tcW w:w="1679" w:type="pct"/>
            <w:gridSpan w:val="2"/>
            <w:vAlign w:val="center"/>
          </w:tcPr>
          <w:p>
            <w:pPr>
              <w:pStyle w:val="100"/>
              <w:widowControl w:val="0"/>
              <w:bidi w:val="0"/>
              <w:adjustRightInd w:val="0"/>
              <w:snapToGrid w:val="0"/>
            </w:pPr>
            <w:r>
              <w:t>0</w:t>
            </w:r>
          </w:p>
        </w:tc>
        <w:tc>
          <w:tcPr>
            <w:tcW w:w="1020" w:type="pct"/>
            <w:vAlign w:val="center"/>
          </w:tcPr>
          <w:p>
            <w:pPr>
              <w:pStyle w:val="100"/>
              <w:widowControl w:val="0"/>
              <w:bidi w:val="0"/>
              <w:adjustRightInd w:val="0"/>
              <w:snapToGrid w:val="0"/>
            </w:pPr>
            <w:r>
              <w:t>0</w:t>
            </w:r>
          </w:p>
        </w:tc>
      </w:tr>
    </w:tbl>
    <w:p>
      <w:pPr>
        <w:pStyle w:val="103"/>
        <w:bidi w:val="0"/>
      </w:pPr>
      <w:r>
        <w:rPr>
          <w:rFonts w:hint="eastAsia"/>
        </w:rPr>
        <w:t>注：实际排放量为根据验收时的实测数据进行推算，废水验收时未做检测</w:t>
      </w:r>
    </w:p>
    <w:p>
      <w:pPr>
        <w:pStyle w:val="104"/>
        <w:rPr>
          <w:color w:val="auto"/>
        </w:rPr>
      </w:pPr>
      <w:r>
        <w:rPr>
          <w:rFonts w:hint="eastAsia"/>
          <w:color w:val="auto"/>
        </w:rPr>
        <w:t>现有项目环境保护落实情况及主要环境问题</w:t>
      </w:r>
    </w:p>
    <w:p>
      <w:pPr>
        <w:pStyle w:val="103"/>
        <w:bidi w:val="0"/>
      </w:pPr>
      <w:r>
        <w:rPr>
          <w:rFonts w:hint="eastAsia"/>
        </w:rPr>
        <w:t>现有项目环境保护落实情况见表1</w:t>
      </w:r>
      <w:r>
        <w:t>-</w:t>
      </w:r>
      <w:r>
        <w:rPr>
          <w:rFonts w:hint="eastAsia"/>
          <w:lang w:val="en-US" w:eastAsia="zh-CN"/>
        </w:rPr>
        <w:t>29</w:t>
      </w:r>
      <w:r>
        <w:rPr>
          <w:rFonts w:hint="eastAsia"/>
        </w:rPr>
        <w:t>。</w:t>
      </w:r>
    </w:p>
    <w:p>
      <w:pPr>
        <w:pStyle w:val="273"/>
        <w:bidi w:val="0"/>
        <w:rPr>
          <w:rFonts w:hint="eastAsia"/>
        </w:rPr>
      </w:pPr>
      <w:r>
        <w:rPr>
          <w:rFonts w:hint="eastAsia"/>
        </w:rPr>
        <w:t>表1-</w:t>
      </w:r>
      <w:r>
        <w:rPr>
          <w:rFonts w:hint="eastAsia"/>
          <w:lang w:val="en-US" w:eastAsia="zh-CN"/>
        </w:rPr>
        <w:t>29</w:t>
      </w:r>
      <w:r>
        <w:rPr>
          <w:rFonts w:hint="eastAsia"/>
        </w:rPr>
        <w:t xml:space="preserve">  现有项目环评执行情况</w:t>
      </w:r>
    </w:p>
    <w:tbl>
      <w:tblPr>
        <w:tblStyle w:val="260"/>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6"/>
        <w:gridCol w:w="3769"/>
        <w:gridCol w:w="3260"/>
        <w:gridCol w:w="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pStyle w:val="100"/>
              <w:widowControl w:val="0"/>
              <w:bidi w:val="0"/>
              <w:adjustRightInd w:val="0"/>
              <w:snapToGrid w:val="0"/>
            </w:pPr>
            <w:r>
              <w:t>序号</w:t>
            </w:r>
          </w:p>
        </w:tc>
        <w:tc>
          <w:tcPr>
            <w:tcW w:w="3769" w:type="dxa"/>
            <w:vAlign w:val="center"/>
          </w:tcPr>
          <w:p>
            <w:pPr>
              <w:pStyle w:val="100"/>
              <w:widowControl w:val="0"/>
              <w:bidi w:val="0"/>
              <w:adjustRightInd w:val="0"/>
              <w:snapToGrid w:val="0"/>
            </w:pPr>
            <w:r>
              <w:rPr>
                <w:rFonts w:hint="eastAsia"/>
              </w:rPr>
              <w:t>项目</w:t>
            </w:r>
            <w:r>
              <w:t>环评批复要求</w:t>
            </w:r>
          </w:p>
        </w:tc>
        <w:tc>
          <w:tcPr>
            <w:tcW w:w="3260" w:type="dxa"/>
            <w:vAlign w:val="center"/>
          </w:tcPr>
          <w:p>
            <w:pPr>
              <w:pStyle w:val="100"/>
              <w:widowControl w:val="0"/>
              <w:bidi w:val="0"/>
              <w:adjustRightInd w:val="0"/>
              <w:snapToGrid w:val="0"/>
            </w:pPr>
            <w:r>
              <w:t>执行情况</w:t>
            </w:r>
          </w:p>
        </w:tc>
        <w:tc>
          <w:tcPr>
            <w:tcW w:w="858" w:type="dxa"/>
            <w:vAlign w:val="center"/>
          </w:tcPr>
          <w:p>
            <w:pPr>
              <w:pStyle w:val="100"/>
              <w:widowControl w:val="0"/>
              <w:bidi w:val="0"/>
              <w:adjustRightInd w:val="0"/>
              <w:snapToGrid w:val="0"/>
            </w:pPr>
            <w: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pStyle w:val="100"/>
              <w:widowControl w:val="0"/>
              <w:bidi w:val="0"/>
              <w:adjustRightInd w:val="0"/>
              <w:snapToGrid w:val="0"/>
            </w:pPr>
            <w:r>
              <w:t>1</w:t>
            </w:r>
          </w:p>
        </w:tc>
        <w:tc>
          <w:tcPr>
            <w:tcW w:w="3769" w:type="dxa"/>
            <w:vAlign w:val="center"/>
          </w:tcPr>
          <w:p>
            <w:pPr>
              <w:pStyle w:val="100"/>
              <w:widowControl w:val="0"/>
              <w:bidi w:val="0"/>
              <w:adjustRightInd w:val="0"/>
              <w:snapToGrid w:val="0"/>
            </w:pPr>
            <w:r>
              <w:rPr>
                <w:rFonts w:hint="eastAsia"/>
              </w:rPr>
              <w:t>噪声污染源必须采取减振隔声措施，厂界噪声执行《工业企业厂界环境噪声排放标准》（G</w:t>
            </w:r>
            <w:r>
              <w:t>B12348-2008</w:t>
            </w:r>
            <w:r>
              <w:rPr>
                <w:rFonts w:hint="eastAsia"/>
              </w:rPr>
              <w:t>）</w:t>
            </w:r>
            <w:r>
              <w:rPr>
                <w:rFonts w:hint="eastAsia"/>
                <w:lang w:val="en-US" w:eastAsia="zh-CN"/>
              </w:rPr>
              <w:t>3</w:t>
            </w:r>
            <w:r>
              <w:rPr>
                <w:rFonts w:hint="eastAsia"/>
              </w:rPr>
              <w:t>类标准。</w:t>
            </w:r>
          </w:p>
        </w:tc>
        <w:tc>
          <w:tcPr>
            <w:tcW w:w="3260" w:type="dxa"/>
            <w:vAlign w:val="center"/>
          </w:tcPr>
          <w:p>
            <w:pPr>
              <w:pStyle w:val="100"/>
              <w:widowControl w:val="0"/>
              <w:bidi w:val="0"/>
              <w:adjustRightInd w:val="0"/>
              <w:snapToGrid w:val="0"/>
            </w:pPr>
            <w:r>
              <w:rPr>
                <w:rFonts w:hint="eastAsia"/>
              </w:rPr>
              <w:t>采用合理车间平面布局，高噪声设备布置在车间中间位置、采用减振降噪、工作台固定等隔声降噪措施。厂界噪声排放满足《工业企业厂界环境噪声排放标准》（G</w:t>
            </w:r>
            <w:r>
              <w:t>B12348-2008</w:t>
            </w:r>
            <w:r>
              <w:rPr>
                <w:rFonts w:hint="eastAsia"/>
              </w:rPr>
              <w:t>）</w:t>
            </w:r>
            <w:r>
              <w:rPr>
                <w:rFonts w:hint="eastAsia"/>
                <w:lang w:val="en-US" w:eastAsia="zh-CN"/>
              </w:rPr>
              <w:t>3</w:t>
            </w:r>
            <w:r>
              <w:rPr>
                <w:rFonts w:hint="eastAsia"/>
              </w:rPr>
              <w:t>类标准。</w:t>
            </w:r>
          </w:p>
        </w:tc>
        <w:tc>
          <w:tcPr>
            <w:tcW w:w="858" w:type="dxa"/>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pStyle w:val="100"/>
              <w:widowControl w:val="0"/>
              <w:bidi w:val="0"/>
              <w:adjustRightInd w:val="0"/>
              <w:snapToGrid w:val="0"/>
            </w:pPr>
            <w:r>
              <w:t>2</w:t>
            </w:r>
          </w:p>
        </w:tc>
        <w:tc>
          <w:tcPr>
            <w:tcW w:w="3769" w:type="dxa"/>
            <w:vAlign w:val="center"/>
          </w:tcPr>
          <w:p>
            <w:pPr>
              <w:pStyle w:val="100"/>
              <w:widowControl w:val="0"/>
              <w:bidi w:val="0"/>
              <w:adjustRightInd w:val="0"/>
              <w:snapToGrid w:val="0"/>
              <w:rPr>
                <w:rFonts w:hint="default"/>
                <w:lang w:val="en-US" w:eastAsia="zh-CN"/>
              </w:rPr>
            </w:pPr>
            <w:r>
              <w:rPr>
                <w:rFonts w:hint="eastAsia"/>
                <w:lang w:val="en-US" w:eastAsia="zh-CN"/>
              </w:rPr>
              <w:t>固体废弃物必须综合利用或合理处置，不造成二次污染。</w:t>
            </w:r>
          </w:p>
        </w:tc>
        <w:tc>
          <w:tcPr>
            <w:tcW w:w="3260" w:type="dxa"/>
            <w:vAlign w:val="center"/>
          </w:tcPr>
          <w:p>
            <w:pPr>
              <w:pStyle w:val="100"/>
              <w:widowControl w:val="0"/>
              <w:bidi w:val="0"/>
              <w:adjustRightInd w:val="0"/>
              <w:snapToGrid w:val="0"/>
            </w:pPr>
            <w:r>
              <w:t>项目主要固废为</w:t>
            </w:r>
            <w:r>
              <w:rPr>
                <w:rFonts w:hint="eastAsia"/>
              </w:rPr>
              <w:t>边角料、不合格品和生活垃圾</w:t>
            </w:r>
            <w:r>
              <w:t>。边角料、不合格品收集后</w:t>
            </w:r>
            <w:r>
              <w:rPr>
                <w:rFonts w:hint="eastAsia"/>
              </w:rPr>
              <w:t>外售利用单位</w:t>
            </w:r>
            <w:r>
              <w:t>，生活垃圾由当地环卫部门日产日清</w:t>
            </w:r>
            <w:r>
              <w:rPr>
                <w:rFonts w:hint="eastAsia"/>
                <w:lang w:eastAsia="zh-CN"/>
              </w:rPr>
              <w:t>。</w:t>
            </w:r>
            <w:r>
              <w:t>固废均能得到妥善处置</w:t>
            </w:r>
            <w:r>
              <w:rPr>
                <w:rFonts w:hint="eastAsia"/>
                <w:lang w:eastAsia="zh-CN"/>
              </w:rPr>
              <w:t>，</w:t>
            </w:r>
            <w:r>
              <w:rPr>
                <w:rFonts w:hint="eastAsia"/>
                <w:lang w:val="en-US" w:eastAsia="zh-CN"/>
              </w:rPr>
              <w:t>不造成二次污染</w:t>
            </w:r>
            <w:r>
              <w:t>。</w:t>
            </w:r>
          </w:p>
        </w:tc>
        <w:tc>
          <w:tcPr>
            <w:tcW w:w="858" w:type="dxa"/>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pStyle w:val="100"/>
              <w:widowControl w:val="0"/>
              <w:bidi w:val="0"/>
              <w:adjustRightInd w:val="0"/>
              <w:snapToGrid w:val="0"/>
            </w:pPr>
            <w:r>
              <w:t>4</w:t>
            </w:r>
          </w:p>
        </w:tc>
        <w:tc>
          <w:tcPr>
            <w:tcW w:w="3769" w:type="dxa"/>
            <w:vAlign w:val="center"/>
          </w:tcPr>
          <w:p>
            <w:pPr>
              <w:pStyle w:val="100"/>
              <w:widowControl w:val="0"/>
              <w:bidi w:val="0"/>
              <w:adjustRightInd w:val="0"/>
              <w:snapToGrid w:val="0"/>
              <w:rPr>
                <w:rFonts w:hint="eastAsia"/>
                <w:lang w:eastAsia="zh-CN"/>
              </w:rPr>
            </w:pPr>
            <w:r>
              <w:rPr>
                <w:rFonts w:hint="eastAsia"/>
              </w:rPr>
              <w:t>请做好其他有关污染防治工作</w:t>
            </w:r>
            <w:r>
              <w:rPr>
                <w:rFonts w:hint="eastAsia"/>
                <w:lang w:eastAsia="zh-CN"/>
              </w:rPr>
              <w:t>。</w:t>
            </w:r>
          </w:p>
        </w:tc>
        <w:tc>
          <w:tcPr>
            <w:tcW w:w="3260" w:type="dxa"/>
            <w:vAlign w:val="center"/>
          </w:tcPr>
          <w:p>
            <w:pPr>
              <w:pStyle w:val="100"/>
              <w:widowControl w:val="0"/>
              <w:bidi w:val="0"/>
              <w:adjustRightInd w:val="0"/>
              <w:snapToGrid w:val="0"/>
              <w:rPr>
                <w:rFonts w:hint="default"/>
                <w:lang w:val="en-US" w:eastAsia="zh-CN"/>
              </w:rPr>
            </w:pPr>
            <w:r>
              <w:rPr>
                <w:rFonts w:hint="eastAsia"/>
                <w:lang w:val="en-US" w:eastAsia="zh-CN"/>
              </w:rPr>
              <w:t>本项目无其它污染物排放。</w:t>
            </w:r>
          </w:p>
        </w:tc>
        <w:tc>
          <w:tcPr>
            <w:tcW w:w="858" w:type="dxa"/>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pStyle w:val="100"/>
              <w:widowControl w:val="0"/>
              <w:bidi w:val="0"/>
              <w:adjustRightInd w:val="0"/>
              <w:snapToGrid w:val="0"/>
            </w:pPr>
            <w:r>
              <w:t>5</w:t>
            </w:r>
          </w:p>
        </w:tc>
        <w:tc>
          <w:tcPr>
            <w:tcW w:w="3769" w:type="dxa"/>
            <w:vAlign w:val="center"/>
          </w:tcPr>
          <w:p>
            <w:pPr>
              <w:pStyle w:val="100"/>
              <w:widowControl w:val="0"/>
              <w:bidi w:val="0"/>
              <w:adjustRightInd w:val="0"/>
              <w:snapToGrid w:val="0"/>
            </w:pPr>
            <w:r>
              <w:rPr>
                <w:rFonts w:hint="eastAsia"/>
              </w:rPr>
              <w:t>建设单位必须在项目试生产前报我局备案，试生产期满（三个月内）须向我局提交验申请，并经验收合格后方可正式投入生产。</w:t>
            </w:r>
          </w:p>
        </w:tc>
        <w:tc>
          <w:tcPr>
            <w:tcW w:w="3260" w:type="dxa"/>
            <w:vAlign w:val="center"/>
          </w:tcPr>
          <w:p>
            <w:pPr>
              <w:pStyle w:val="100"/>
              <w:widowControl w:val="0"/>
              <w:bidi w:val="0"/>
              <w:adjustRightInd w:val="0"/>
              <w:snapToGrid w:val="0"/>
            </w:pPr>
            <w:r>
              <w:rPr>
                <w:rFonts w:hint="eastAsia"/>
              </w:rPr>
              <w:t>登记表项目现无需进行验收</w:t>
            </w:r>
          </w:p>
        </w:tc>
        <w:tc>
          <w:tcPr>
            <w:tcW w:w="858" w:type="dxa"/>
            <w:vAlign w:val="center"/>
          </w:tcPr>
          <w:p>
            <w:pPr>
              <w:pStyle w:val="100"/>
              <w:widowControl w:val="0"/>
              <w:bidi w:val="0"/>
              <w:adjustRightInd w:val="0"/>
              <w:snapToGrid w:val="0"/>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Align w:val="center"/>
          </w:tcPr>
          <w:p>
            <w:pPr>
              <w:pStyle w:val="100"/>
              <w:widowControl w:val="0"/>
              <w:bidi w:val="0"/>
              <w:adjustRightInd w:val="0"/>
              <w:snapToGrid w:val="0"/>
            </w:pPr>
            <w:r>
              <w:rPr>
                <w:rFonts w:hint="eastAsia"/>
              </w:rPr>
              <w:t>6</w:t>
            </w:r>
          </w:p>
        </w:tc>
        <w:tc>
          <w:tcPr>
            <w:tcW w:w="3769" w:type="dxa"/>
            <w:vAlign w:val="center"/>
          </w:tcPr>
          <w:p>
            <w:pPr>
              <w:pStyle w:val="100"/>
              <w:widowControl w:val="0"/>
              <w:bidi w:val="0"/>
              <w:adjustRightInd w:val="0"/>
              <w:snapToGrid w:val="0"/>
            </w:pPr>
            <w:r>
              <w:rPr>
                <w:rFonts w:hint="eastAsia"/>
              </w:rPr>
              <w:t>本批复自批准之日起5年内有效。本项目5年后方开工建设或项目的性质、规模、地点、采用的生产工艺或者防治污染、生态破坏的措施发生重大变化的，建设单位须重新报批项目环境影响评价文件。</w:t>
            </w:r>
          </w:p>
        </w:tc>
        <w:tc>
          <w:tcPr>
            <w:tcW w:w="3260" w:type="dxa"/>
            <w:vAlign w:val="center"/>
          </w:tcPr>
          <w:p>
            <w:pPr>
              <w:pStyle w:val="100"/>
              <w:widowControl w:val="0"/>
              <w:bidi w:val="0"/>
              <w:adjustRightInd w:val="0"/>
              <w:snapToGrid w:val="0"/>
            </w:pPr>
            <w:r>
              <w:rPr>
                <w:rFonts w:hint="eastAsia"/>
              </w:rPr>
              <w:t>项目性质、规模、地点、采用的生产工艺、污染防治措施未发生重大变化</w:t>
            </w:r>
          </w:p>
        </w:tc>
        <w:tc>
          <w:tcPr>
            <w:tcW w:w="858" w:type="dxa"/>
            <w:vAlign w:val="center"/>
          </w:tcPr>
          <w:p>
            <w:pPr>
              <w:pStyle w:val="100"/>
              <w:widowControl w:val="0"/>
              <w:bidi w:val="0"/>
              <w:adjustRightInd w:val="0"/>
              <w:snapToGrid w:val="0"/>
            </w:pPr>
            <w:r>
              <w:rPr>
                <w:rFonts w:hint="eastAsia"/>
              </w:rPr>
              <w:t>符合</w:t>
            </w:r>
          </w:p>
        </w:tc>
      </w:tr>
    </w:tbl>
    <w:p>
      <w:pPr>
        <w:pStyle w:val="103"/>
        <w:bidi w:val="0"/>
      </w:pPr>
      <w:r>
        <w:rPr>
          <w:rFonts w:hint="eastAsia"/>
        </w:rPr>
        <w:t>“</w:t>
      </w:r>
      <w:r>
        <w:rPr>
          <w:rFonts w:hint="eastAsia"/>
          <w:lang w:val="en-US" w:eastAsia="zh-CN"/>
        </w:rPr>
        <w:t>年产薄膜4500万片、软性线路板3000万片、电脑键盘开关按键2700万个</w:t>
      </w:r>
      <w:r>
        <w:t>”项目于201</w:t>
      </w:r>
      <w:r>
        <w:rPr>
          <w:rFonts w:hint="eastAsia"/>
          <w:lang w:val="en-US" w:eastAsia="zh-CN"/>
        </w:rPr>
        <w:t>2</w:t>
      </w:r>
      <w:r>
        <w:t>年2月2</w:t>
      </w:r>
      <w:r>
        <w:rPr>
          <w:rFonts w:hint="eastAsia"/>
          <w:lang w:val="en-US" w:eastAsia="zh-CN"/>
        </w:rPr>
        <w:t>4</w:t>
      </w:r>
      <w:r>
        <w:t>日通过了吴江区环境保护局审批，</w:t>
      </w:r>
      <w:r>
        <w:rPr>
          <w:rFonts w:hint="eastAsia"/>
          <w:lang w:val="en-US" w:eastAsia="zh-CN"/>
        </w:rPr>
        <w:t>原有项目属于登记表项目无需进行验收，且原有项目排污量小，投产</w:t>
      </w:r>
      <w:r>
        <w:t>以来无主要环境问题。</w:t>
      </w:r>
    </w:p>
    <w:p>
      <w:pPr>
        <w:pStyle w:val="104"/>
      </w:pPr>
      <w:r>
        <w:rPr>
          <w:rFonts w:hint="eastAsia"/>
        </w:rPr>
        <w:t>现有项目</w:t>
      </w:r>
      <w:r>
        <w:t>“</w:t>
      </w:r>
      <w:r>
        <w:rPr>
          <w:rFonts w:hint="eastAsia"/>
        </w:rPr>
        <w:t>以新带老</w:t>
      </w:r>
      <w:r>
        <w:t>”</w:t>
      </w:r>
      <w:r>
        <w:rPr>
          <w:rFonts w:hint="eastAsia"/>
        </w:rPr>
        <w:t>措施</w:t>
      </w:r>
    </w:p>
    <w:p>
      <w:pPr>
        <w:pStyle w:val="103"/>
        <w:bidi w:val="0"/>
        <w:rPr>
          <w:rFonts w:hint="eastAsia"/>
          <w:lang w:eastAsia="zh-CN"/>
        </w:rPr>
      </w:pPr>
      <w:r>
        <w:rPr>
          <w:rFonts w:hint="eastAsia"/>
        </w:rPr>
        <w:t>现有项目</w:t>
      </w:r>
      <w:r>
        <w:rPr>
          <w:rFonts w:hint="eastAsia"/>
          <w:lang w:val="en-US" w:eastAsia="zh-CN"/>
        </w:rPr>
        <w:t>对</w:t>
      </w:r>
      <w:r>
        <w:rPr>
          <w:rFonts w:hint="eastAsia"/>
        </w:rPr>
        <w:t>印刷工段产生的非甲烷总烃废气新增</w:t>
      </w:r>
      <w:r>
        <w:rPr>
          <w:rFonts w:hint="eastAsia"/>
          <w:lang w:eastAsia="zh-CN"/>
        </w:rPr>
        <w:t>“</w:t>
      </w:r>
      <w:r>
        <w:rPr>
          <w:rFonts w:hint="eastAsia"/>
          <w:lang w:val="en-US" w:eastAsia="zh-CN"/>
        </w:rPr>
        <w:t>二级活性炭</w:t>
      </w:r>
      <w:r>
        <w:rPr>
          <w:rFonts w:hint="eastAsia"/>
          <w:lang w:eastAsia="zh-CN"/>
        </w:rPr>
        <w:t>”</w:t>
      </w:r>
      <w:r>
        <w:rPr>
          <w:rFonts w:hint="eastAsia"/>
        </w:rPr>
        <w:t>装置处理后排放，确保废气排放满足</w:t>
      </w:r>
      <w:r>
        <w:t>《合成树脂工业污染物排放标准》（GB31572-2015）</w:t>
      </w:r>
      <w:r>
        <w:rPr>
          <w:rFonts w:hint="eastAsia"/>
        </w:rPr>
        <w:t>及《</w:t>
      </w:r>
      <w:r>
        <w:t>挥发性有机物无组织排放控制标准》（GB37822-2019）</w:t>
      </w:r>
      <w:r>
        <w:rPr>
          <w:rFonts w:hint="eastAsia"/>
        </w:rPr>
        <w:t>要求</w:t>
      </w:r>
      <w:bookmarkEnd w:id="25"/>
      <w:r>
        <w:rPr>
          <w:rFonts w:hint="eastAsia"/>
          <w:lang w:eastAsia="zh-CN"/>
        </w:rPr>
        <w:t>。</w:t>
      </w:r>
    </w:p>
    <w:p>
      <w:pPr>
        <w:pStyle w:val="103"/>
        <w:bidi w:val="0"/>
        <w:rPr>
          <w:rFonts w:hint="eastAsia"/>
          <w:lang w:val="en-US" w:eastAsia="zh-CN"/>
        </w:rPr>
      </w:pPr>
      <w:r>
        <w:rPr>
          <w:rFonts w:hint="eastAsia"/>
          <w:lang w:val="en-US" w:eastAsia="zh-CN"/>
        </w:rPr>
        <w:t>本项目生活污水为856.8t/a，原有项目生活污水排放量为425t/a，由于整体搬迁，原厂址已停止生产，生活污水也就不再排放，由此可断定生活污水“以新带老”削减量为425t。</w:t>
      </w:r>
    </w:p>
    <w:p>
      <w:pPr>
        <w:pStyle w:val="103"/>
        <w:bidi w:val="0"/>
        <w:rPr>
          <w:rFonts w:hint="default"/>
          <w:lang w:val="en-US" w:eastAsia="zh-CN"/>
        </w:rPr>
      </w:pPr>
      <w:r>
        <w:rPr>
          <w:rFonts w:hint="eastAsia"/>
          <w:lang w:val="en-US" w:eastAsia="zh-CN"/>
        </w:rPr>
        <w:t>本项目噪声采用减震隔声的方式减小排放，原厂址已停止生产，无噪声排放。</w:t>
      </w:r>
    </w:p>
    <w:p>
      <w:pPr>
        <w:pStyle w:val="103"/>
        <w:bidi w:val="0"/>
        <w:ind w:left="0" w:leftChars="0" w:firstLine="0" w:firstLineChars="0"/>
        <w:rPr>
          <w:rFonts w:hint="default"/>
          <w:lang w:val="en-US" w:eastAsia="zh-CN"/>
        </w:rPr>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p>
      <w:pPr>
        <w:pStyle w:val="4"/>
      </w:pPr>
      <w:bookmarkStart w:id="26" w:name="_Toc307515784"/>
      <w:bookmarkStart w:id="27" w:name="_Toc6326"/>
      <w: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ge">
                  <wp:posOffset>560705</wp:posOffset>
                </wp:positionV>
                <wp:extent cx="4568825" cy="346075"/>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4568825" cy="346017"/>
                        </a:xfrm>
                        <a:prstGeom prst="rect">
                          <a:avLst/>
                        </a:prstGeom>
                        <a:solidFill>
                          <a:srgbClr val="FFFFFF">
                            <a:alpha val="0"/>
                          </a:srgbClr>
                        </a:solidFill>
                        <a:ln>
                          <a:noFill/>
                        </a:ln>
                      </wps:spPr>
                      <wps:txbx>
                        <w:txbxContent>
                          <w:p>
                            <w:pPr>
                              <w:pStyle w:val="345"/>
                              <w:rPr>
                                <w:lang w:eastAsia="zh-CN"/>
                              </w:rPr>
                            </w:pPr>
                            <w:bookmarkStart w:id="96" w:name="_Toc307515783"/>
                            <w:r>
                              <w:rPr>
                                <w:rStyle w:val="101"/>
                                <w:rFonts w:hint="eastAsia"/>
                                <w:b/>
                                <w:bCs/>
                                <w:color w:val="auto"/>
                                <w:kern w:val="0"/>
                                <w:sz w:val="32"/>
                                <w:szCs w:val="32"/>
                                <w:lang w:eastAsia="zh-CN"/>
                              </w:rPr>
                              <w:t>二、建设项目所在地自然环境和社会环境简</w:t>
                            </w:r>
                            <w:bookmarkEnd w:id="96"/>
                            <w:r>
                              <w:rPr>
                                <w:rStyle w:val="101"/>
                                <w:rFonts w:hint="eastAsia"/>
                                <w:b/>
                                <w:bCs/>
                                <w:color w:val="auto"/>
                                <w:kern w:val="0"/>
                                <w:sz w:val="32"/>
                                <w:szCs w:val="32"/>
                                <w:lang w:eastAsia="zh-CN"/>
                              </w:rPr>
                              <w:t>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45pt;margin-top:44.15pt;height:27.25pt;width:359.75pt;mso-position-vertical-relative:page;z-index:251659264;mso-width-relative:page;mso-height-relative:page;" fillcolor="#FFFFFF" filled="t" stroked="f" coordsize="21600,21600" o:gfxdata="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UrEz7YAAAACgEAAA8AAAAAAAAAAQAgAAAAIgAAAGRycy9k&#10;b3ducmV2LnhtbFBLAQIUABQAAAAIAIdO4kCBoGxWOwIAAF0EAAAOAAAAAAAAAAEAIAAAACcBAABk&#10;cnMvZTJvRG9jLnhtbFBLBQYAAAAABgAGAFkBAADUBQAAAAA=&#10;">
                <v:fill on="t" opacity="0f" focussize="0,0"/>
                <v:stroke on="f"/>
                <v:imagedata o:title=""/>
                <o:lock v:ext="edit" aspectratio="f"/>
                <v:textbox>
                  <w:txbxContent>
                    <w:p>
                      <w:pPr>
                        <w:pStyle w:val="345"/>
                        <w:rPr>
                          <w:lang w:eastAsia="zh-CN"/>
                        </w:rPr>
                      </w:pPr>
                      <w:bookmarkStart w:id="96" w:name="_Toc307515783"/>
                      <w:r>
                        <w:rPr>
                          <w:rStyle w:val="101"/>
                          <w:rFonts w:hint="eastAsia"/>
                          <w:b/>
                          <w:bCs/>
                          <w:color w:val="auto"/>
                          <w:kern w:val="0"/>
                          <w:sz w:val="32"/>
                          <w:szCs w:val="32"/>
                          <w:lang w:eastAsia="zh-CN"/>
                        </w:rPr>
                        <w:t>二、建设项目所在地自然环境和社会环境简</w:t>
                      </w:r>
                      <w:bookmarkEnd w:id="96"/>
                      <w:r>
                        <w:rPr>
                          <w:rStyle w:val="101"/>
                          <w:rFonts w:hint="eastAsia"/>
                          <w:b/>
                          <w:bCs/>
                          <w:color w:val="auto"/>
                          <w:kern w:val="0"/>
                          <w:sz w:val="32"/>
                          <w:szCs w:val="32"/>
                          <w:lang w:eastAsia="zh-CN"/>
                        </w:rPr>
                        <w:t>况</w:t>
                      </w:r>
                    </w:p>
                  </w:txbxContent>
                </v:textbox>
              </v:shape>
            </w:pict>
          </mc:Fallback>
        </mc:AlternateContent>
      </w:r>
      <w:r>
        <w:t>自然环境概况</w:t>
      </w:r>
      <w:bookmarkEnd w:id="26"/>
      <w:bookmarkEnd w:id="27"/>
    </w:p>
    <w:p>
      <w:pPr>
        <w:pStyle w:val="102"/>
      </w:pPr>
      <w:bookmarkStart w:id="28" w:name="_Toc171827773"/>
      <w:bookmarkStart w:id="29" w:name="_Toc171828796"/>
      <w:bookmarkStart w:id="30" w:name="_Toc307515785"/>
      <w:bookmarkStart w:id="31" w:name="_Toc171828422"/>
      <w:bookmarkStart w:id="32" w:name="_Toc171827999"/>
      <w:bookmarkStart w:id="33" w:name="_Toc171828302"/>
      <w:bookmarkStart w:id="34" w:name="_Toc171828087"/>
      <w:bookmarkStart w:id="35" w:name="_Toc171829029"/>
      <w:bookmarkStart w:id="36" w:name="_Toc171867229"/>
      <w:r>
        <w:rPr>
          <w:rFonts w:hint="eastAsia"/>
        </w:rPr>
        <w:t>自然</w:t>
      </w:r>
      <w:r>
        <w:t>环境概况</w:t>
      </w:r>
    </w:p>
    <w:p>
      <w:pPr>
        <w:pStyle w:val="103"/>
        <w:bidi w:val="0"/>
      </w:pPr>
      <w:r>
        <w:t>苏州市吴江区位于东经120°20′15″～120°53′59″，北纬30°45′36″～31°13′42″之间，北接苏州，南近杭州，东临上海，西濒太湖，是人间天堂的腹地。京杭大运河、苏嘉杭高速和227省道纵贯南北，318国道和太浦河横穿东西。四季分明，物候常新，河道纵横成网，湖荡星罗棋布，田被粮桑，鱼虾满塘，宅桥相映，是江南典型的水乡泽国。</w:t>
      </w:r>
    </w:p>
    <w:p>
      <w:pPr>
        <w:pStyle w:val="103"/>
        <w:bidi w:val="0"/>
      </w:pPr>
      <w:r>
        <w:t>项目位于</w:t>
      </w:r>
      <w:r>
        <w:rPr>
          <w:rFonts w:hint="eastAsia"/>
        </w:rPr>
        <w:t>经济技术开发区</w:t>
      </w:r>
      <w:r>
        <w:t>范围内。</w:t>
      </w:r>
      <w:r>
        <w:rPr>
          <w:rFonts w:hint="eastAsia"/>
        </w:rPr>
        <w:t>经济技术开发区</w:t>
      </w:r>
      <w:r>
        <w:t>隶属于吴江区，地处长三角黄金腹地，东临国际大都市上海，距虹桥机场一小时车程；南近发达富饶的杭嘉湖平原；西含中国五大淡水湖之一的太湖；北接千年古城苏州。</w:t>
      </w:r>
    </w:p>
    <w:p>
      <w:pPr>
        <w:pStyle w:val="103"/>
        <w:bidi w:val="0"/>
      </w:pPr>
      <w:r>
        <w:t>根据现场勘查，</w:t>
      </w:r>
      <w:bookmarkStart w:id="37" w:name="_Hlk17892315"/>
      <w:bookmarkStart w:id="38" w:name="_Hlk13060719"/>
      <w:r>
        <w:t>本项目位于</w:t>
      </w:r>
      <w:r>
        <w:rPr>
          <w:rFonts w:hint="eastAsia"/>
        </w:rPr>
        <w:t>吴江经济技术开发区吉市东路217号</w:t>
      </w:r>
      <w:r>
        <w:t>，项目东侧为</w:t>
      </w:r>
      <w:r>
        <w:rPr>
          <w:rFonts w:hint="eastAsia"/>
        </w:rPr>
        <w:t>新浜路</w:t>
      </w:r>
      <w:r>
        <w:t>；项目南侧为</w:t>
      </w:r>
      <w:r>
        <w:rPr>
          <w:rFonts w:hint="eastAsia"/>
        </w:rPr>
        <w:t>星晖印刷厂</w:t>
      </w:r>
      <w:r>
        <w:t>；项目西侧为</w:t>
      </w:r>
      <w:r>
        <w:rPr>
          <w:rFonts w:hint="eastAsia"/>
        </w:rPr>
        <w:t>帏翔电子科技</w:t>
      </w:r>
      <w:r>
        <w:t>；项目北侧为</w:t>
      </w:r>
      <w:r>
        <w:rPr>
          <w:rFonts w:hint="eastAsia"/>
        </w:rPr>
        <w:t>吉市东路</w:t>
      </w:r>
      <w:r>
        <w:t>。</w:t>
      </w:r>
      <w:bookmarkEnd w:id="37"/>
      <w:r>
        <w:rPr>
          <w:rFonts w:hint="eastAsia"/>
        </w:rPr>
        <w:t>项目附近200米范围内无住宅区。</w:t>
      </w:r>
      <w:r>
        <w:t>项目地理位置见附图1；周围环境见附图</w:t>
      </w:r>
      <w:r>
        <w:rPr>
          <w:rFonts w:hint="eastAsia"/>
        </w:rPr>
        <w:t>3</w:t>
      </w:r>
      <w:r>
        <w:t>。</w:t>
      </w:r>
      <w:bookmarkEnd w:id="38"/>
    </w:p>
    <w:p>
      <w:pPr>
        <w:pStyle w:val="104"/>
      </w:pPr>
      <w:r>
        <w:rPr>
          <w:rFonts w:hint="eastAsia"/>
        </w:rPr>
        <w:t>地质、地形、地貌</w:t>
      </w:r>
    </w:p>
    <w:p>
      <w:pPr>
        <w:pStyle w:val="103"/>
        <w:bidi w:val="0"/>
      </w:pPr>
      <w:r>
        <w:t>地层以第四系全新统为主，间有其他地层，如石炭系二叠系并层、泥盆系等；工程地质上属于土体工程地质区中的有两个硬土层的三角洲湖沼平原区；土壤为黄棕壤、爽水水稻土（黄泥土）。</w:t>
      </w:r>
    </w:p>
    <w:p>
      <w:pPr>
        <w:pStyle w:val="103"/>
        <w:bidi w:val="0"/>
      </w:pPr>
      <w:r>
        <w:t>从地质上来说，该区域位于新华夏系第二巨隆起带秦岭东西向复杂构造带东延的复合部位，属元古形成的华南地台。地表为新生代第四纪的松散沉积层堆积，地面以下依次为素填土、淤泥质粉质黏土、粉质黏土、黏土、粉沙等，形成土壤的成土母质是淤积物和湖积物。汾湖镇地质构造上属于苏南隆起区，土壤较粘，承载力一般为9～15吨/平方米。</w:t>
      </w:r>
    </w:p>
    <w:p>
      <w:pPr>
        <w:pStyle w:val="104"/>
      </w:pPr>
      <w:r>
        <w:t>气候</w:t>
      </w:r>
    </w:p>
    <w:p>
      <w:pPr>
        <w:pStyle w:val="103"/>
        <w:bidi w:val="0"/>
      </w:pPr>
      <w:r>
        <w:t>吴江地处长江三角洲腹地，属北亚热带季风区，四季分明，气候温和。年平均温度15.8℃，最炎热月份（7月）的平均温度为31.8℃，极端高温38.4℃，最寒冷月份（1月）的平均温度7.3℃，极端低温-10.6℃。年平均相对湿度为81%，最炎热月份的平均相对湿度为84%，最寒冷月份的平均相对湿度为78%。年平均降雨量为1093.5mm，最大年降雨量达1702.1mm，最大日降雨量达333.5mm，最大小时降雨量达75.</w:t>
      </w:r>
      <w:r>
        <w:rPr>
          <w:rFonts w:hint="eastAsia"/>
        </w:rPr>
        <w:t>15m</w:t>
      </w:r>
      <w:r>
        <w:t>m。年平均气压为1015.9hpa，极端最高气压1041.8hpa，极端最低气压976.9hpa。最大雪深达22cm（1984年1月19日）。项目所在地主要气象资料见表2-1。</w:t>
      </w:r>
    </w:p>
    <w:p>
      <w:pPr>
        <w:pStyle w:val="103"/>
        <w:bidi w:val="0"/>
      </w:pPr>
      <w:r>
        <w:t>吴江气象站近20年资料统计各风向年平均风速，其主导风为ESE，出现频率为12.7%，静风频率为5.8%。年平均风速为2.4m/s。各风向年平均风速见表2-2，常年风向频率玫瑰图见图2-1。</w:t>
      </w:r>
    </w:p>
    <w:p>
      <w:pPr>
        <w:pStyle w:val="273"/>
        <w:bidi w:val="0"/>
        <w:rPr>
          <w:rFonts w:hint="eastAsia"/>
        </w:rPr>
      </w:pPr>
      <w:r>
        <w:rPr>
          <w:rFonts w:hint="eastAsia"/>
        </w:rPr>
        <w:t>表2-1  项目所在地20年（2000～2020年）主要气象资料统计表</w:t>
      </w:r>
    </w:p>
    <w:tbl>
      <w:tblPr>
        <w:tblStyle w:val="87"/>
        <w:tblW w:w="85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801"/>
        <w:gridCol w:w="2266"/>
        <w:gridCol w:w="2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1498" w:type="dxa"/>
            <w:shd w:val="clear" w:color="auto" w:fill="auto"/>
            <w:vAlign w:val="center"/>
          </w:tcPr>
          <w:p>
            <w:pPr>
              <w:pStyle w:val="100"/>
              <w:bidi w:val="0"/>
            </w:pPr>
            <w:r>
              <w:t>编号</w:t>
            </w:r>
          </w:p>
        </w:tc>
        <w:tc>
          <w:tcPr>
            <w:tcW w:w="4067" w:type="dxa"/>
            <w:gridSpan w:val="2"/>
            <w:shd w:val="clear" w:color="auto" w:fill="auto"/>
            <w:vAlign w:val="center"/>
          </w:tcPr>
          <w:p>
            <w:pPr>
              <w:pStyle w:val="100"/>
              <w:bidi w:val="0"/>
            </w:pPr>
            <w:r>
              <w:t>项目</w:t>
            </w:r>
          </w:p>
        </w:tc>
        <w:tc>
          <w:tcPr>
            <w:tcW w:w="2980" w:type="dxa"/>
            <w:shd w:val="clear" w:color="auto" w:fill="auto"/>
            <w:vAlign w:val="center"/>
          </w:tcPr>
          <w:p>
            <w:pPr>
              <w:pStyle w:val="100"/>
              <w:bidi w:val="0"/>
            </w:pPr>
            <w:r>
              <w:t>数值及单位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98" w:type="dxa"/>
            <w:vMerge w:val="restart"/>
            <w:vAlign w:val="center"/>
          </w:tcPr>
          <w:p>
            <w:pPr>
              <w:pStyle w:val="100"/>
              <w:bidi w:val="0"/>
            </w:pPr>
            <w:r>
              <w:t>1</w:t>
            </w:r>
          </w:p>
        </w:tc>
        <w:tc>
          <w:tcPr>
            <w:tcW w:w="1801" w:type="dxa"/>
            <w:vMerge w:val="restart"/>
            <w:vAlign w:val="center"/>
          </w:tcPr>
          <w:p>
            <w:pPr>
              <w:pStyle w:val="100"/>
              <w:bidi w:val="0"/>
            </w:pPr>
            <w:r>
              <w:t>气温</w:t>
            </w:r>
          </w:p>
        </w:tc>
        <w:tc>
          <w:tcPr>
            <w:tcW w:w="2266" w:type="dxa"/>
            <w:vAlign w:val="center"/>
          </w:tcPr>
          <w:p>
            <w:pPr>
              <w:pStyle w:val="100"/>
              <w:bidi w:val="0"/>
            </w:pPr>
            <w:r>
              <w:t>年平均气温</w:t>
            </w:r>
          </w:p>
        </w:tc>
        <w:tc>
          <w:tcPr>
            <w:tcW w:w="2980" w:type="dxa"/>
            <w:vAlign w:val="center"/>
          </w:tcPr>
          <w:p>
            <w:pPr>
              <w:pStyle w:val="100"/>
              <w:bidi w:val="0"/>
            </w:pPr>
            <w:r>
              <w:t>15.7℃</w:t>
            </w:r>
          </w:p>
        </w:tc>
      </w:tr>
      <w:tr>
        <w:tblPrEx>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年最高温度</w:t>
            </w:r>
          </w:p>
        </w:tc>
        <w:tc>
          <w:tcPr>
            <w:tcW w:w="2980" w:type="dxa"/>
            <w:vAlign w:val="center"/>
          </w:tcPr>
          <w:p>
            <w:pPr>
              <w:pStyle w:val="100"/>
              <w:bidi w:val="0"/>
            </w:pPr>
            <w: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极端最低温度</w:t>
            </w:r>
          </w:p>
        </w:tc>
        <w:tc>
          <w:tcPr>
            <w:tcW w:w="2980" w:type="dxa"/>
            <w:vAlign w:val="center"/>
          </w:tcPr>
          <w:p>
            <w:pPr>
              <w:pStyle w:val="100"/>
              <w:bidi w:val="0"/>
            </w:pPr>
            <w: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最大风速</w:t>
            </w:r>
          </w:p>
        </w:tc>
        <w:tc>
          <w:tcPr>
            <w:tcW w:w="2980" w:type="dxa"/>
            <w:vAlign w:val="center"/>
          </w:tcPr>
          <w:p>
            <w:pPr>
              <w:pStyle w:val="100"/>
              <w:bidi w:val="0"/>
            </w:pPr>
            <w:r>
              <w:t>26m/s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98" w:type="dxa"/>
            <w:vAlign w:val="center"/>
          </w:tcPr>
          <w:p>
            <w:pPr>
              <w:pStyle w:val="100"/>
              <w:bidi w:val="0"/>
            </w:pPr>
            <w:r>
              <w:t>2</w:t>
            </w:r>
          </w:p>
        </w:tc>
        <w:tc>
          <w:tcPr>
            <w:tcW w:w="1801" w:type="dxa"/>
            <w:vAlign w:val="center"/>
          </w:tcPr>
          <w:p>
            <w:pPr>
              <w:pStyle w:val="100"/>
              <w:bidi w:val="0"/>
            </w:pPr>
            <w:r>
              <w:t>气压</w:t>
            </w:r>
          </w:p>
        </w:tc>
        <w:tc>
          <w:tcPr>
            <w:tcW w:w="2266" w:type="dxa"/>
            <w:vAlign w:val="center"/>
          </w:tcPr>
          <w:p>
            <w:pPr>
              <w:pStyle w:val="100"/>
              <w:bidi w:val="0"/>
            </w:pPr>
            <w:r>
              <w:t>年平均大气压</w:t>
            </w:r>
          </w:p>
        </w:tc>
        <w:tc>
          <w:tcPr>
            <w:tcW w:w="2980" w:type="dxa"/>
            <w:vAlign w:val="center"/>
          </w:tcPr>
          <w:p>
            <w:pPr>
              <w:pStyle w:val="100"/>
              <w:bidi w:val="0"/>
            </w:pPr>
            <w:r>
              <w:t>1015.7hPa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98" w:type="dxa"/>
            <w:vAlign w:val="center"/>
          </w:tcPr>
          <w:p>
            <w:pPr>
              <w:pStyle w:val="100"/>
              <w:bidi w:val="0"/>
            </w:pPr>
            <w:r>
              <w:t>3</w:t>
            </w:r>
          </w:p>
        </w:tc>
        <w:tc>
          <w:tcPr>
            <w:tcW w:w="1801" w:type="dxa"/>
            <w:vAlign w:val="center"/>
          </w:tcPr>
          <w:p>
            <w:pPr>
              <w:pStyle w:val="100"/>
              <w:bidi w:val="0"/>
            </w:pPr>
            <w:r>
              <w:t>空气湿度</w:t>
            </w:r>
          </w:p>
        </w:tc>
        <w:tc>
          <w:tcPr>
            <w:tcW w:w="2266" w:type="dxa"/>
            <w:vAlign w:val="center"/>
          </w:tcPr>
          <w:p>
            <w:pPr>
              <w:pStyle w:val="100"/>
              <w:bidi w:val="0"/>
            </w:pPr>
            <w:r>
              <w:t>年平均相对湿度</w:t>
            </w:r>
          </w:p>
        </w:tc>
        <w:tc>
          <w:tcPr>
            <w:tcW w:w="2980" w:type="dxa"/>
            <w:vAlign w:val="center"/>
          </w:tcPr>
          <w:p>
            <w:pPr>
              <w:pStyle w:val="100"/>
              <w:bidi w:val="0"/>
            </w:pPr>
            <w: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98" w:type="dxa"/>
            <w:vMerge w:val="restart"/>
            <w:vAlign w:val="center"/>
          </w:tcPr>
          <w:p>
            <w:pPr>
              <w:pStyle w:val="100"/>
              <w:bidi w:val="0"/>
            </w:pPr>
            <w:r>
              <w:t>4</w:t>
            </w:r>
          </w:p>
        </w:tc>
        <w:tc>
          <w:tcPr>
            <w:tcW w:w="1801" w:type="dxa"/>
            <w:vMerge w:val="restart"/>
            <w:vAlign w:val="center"/>
          </w:tcPr>
          <w:p>
            <w:pPr>
              <w:pStyle w:val="100"/>
              <w:bidi w:val="0"/>
            </w:pPr>
            <w:r>
              <w:t>降雨量</w:t>
            </w:r>
          </w:p>
        </w:tc>
        <w:tc>
          <w:tcPr>
            <w:tcW w:w="2266" w:type="dxa"/>
            <w:vAlign w:val="center"/>
          </w:tcPr>
          <w:p>
            <w:pPr>
              <w:pStyle w:val="100"/>
              <w:bidi w:val="0"/>
            </w:pPr>
            <w:r>
              <w:t>年平均降雨量</w:t>
            </w:r>
          </w:p>
        </w:tc>
        <w:tc>
          <w:tcPr>
            <w:tcW w:w="2980" w:type="dxa"/>
            <w:vAlign w:val="center"/>
          </w:tcPr>
          <w:p>
            <w:pPr>
              <w:pStyle w:val="100"/>
              <w:bidi w:val="0"/>
            </w:pPr>
            <w:r>
              <w:t>870.8mm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年最大降雨量</w:t>
            </w:r>
          </w:p>
        </w:tc>
        <w:tc>
          <w:tcPr>
            <w:tcW w:w="2980" w:type="dxa"/>
            <w:vAlign w:val="center"/>
          </w:tcPr>
          <w:p>
            <w:pPr>
              <w:pStyle w:val="100"/>
              <w:bidi w:val="0"/>
            </w:pPr>
            <w:r>
              <w:t>1582.9mm（1993年）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日最大降雨量</w:t>
            </w:r>
          </w:p>
        </w:tc>
        <w:tc>
          <w:tcPr>
            <w:tcW w:w="2980" w:type="dxa"/>
            <w:vAlign w:val="center"/>
          </w:tcPr>
          <w:p>
            <w:pPr>
              <w:pStyle w:val="100"/>
              <w:bidi w:val="0"/>
            </w:pPr>
            <w:r>
              <w:t>165mm（1984年）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小时最大降雨量</w:t>
            </w:r>
          </w:p>
        </w:tc>
        <w:tc>
          <w:tcPr>
            <w:tcW w:w="2980" w:type="dxa"/>
            <w:vAlign w:val="center"/>
          </w:tcPr>
          <w:p>
            <w:pPr>
              <w:pStyle w:val="100"/>
              <w:bidi w:val="0"/>
            </w:pPr>
            <w:r>
              <w:t>65mm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98" w:type="dxa"/>
            <w:vMerge w:val="restart"/>
            <w:vAlign w:val="center"/>
          </w:tcPr>
          <w:p>
            <w:pPr>
              <w:pStyle w:val="100"/>
              <w:bidi w:val="0"/>
            </w:pPr>
            <w:r>
              <w:t>5</w:t>
            </w:r>
          </w:p>
        </w:tc>
        <w:tc>
          <w:tcPr>
            <w:tcW w:w="1801" w:type="dxa"/>
            <w:vMerge w:val="restart"/>
            <w:vAlign w:val="center"/>
          </w:tcPr>
          <w:p>
            <w:pPr>
              <w:pStyle w:val="100"/>
              <w:bidi w:val="0"/>
            </w:pPr>
            <w:r>
              <w:t>雷暴日数</w:t>
            </w:r>
          </w:p>
        </w:tc>
        <w:tc>
          <w:tcPr>
            <w:tcW w:w="2266" w:type="dxa"/>
            <w:vAlign w:val="center"/>
          </w:tcPr>
          <w:p>
            <w:pPr>
              <w:pStyle w:val="100"/>
              <w:bidi w:val="0"/>
            </w:pPr>
            <w:r>
              <w:t>年平均雷暴日数</w:t>
            </w:r>
          </w:p>
        </w:tc>
        <w:tc>
          <w:tcPr>
            <w:tcW w:w="2980" w:type="dxa"/>
            <w:vAlign w:val="center"/>
          </w:tcPr>
          <w:p>
            <w:pPr>
              <w:pStyle w:val="100"/>
              <w:bidi w:val="0"/>
            </w:pPr>
            <w:r>
              <w:t>35.4d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年最大雷暴日数</w:t>
            </w:r>
          </w:p>
        </w:tc>
        <w:tc>
          <w:tcPr>
            <w:tcW w:w="2980" w:type="dxa"/>
            <w:vAlign w:val="center"/>
          </w:tcPr>
          <w:p>
            <w:pPr>
              <w:pStyle w:val="100"/>
              <w:bidi w:val="0"/>
            </w:pPr>
            <w:r>
              <w:t>43d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98" w:type="dxa"/>
            <w:vMerge w:val="restart"/>
            <w:vAlign w:val="center"/>
          </w:tcPr>
          <w:p>
            <w:pPr>
              <w:pStyle w:val="100"/>
              <w:bidi w:val="0"/>
            </w:pPr>
            <w:r>
              <w:t>6</w:t>
            </w:r>
          </w:p>
        </w:tc>
        <w:tc>
          <w:tcPr>
            <w:tcW w:w="1801" w:type="dxa"/>
            <w:vMerge w:val="restart"/>
            <w:vAlign w:val="center"/>
          </w:tcPr>
          <w:p>
            <w:pPr>
              <w:pStyle w:val="100"/>
              <w:bidi w:val="0"/>
            </w:pPr>
            <w:r>
              <w:t>积雪、冻土深度</w:t>
            </w:r>
          </w:p>
        </w:tc>
        <w:tc>
          <w:tcPr>
            <w:tcW w:w="2266" w:type="dxa"/>
            <w:vAlign w:val="center"/>
          </w:tcPr>
          <w:p>
            <w:pPr>
              <w:pStyle w:val="100"/>
              <w:bidi w:val="0"/>
            </w:pPr>
            <w:r>
              <w:t>最大积雪深度</w:t>
            </w:r>
          </w:p>
        </w:tc>
        <w:tc>
          <w:tcPr>
            <w:tcW w:w="2980" w:type="dxa"/>
            <w:vAlign w:val="center"/>
          </w:tcPr>
          <w:p>
            <w:pPr>
              <w:pStyle w:val="100"/>
              <w:bidi w:val="0"/>
            </w:pPr>
            <w:r>
              <w:t>220mm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最大冻土深度</w:t>
            </w:r>
          </w:p>
        </w:tc>
        <w:tc>
          <w:tcPr>
            <w:tcW w:w="2980" w:type="dxa"/>
            <w:vAlign w:val="center"/>
          </w:tcPr>
          <w:p>
            <w:pPr>
              <w:pStyle w:val="100"/>
              <w:bidi w:val="0"/>
            </w:pPr>
            <w:r>
              <w:t>120mm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98" w:type="dxa"/>
            <w:vMerge w:val="restart"/>
            <w:vAlign w:val="center"/>
          </w:tcPr>
          <w:p>
            <w:pPr>
              <w:pStyle w:val="100"/>
              <w:bidi w:val="0"/>
            </w:pPr>
            <w:r>
              <w:t>7</w:t>
            </w:r>
          </w:p>
        </w:tc>
        <w:tc>
          <w:tcPr>
            <w:tcW w:w="1801" w:type="dxa"/>
            <w:vMerge w:val="restart"/>
            <w:vAlign w:val="center"/>
          </w:tcPr>
          <w:p>
            <w:pPr>
              <w:pStyle w:val="100"/>
              <w:bidi w:val="0"/>
            </w:pPr>
            <w:r>
              <w:t>风向和频率</w:t>
            </w:r>
          </w:p>
        </w:tc>
        <w:tc>
          <w:tcPr>
            <w:tcW w:w="2266" w:type="dxa"/>
            <w:vAlign w:val="center"/>
          </w:tcPr>
          <w:p>
            <w:pPr>
              <w:pStyle w:val="100"/>
              <w:bidi w:val="0"/>
            </w:pPr>
            <w:r>
              <w:t>全年主导风向</w:t>
            </w:r>
          </w:p>
        </w:tc>
        <w:tc>
          <w:tcPr>
            <w:tcW w:w="2980" w:type="dxa"/>
            <w:vAlign w:val="center"/>
          </w:tcPr>
          <w:p>
            <w:pPr>
              <w:pStyle w:val="100"/>
              <w:bidi w:val="0"/>
            </w:pPr>
            <w:r>
              <w:t>SE12%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冬季主导风向</w:t>
            </w:r>
          </w:p>
        </w:tc>
        <w:tc>
          <w:tcPr>
            <w:tcW w:w="2980" w:type="dxa"/>
            <w:vAlign w:val="center"/>
          </w:tcPr>
          <w:p>
            <w:pPr>
              <w:pStyle w:val="100"/>
              <w:bidi w:val="0"/>
            </w:pPr>
            <w:r>
              <w:t>NE10.3%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夏季主导风向</w:t>
            </w:r>
          </w:p>
        </w:tc>
        <w:tc>
          <w:tcPr>
            <w:tcW w:w="2980" w:type="dxa"/>
            <w:vAlign w:val="center"/>
          </w:tcPr>
          <w:p>
            <w:pPr>
              <w:pStyle w:val="100"/>
              <w:bidi w:val="0"/>
            </w:pPr>
            <w:r>
              <w:t>SE16.6%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98" w:type="dxa"/>
            <w:vMerge w:val="restart"/>
            <w:vAlign w:val="center"/>
          </w:tcPr>
          <w:p>
            <w:pPr>
              <w:pStyle w:val="100"/>
              <w:bidi w:val="0"/>
            </w:pPr>
            <w:r>
              <w:t>8</w:t>
            </w:r>
          </w:p>
        </w:tc>
        <w:tc>
          <w:tcPr>
            <w:tcW w:w="1801" w:type="dxa"/>
            <w:vMerge w:val="restart"/>
            <w:vAlign w:val="center"/>
          </w:tcPr>
          <w:p>
            <w:pPr>
              <w:pStyle w:val="100"/>
              <w:bidi w:val="0"/>
            </w:pPr>
            <w:r>
              <w:t>其他</w:t>
            </w:r>
          </w:p>
        </w:tc>
        <w:tc>
          <w:tcPr>
            <w:tcW w:w="2266" w:type="dxa"/>
            <w:vAlign w:val="center"/>
          </w:tcPr>
          <w:p>
            <w:pPr>
              <w:pStyle w:val="100"/>
              <w:bidi w:val="0"/>
            </w:pPr>
            <w:r>
              <w:t>年均日照量</w:t>
            </w:r>
          </w:p>
        </w:tc>
        <w:tc>
          <w:tcPr>
            <w:tcW w:w="2980" w:type="dxa"/>
            <w:vAlign w:val="center"/>
          </w:tcPr>
          <w:p>
            <w:pPr>
              <w:pStyle w:val="100"/>
              <w:bidi w:val="0"/>
            </w:pPr>
            <w:r>
              <w:t>2086h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年均无霜期</w:t>
            </w:r>
          </w:p>
        </w:tc>
        <w:tc>
          <w:tcPr>
            <w:tcW w:w="2980" w:type="dxa"/>
            <w:vAlign w:val="center"/>
          </w:tcPr>
          <w:p>
            <w:pPr>
              <w:pStyle w:val="100"/>
              <w:bidi w:val="0"/>
            </w:pPr>
            <w:r>
              <w:t>226d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年均雾期</w:t>
            </w:r>
          </w:p>
        </w:tc>
        <w:tc>
          <w:tcPr>
            <w:tcW w:w="2980" w:type="dxa"/>
            <w:vAlign w:val="center"/>
          </w:tcPr>
          <w:p>
            <w:pPr>
              <w:pStyle w:val="100"/>
              <w:bidi w:val="0"/>
            </w:pPr>
            <w:r>
              <w:t>8d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pStyle w:val="100"/>
              <w:bidi w:val="0"/>
            </w:pPr>
          </w:p>
        </w:tc>
        <w:tc>
          <w:tcPr>
            <w:tcW w:w="1801" w:type="dxa"/>
            <w:vMerge w:val="continue"/>
            <w:vAlign w:val="center"/>
          </w:tcPr>
          <w:p>
            <w:pPr>
              <w:pStyle w:val="100"/>
              <w:bidi w:val="0"/>
            </w:pPr>
          </w:p>
        </w:tc>
        <w:tc>
          <w:tcPr>
            <w:tcW w:w="2266" w:type="dxa"/>
            <w:vAlign w:val="center"/>
          </w:tcPr>
          <w:p>
            <w:pPr>
              <w:pStyle w:val="100"/>
              <w:bidi w:val="0"/>
            </w:pPr>
            <w:r>
              <w:t>年均雷日</w:t>
            </w:r>
          </w:p>
        </w:tc>
        <w:tc>
          <w:tcPr>
            <w:tcW w:w="2980" w:type="dxa"/>
            <w:vAlign w:val="center"/>
          </w:tcPr>
          <w:p>
            <w:pPr>
              <w:pStyle w:val="100"/>
              <w:bidi w:val="0"/>
            </w:pPr>
            <w:r>
              <w:t>9d</w:t>
            </w:r>
          </w:p>
        </w:tc>
      </w:tr>
    </w:tbl>
    <w:p>
      <w:pPr>
        <w:pStyle w:val="273"/>
        <w:bidi w:val="0"/>
        <w:rPr>
          <w:rFonts w:hint="eastAsia"/>
        </w:rPr>
      </w:pPr>
      <w:r>
        <w:rPr>
          <w:rFonts w:hint="eastAsia"/>
        </w:rPr>
        <w:t>表2-2  各风向年平均风速（单位：m/s）</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842"/>
        <w:gridCol w:w="845"/>
        <w:gridCol w:w="843"/>
        <w:gridCol w:w="845"/>
        <w:gridCol w:w="843"/>
        <w:gridCol w:w="845"/>
        <w:gridCol w:w="843"/>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463" w:type="dxa"/>
            <w:shd w:val="clear" w:color="auto" w:fill="auto"/>
            <w:vAlign w:val="center"/>
          </w:tcPr>
          <w:p>
            <w:pPr>
              <w:pStyle w:val="100"/>
              <w:bidi w:val="0"/>
            </w:pPr>
            <w:r>
              <w:t>风向</w:t>
            </w:r>
          </w:p>
        </w:tc>
        <w:tc>
          <w:tcPr>
            <w:tcW w:w="842" w:type="dxa"/>
            <w:vAlign w:val="center"/>
          </w:tcPr>
          <w:p>
            <w:pPr>
              <w:pStyle w:val="100"/>
              <w:bidi w:val="0"/>
            </w:pPr>
            <w:r>
              <w:t>N</w:t>
            </w:r>
          </w:p>
        </w:tc>
        <w:tc>
          <w:tcPr>
            <w:tcW w:w="845" w:type="dxa"/>
            <w:vAlign w:val="center"/>
          </w:tcPr>
          <w:p>
            <w:pPr>
              <w:pStyle w:val="100"/>
              <w:bidi w:val="0"/>
            </w:pPr>
            <w:r>
              <w:t>NNE</w:t>
            </w:r>
          </w:p>
        </w:tc>
        <w:tc>
          <w:tcPr>
            <w:tcW w:w="843" w:type="dxa"/>
            <w:vAlign w:val="center"/>
          </w:tcPr>
          <w:p>
            <w:pPr>
              <w:pStyle w:val="100"/>
              <w:bidi w:val="0"/>
            </w:pPr>
            <w:r>
              <w:t>NE</w:t>
            </w:r>
          </w:p>
        </w:tc>
        <w:tc>
          <w:tcPr>
            <w:tcW w:w="845" w:type="dxa"/>
            <w:vAlign w:val="center"/>
          </w:tcPr>
          <w:p>
            <w:pPr>
              <w:pStyle w:val="100"/>
              <w:bidi w:val="0"/>
            </w:pPr>
            <w:r>
              <w:t>ENE</w:t>
            </w:r>
          </w:p>
        </w:tc>
        <w:tc>
          <w:tcPr>
            <w:tcW w:w="843" w:type="dxa"/>
            <w:vAlign w:val="center"/>
          </w:tcPr>
          <w:p>
            <w:pPr>
              <w:pStyle w:val="100"/>
              <w:bidi w:val="0"/>
            </w:pPr>
            <w:r>
              <w:t>E</w:t>
            </w:r>
          </w:p>
        </w:tc>
        <w:tc>
          <w:tcPr>
            <w:tcW w:w="845" w:type="dxa"/>
            <w:vAlign w:val="center"/>
          </w:tcPr>
          <w:p>
            <w:pPr>
              <w:pStyle w:val="100"/>
              <w:bidi w:val="0"/>
            </w:pPr>
            <w:r>
              <w:t>ESE</w:t>
            </w:r>
          </w:p>
        </w:tc>
        <w:tc>
          <w:tcPr>
            <w:tcW w:w="843" w:type="dxa"/>
            <w:vAlign w:val="center"/>
          </w:tcPr>
          <w:p>
            <w:pPr>
              <w:pStyle w:val="100"/>
              <w:bidi w:val="0"/>
            </w:pPr>
            <w:r>
              <w:t>SE</w:t>
            </w:r>
          </w:p>
        </w:tc>
        <w:tc>
          <w:tcPr>
            <w:tcW w:w="1111" w:type="dxa"/>
            <w:vAlign w:val="center"/>
          </w:tcPr>
          <w:p>
            <w:pPr>
              <w:pStyle w:val="100"/>
              <w:bidi w:val="0"/>
            </w:pPr>
            <w:r>
              <w:t>SSE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63" w:type="dxa"/>
            <w:shd w:val="clear" w:color="auto" w:fill="auto"/>
            <w:vAlign w:val="center"/>
          </w:tcPr>
          <w:p>
            <w:pPr>
              <w:pStyle w:val="100"/>
              <w:bidi w:val="0"/>
            </w:pPr>
            <w:r>
              <w:t>平均风速</w:t>
            </w:r>
          </w:p>
        </w:tc>
        <w:tc>
          <w:tcPr>
            <w:tcW w:w="842" w:type="dxa"/>
            <w:vAlign w:val="center"/>
          </w:tcPr>
          <w:p>
            <w:pPr>
              <w:pStyle w:val="100"/>
              <w:bidi w:val="0"/>
            </w:pPr>
            <w:r>
              <w:t>1.6</w:t>
            </w:r>
          </w:p>
        </w:tc>
        <w:tc>
          <w:tcPr>
            <w:tcW w:w="845" w:type="dxa"/>
            <w:vAlign w:val="center"/>
          </w:tcPr>
          <w:p>
            <w:pPr>
              <w:pStyle w:val="100"/>
              <w:bidi w:val="0"/>
            </w:pPr>
            <w:r>
              <w:t>1.4</w:t>
            </w:r>
          </w:p>
        </w:tc>
        <w:tc>
          <w:tcPr>
            <w:tcW w:w="843" w:type="dxa"/>
            <w:vAlign w:val="center"/>
          </w:tcPr>
          <w:p>
            <w:pPr>
              <w:pStyle w:val="100"/>
              <w:bidi w:val="0"/>
            </w:pPr>
            <w:r>
              <w:t>1.7</w:t>
            </w:r>
          </w:p>
        </w:tc>
        <w:tc>
          <w:tcPr>
            <w:tcW w:w="845" w:type="dxa"/>
            <w:vAlign w:val="center"/>
          </w:tcPr>
          <w:p>
            <w:pPr>
              <w:pStyle w:val="100"/>
              <w:bidi w:val="0"/>
            </w:pPr>
            <w:r>
              <w:t>2.2</w:t>
            </w:r>
          </w:p>
        </w:tc>
        <w:tc>
          <w:tcPr>
            <w:tcW w:w="843" w:type="dxa"/>
            <w:vAlign w:val="center"/>
          </w:tcPr>
          <w:p>
            <w:pPr>
              <w:pStyle w:val="100"/>
              <w:bidi w:val="0"/>
            </w:pPr>
            <w:r>
              <w:t>2.4</w:t>
            </w:r>
          </w:p>
        </w:tc>
        <w:tc>
          <w:tcPr>
            <w:tcW w:w="845" w:type="dxa"/>
            <w:vAlign w:val="center"/>
          </w:tcPr>
          <w:p>
            <w:pPr>
              <w:pStyle w:val="100"/>
              <w:bidi w:val="0"/>
            </w:pPr>
            <w:r>
              <w:t>2.8</w:t>
            </w:r>
          </w:p>
        </w:tc>
        <w:tc>
          <w:tcPr>
            <w:tcW w:w="843" w:type="dxa"/>
            <w:vAlign w:val="center"/>
          </w:tcPr>
          <w:p>
            <w:pPr>
              <w:pStyle w:val="100"/>
              <w:bidi w:val="0"/>
            </w:pPr>
            <w:r>
              <w:t>2.7</w:t>
            </w:r>
          </w:p>
        </w:tc>
        <w:tc>
          <w:tcPr>
            <w:tcW w:w="1111" w:type="dxa"/>
            <w:vAlign w:val="center"/>
          </w:tcPr>
          <w:p>
            <w:pPr>
              <w:pStyle w:val="100"/>
              <w:bidi w:val="0"/>
            </w:pPr>
            <w: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63" w:type="dxa"/>
            <w:shd w:val="clear" w:color="auto" w:fill="auto"/>
            <w:vAlign w:val="center"/>
          </w:tcPr>
          <w:p>
            <w:pPr>
              <w:pStyle w:val="100"/>
              <w:bidi w:val="0"/>
            </w:pPr>
            <w:r>
              <w:t>风向</w:t>
            </w:r>
          </w:p>
        </w:tc>
        <w:tc>
          <w:tcPr>
            <w:tcW w:w="842" w:type="dxa"/>
            <w:vAlign w:val="center"/>
          </w:tcPr>
          <w:p>
            <w:pPr>
              <w:pStyle w:val="100"/>
              <w:bidi w:val="0"/>
            </w:pPr>
            <w:r>
              <w:t>S</w:t>
            </w:r>
          </w:p>
        </w:tc>
        <w:tc>
          <w:tcPr>
            <w:tcW w:w="845" w:type="dxa"/>
            <w:vAlign w:val="center"/>
          </w:tcPr>
          <w:p>
            <w:pPr>
              <w:pStyle w:val="100"/>
              <w:bidi w:val="0"/>
            </w:pPr>
            <w:r>
              <w:t>SSW</w:t>
            </w:r>
          </w:p>
        </w:tc>
        <w:tc>
          <w:tcPr>
            <w:tcW w:w="843" w:type="dxa"/>
            <w:vAlign w:val="center"/>
          </w:tcPr>
          <w:p>
            <w:pPr>
              <w:pStyle w:val="100"/>
              <w:bidi w:val="0"/>
            </w:pPr>
            <w:r>
              <w:t>SW</w:t>
            </w:r>
          </w:p>
        </w:tc>
        <w:tc>
          <w:tcPr>
            <w:tcW w:w="845" w:type="dxa"/>
            <w:vAlign w:val="center"/>
          </w:tcPr>
          <w:p>
            <w:pPr>
              <w:pStyle w:val="100"/>
              <w:bidi w:val="0"/>
            </w:pPr>
            <w:r>
              <w:t>WSW</w:t>
            </w:r>
          </w:p>
        </w:tc>
        <w:tc>
          <w:tcPr>
            <w:tcW w:w="843" w:type="dxa"/>
            <w:vAlign w:val="center"/>
          </w:tcPr>
          <w:p>
            <w:pPr>
              <w:pStyle w:val="100"/>
              <w:bidi w:val="0"/>
            </w:pPr>
            <w:r>
              <w:t>W</w:t>
            </w:r>
          </w:p>
        </w:tc>
        <w:tc>
          <w:tcPr>
            <w:tcW w:w="845" w:type="dxa"/>
            <w:vAlign w:val="center"/>
          </w:tcPr>
          <w:p>
            <w:pPr>
              <w:pStyle w:val="100"/>
              <w:bidi w:val="0"/>
            </w:pPr>
            <w:r>
              <w:t>WNW</w:t>
            </w:r>
          </w:p>
        </w:tc>
        <w:tc>
          <w:tcPr>
            <w:tcW w:w="843" w:type="dxa"/>
            <w:vAlign w:val="center"/>
          </w:tcPr>
          <w:p>
            <w:pPr>
              <w:pStyle w:val="100"/>
              <w:bidi w:val="0"/>
            </w:pPr>
            <w:r>
              <w:t>NW</w:t>
            </w:r>
          </w:p>
        </w:tc>
        <w:tc>
          <w:tcPr>
            <w:tcW w:w="1111" w:type="dxa"/>
            <w:vAlign w:val="center"/>
          </w:tcPr>
          <w:p>
            <w:pPr>
              <w:pStyle w:val="100"/>
              <w:bidi w:val="0"/>
            </w:pPr>
            <w:r>
              <w:t>NNW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63" w:type="dxa"/>
            <w:shd w:val="clear" w:color="auto" w:fill="auto"/>
            <w:vAlign w:val="center"/>
          </w:tcPr>
          <w:p>
            <w:pPr>
              <w:pStyle w:val="100"/>
              <w:bidi w:val="0"/>
            </w:pPr>
            <w:r>
              <w:t>平均风速</w:t>
            </w:r>
          </w:p>
        </w:tc>
        <w:tc>
          <w:tcPr>
            <w:tcW w:w="842" w:type="dxa"/>
            <w:vAlign w:val="center"/>
          </w:tcPr>
          <w:p>
            <w:pPr>
              <w:pStyle w:val="100"/>
              <w:bidi w:val="0"/>
            </w:pPr>
            <w:r>
              <w:t>2.1</w:t>
            </w:r>
          </w:p>
        </w:tc>
        <w:tc>
          <w:tcPr>
            <w:tcW w:w="845" w:type="dxa"/>
            <w:vAlign w:val="center"/>
          </w:tcPr>
          <w:p>
            <w:pPr>
              <w:pStyle w:val="100"/>
              <w:bidi w:val="0"/>
            </w:pPr>
            <w:r>
              <w:t>2.2</w:t>
            </w:r>
          </w:p>
        </w:tc>
        <w:tc>
          <w:tcPr>
            <w:tcW w:w="843" w:type="dxa"/>
            <w:vAlign w:val="center"/>
          </w:tcPr>
          <w:p>
            <w:pPr>
              <w:pStyle w:val="100"/>
              <w:bidi w:val="0"/>
            </w:pPr>
            <w:r>
              <w:t>2.5</w:t>
            </w:r>
          </w:p>
        </w:tc>
        <w:tc>
          <w:tcPr>
            <w:tcW w:w="845" w:type="dxa"/>
            <w:vAlign w:val="center"/>
          </w:tcPr>
          <w:p>
            <w:pPr>
              <w:pStyle w:val="100"/>
              <w:bidi w:val="0"/>
            </w:pPr>
            <w:r>
              <w:t>2.1</w:t>
            </w:r>
          </w:p>
        </w:tc>
        <w:tc>
          <w:tcPr>
            <w:tcW w:w="843" w:type="dxa"/>
            <w:vAlign w:val="center"/>
          </w:tcPr>
          <w:p>
            <w:pPr>
              <w:pStyle w:val="100"/>
              <w:bidi w:val="0"/>
            </w:pPr>
            <w:r>
              <w:t>2.1</w:t>
            </w:r>
          </w:p>
        </w:tc>
        <w:tc>
          <w:tcPr>
            <w:tcW w:w="845" w:type="dxa"/>
            <w:vAlign w:val="center"/>
          </w:tcPr>
          <w:p>
            <w:pPr>
              <w:pStyle w:val="100"/>
              <w:bidi w:val="0"/>
            </w:pPr>
            <w:r>
              <w:t>2.7</w:t>
            </w:r>
          </w:p>
        </w:tc>
        <w:tc>
          <w:tcPr>
            <w:tcW w:w="843" w:type="dxa"/>
            <w:vAlign w:val="center"/>
          </w:tcPr>
          <w:p>
            <w:pPr>
              <w:pStyle w:val="100"/>
              <w:bidi w:val="0"/>
            </w:pPr>
            <w:r>
              <w:t>3.0</w:t>
            </w:r>
          </w:p>
        </w:tc>
        <w:tc>
          <w:tcPr>
            <w:tcW w:w="1111" w:type="dxa"/>
            <w:vAlign w:val="center"/>
          </w:tcPr>
          <w:p>
            <w:pPr>
              <w:pStyle w:val="100"/>
              <w:bidi w:val="0"/>
            </w:pPr>
            <w: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480" w:type="dxa"/>
            <w:gridSpan w:val="9"/>
            <w:vAlign w:val="center"/>
          </w:tcPr>
          <w:p>
            <w:pPr>
              <w:pStyle w:val="100"/>
              <w:bidi w:val="0"/>
            </w:pPr>
            <w:r>
              <w:t>年平均风速2.4</w:t>
            </w:r>
          </w:p>
        </w:tc>
      </w:tr>
    </w:tbl>
    <w:p>
      <w:pPr>
        <w:pStyle w:val="103"/>
      </w:pPr>
    </w:p>
    <w:p>
      <w:pPr>
        <w:pStyle w:val="103"/>
      </w:pPr>
    </w:p>
    <w:p>
      <w:pPr>
        <w:pStyle w:val="134"/>
      </w:pPr>
      <w:r>
        <w:drawing>
          <wp:inline distT="0" distB="0" distL="0" distR="0">
            <wp:extent cx="3086100" cy="1790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86100" cy="1790700"/>
                    </a:xfrm>
                    <a:prstGeom prst="rect">
                      <a:avLst/>
                    </a:prstGeom>
                    <a:noFill/>
                    <a:ln>
                      <a:noFill/>
                    </a:ln>
                  </pic:spPr>
                </pic:pic>
              </a:graphicData>
            </a:graphic>
          </wp:inline>
        </w:drawing>
      </w:r>
    </w:p>
    <w:p>
      <w:pPr>
        <w:pStyle w:val="134"/>
      </w:pPr>
      <w:r>
        <w:t>图2-1  风向风速频率玫瑰图</w:t>
      </w:r>
    </w:p>
    <w:p>
      <w:pPr>
        <w:pStyle w:val="104"/>
      </w:pPr>
      <w:r>
        <w:t>水系及水文</w:t>
      </w:r>
    </w:p>
    <w:p>
      <w:pPr>
        <w:pStyle w:val="103"/>
        <w:bidi w:val="0"/>
      </w:pPr>
      <w:r>
        <w:t>吴江经济技术开发区位于太湖下游淀泖滨湖区，属滨湖圩田平原，河道稠密，交织成网，航运发达。上至太湖，下达淀泖区，北靠瓜泾港，分属太湖水系和运河水系。太湖水经三船路、中腰泾、瓜泾港等流入运河。京杭运河贯通苏州、吴中区、浙江等省市，在吴江经济开发区西侧通过。</w:t>
      </w:r>
    </w:p>
    <w:p>
      <w:pPr>
        <w:pStyle w:val="103"/>
        <w:bidi w:val="0"/>
      </w:pPr>
      <w:r>
        <w:t>全区共有大小湖荡261个，其中千亩以上的50个，大小河道四千余条，总长度近五千公里，其中主要河道27条，太浦河横穿东西，把全市划分为南北两大片，太浦河以南属杭嘉湖地区，田面高程2.8~3.0米（吴淞零点，下同），太浦河以北为阳澄淀泖地区；大运河贯通南北，把太浦河以北地区分为运东、运西两块，运东田面高程一般在4.0米左右，运西地面低洼，田面高程在3.0~3.5米之间，全市河湖相通，河湖相连，水路畅通，乡镇、村宅依水而建，是个土地肥沃、物产丰富、风光秀丽的典型平原水网区。</w:t>
      </w:r>
    </w:p>
    <w:p>
      <w:pPr>
        <w:pStyle w:val="103"/>
        <w:bidi w:val="0"/>
      </w:pPr>
      <w:r>
        <w:t>（1）太湖</w:t>
      </w:r>
    </w:p>
    <w:p>
      <w:pPr>
        <w:pStyle w:val="103"/>
        <w:bidi w:val="0"/>
      </w:pPr>
      <w:r>
        <w:t>太湖位于长江三角洲的南缘，古称震泽、具区，又名五湖、笠泽，是中国五大淡水湖之一，界北纬30°55’40”~31°32’58”和东经119°52’32”~120°36’10”之间，横跨江、浙两省，北临无锡，南濒湖州，西依宜兴，东近苏州。太湖湖泊面积2427.8平方公里，水域面积为2338.1平方公里，湖岸线全长393.2公里。其西和西南侧为丘陵山地，东侧以平原及水网为主。太湖地处亚热带，气候温和湿润，属季风气候。太湖河港纵横，河口众多，有主要进出河流50余条。太湖水系呈由西向东泄泻之势，平均年出湖径流量为75亿立方米，蓄水量为44亿立方米。太湖岛屿众多，有50多个，其中18个岛屿有人居住。</w:t>
      </w:r>
    </w:p>
    <w:p>
      <w:pPr>
        <w:pStyle w:val="103"/>
        <w:bidi w:val="0"/>
      </w:pPr>
      <w:r>
        <w:t>（2）京杭大运河</w:t>
      </w:r>
    </w:p>
    <w:p>
      <w:pPr>
        <w:pStyle w:val="103"/>
        <w:bidi w:val="0"/>
      </w:pPr>
      <w:bookmarkStart w:id="39" w:name="_Toc209799396"/>
      <w:r>
        <w:t>京杭大运河是世界上里程最长、工程最大的古代运河，也是最古老的运河之一，与长城、坎儿井并称为中国古代的三项伟大工程，并且使用至今，是中国古代劳动人民创造的一项伟大工程，是中国文化地位的象征之一。至2012年，京杭运河的通航里程为1442千米，其中全年通航里程为877千米，主要分布在山东济宁市以南、江苏和浙江三省。</w:t>
      </w:r>
    </w:p>
    <w:p>
      <w:pPr>
        <w:pStyle w:val="103"/>
        <w:bidi w:val="0"/>
      </w:pPr>
      <w:r>
        <w:t>（3）太浦河</w:t>
      </w:r>
      <w:bookmarkEnd w:id="39"/>
    </w:p>
    <w:p>
      <w:pPr>
        <w:pStyle w:val="103"/>
        <w:bidi w:val="0"/>
      </w:pPr>
      <w:r>
        <w:t>太浦河西起江苏省太湖边的时家港，东至上海市西泖河入黄浦江，河道全长57.6km，贯穿江浙沪两省一市，其中江苏段40.8公里。太浦河河道底宽117~150m，河底高程-5.0~0米，在太湖口建有太浦闸工程。其中，太浦河在平望大桥以东300处与京杭大运河交汇。</w:t>
      </w:r>
    </w:p>
    <w:p>
      <w:pPr>
        <w:pStyle w:val="103"/>
        <w:bidi w:val="0"/>
      </w:pPr>
      <w:r>
        <w:t>太浦河可承泄太湖洪水22.5亿m3，占太湖洪水外泄总量的49%；排泄浙江杭嘉湖地区涝水11.6亿m3，占这一地区涝水总量的23%。枯水期可由太湖提供300m3/s的清水到黄浦江，改善上海黄浦江上游取水口水质。</w:t>
      </w:r>
    </w:p>
    <w:p>
      <w:pPr>
        <w:pStyle w:val="104"/>
      </w:pPr>
      <w:r>
        <w:t>地下水概况</w:t>
      </w:r>
    </w:p>
    <w:p>
      <w:pPr>
        <w:pStyle w:val="103"/>
        <w:bidi w:val="0"/>
      </w:pPr>
      <w:r>
        <w:t>根据2006年吴江区水利部门组织的</w:t>
      </w:r>
      <w:bookmarkStart w:id="40" w:name="baidusnap0"/>
      <w:bookmarkEnd w:id="40"/>
      <w:r>
        <w:t>对吴江区浅层地下水资源勘测调查，吴江区内地下水主要特征如下：</w:t>
      </w:r>
    </w:p>
    <w:p>
      <w:pPr>
        <w:pStyle w:val="103"/>
        <w:bidi w:val="0"/>
      </w:pPr>
      <w:r>
        <w:t>吴江区浅层地下水含水层水位在1.1-1.</w:t>
      </w:r>
      <w:r>
        <w:rPr>
          <w:rFonts w:hint="eastAsia"/>
        </w:rPr>
        <w:t>15m</w:t>
      </w:r>
      <w:r>
        <w:t>之间，其中平望镇浅层地下水水位约1.2m。市域南部的平望、盛泽镇浅层第下水水位较高，而北部的松陵、同里镇水位相对较低，但水位高差不明显。</w:t>
      </w:r>
    </w:p>
    <w:p>
      <w:pPr>
        <w:pStyle w:val="103"/>
        <w:bidi w:val="0"/>
      </w:pPr>
      <w:r>
        <w:t>第Ⅰ承压含水组，埋藏于8-80m之间，一般多呈夹层状砂及粉砂与亚砂土互层组成。在芦墟、金家坝、同里一线及其东北部，砂层累计厚10-20m，单井涌水量1000m3/d左右，受海浸影响，在八坼、同里、黎里等局部地段有微咸水存在。西南部含水层厚度5-10m，单井用水量300-1000m3/d均为淡水。</w:t>
      </w:r>
    </w:p>
    <w:p>
      <w:pPr>
        <w:pStyle w:val="103"/>
        <w:bidi w:val="0"/>
      </w:pPr>
      <w:r>
        <w:t>第Ⅱ承压含水组，为区内主要开采层，埋藏于80-160m之间。芦墟、北库、松陵一线东北，含水层厚度一般大于20m，以细中砂为主单井用水量1000-2000m3/d，芦墟、北库、松陵一线西南砂层厚度变化大，层次多，累计厚度一般小于20m，单井用水量1000m3/d，全区均为淡水。</w:t>
      </w:r>
    </w:p>
    <w:p>
      <w:pPr>
        <w:pStyle w:val="103"/>
        <w:bidi w:val="0"/>
      </w:pPr>
      <w:r>
        <w:t>第Ⅲ承压含水组，仅在松陵、芦墟、梅堰、八坼、盛泽有井孔揭露，在松陵与芦墟低高村，砂层厚度最薄2-3m，岩性为细粉砂，在梅堰、盛泽厚度达25m左右，岩性为细中砂、中粗砂，单井用水量1000-2500m3/d，梅堰为微咸水。</w:t>
      </w:r>
    </w:p>
    <w:p>
      <w:pPr>
        <w:pStyle w:val="103"/>
        <w:bidi w:val="0"/>
      </w:pPr>
      <w:r>
        <w:t>目前，吴江区松陵、盛泽、震泽、桃源等镇地下水已超量开采，盛泽、平望地下水位大幅度下降，在盛泽、平望已发现明显的地面沉降。拟建项目所在地震泽地势平坦，地下水位与周边城镇接近，该地区属河网地区，地下水系复杂，无明显固定流向。</w:t>
      </w:r>
    </w:p>
    <w:p>
      <w:pPr>
        <w:pStyle w:val="104"/>
      </w:pPr>
      <w:r>
        <w:t>地质、土壤概况</w:t>
      </w:r>
    </w:p>
    <w:p>
      <w:pPr>
        <w:pStyle w:val="103"/>
        <w:bidi w:val="0"/>
      </w:pPr>
      <w:r>
        <w:t>地层以第四系全新统为主，间有其他地层，如石炭系二叠系并层、泥盆系等；工程地质上属于土体工程地质区中的有两个硬土层的三角洲湖沼平原区；土壤为黄棕壤、爽水水稻土（黄泥土）。</w:t>
      </w:r>
    </w:p>
    <w:p>
      <w:pPr>
        <w:pStyle w:val="103"/>
        <w:bidi w:val="0"/>
      </w:pPr>
      <w:r>
        <w:t>从地质上来说，该区域位于新华夏系第二巨隆起带秦岭东西向复杂构造带东延的复合部位，属元古形成的华南地台。地表为新生代第四纪的松散沉积层堆积，地面以下依次为素填土、淤泥质粉质黏土、粉质黏土、黏土、粉沙等，形成土壤的成土母质是淤积物和湖积物。</w:t>
      </w:r>
      <w:r>
        <w:rPr>
          <w:rFonts w:hint="eastAsia"/>
        </w:rPr>
        <w:t>吴江经济技术开发区</w:t>
      </w:r>
      <w:r>
        <w:t>地质构造上属于苏南隆起区，土壤较粘，承载力一般为9～15吨/平方米。</w:t>
      </w:r>
    </w:p>
    <w:p>
      <w:pPr>
        <w:pStyle w:val="104"/>
      </w:pPr>
      <w:r>
        <w:t>生态环境</w:t>
      </w:r>
    </w:p>
    <w:bookmarkEnd w:id="28"/>
    <w:bookmarkEnd w:id="29"/>
    <w:bookmarkEnd w:id="30"/>
    <w:bookmarkEnd w:id="31"/>
    <w:bookmarkEnd w:id="32"/>
    <w:bookmarkEnd w:id="33"/>
    <w:bookmarkEnd w:id="34"/>
    <w:bookmarkEnd w:id="35"/>
    <w:bookmarkEnd w:id="36"/>
    <w:p>
      <w:pPr>
        <w:pStyle w:val="103"/>
        <w:bidi w:val="0"/>
      </w:pPr>
      <w:bookmarkStart w:id="41" w:name="_Toc307515789"/>
      <w:r>
        <w:t>吴江区属于长江三角洲一带的江南水乡河网地带，境内生态环境主要为人为环境－人工干扰下的城市、乡村生态环境，植被主要由路旁、村旁、田间的人工植被、灌丛、农作物、未利用荒草地组成。</w:t>
      </w:r>
    </w:p>
    <w:p>
      <w:pPr>
        <w:pStyle w:val="103"/>
        <w:bidi w:val="0"/>
      </w:pPr>
      <w:r>
        <w:t>生态资源较丰富，据相关资料，野生动物资源以各种养殖鱼类、田间动物为主，如鱼类有30余种，爬行类有龟、鳖、蛇等20余种，鸟类有鹰、画眉、白头翁、雀等种类，哺乳类有野兔、刺猬、鼠等，广泛分布在田间、山丘、河边、滩地。</w:t>
      </w:r>
    </w:p>
    <w:p>
      <w:pPr>
        <w:pStyle w:val="102"/>
      </w:pPr>
      <w:r>
        <w:t>社会环境简况</w:t>
      </w:r>
      <w:bookmarkEnd w:id="41"/>
    </w:p>
    <w:p>
      <w:pPr>
        <w:pStyle w:val="22"/>
        <w:ind w:firstLine="480"/>
        <w:rPr>
          <w:color w:val="000000"/>
        </w:rPr>
      </w:pPr>
      <w:r>
        <w:rPr>
          <w:color w:val="000000"/>
        </w:rPr>
        <w:t>1、吴江区</w:t>
      </w:r>
    </w:p>
    <w:p>
      <w:pPr>
        <w:pStyle w:val="103"/>
        <w:bidi w:val="0"/>
      </w:pPr>
      <w:r>
        <w:t>吴江于公元909年建县，1992年撤县设市，自古就是著名的“鱼米之乡”、“丝绸之府”。古往今来，吴江大地英才辈出，据史料记载，自春秋起至明清的2000多年间，涌现了140多位著名历史人物，其中较为杰出的有春秋时期的范蠡，唐代文学家陆龟蒙，清代天文学家王锡阐等。近现代更是诞育了辛亥革命风云人物陈去病，民主主义战士、爱国诗人柳亚子，社会学家费孝通等一大批仁人志士，现今国家两院院士中吴江籍院士有9位。凭借深厚的文化底蕴和旖旎的自然风光，吴江旅游业长足发展，2000 年跨入全国优秀旅游城市行列。中国首批 “历史文化名镇”、“十大魅力名镇”同里以其“小桥、流水、人家”的神韵，被誉为“东方小威尼斯”，拥有世界文化遗产——同里退思园等人文胜迹，去年吸引1100多万海内外游客。吴江先后荣获了国家卫生城市、国家园林城市、中国优秀旅游城市、中国最具幸福感城市等众多殊荣，连续多年雄踞全国百强县（市）前十位。2015年，实现地区生产总值264亿元，同比增长6.8%；公共财政预算收入28.37亿元，同比增长36%；全社会固定资产投资200.59亿元，同比增长5.2%，主要指标增幅保持在合理区间。项目投入量质并举。全年引进软件产业、金融产 业、文化创意产业、生产性服务业项目80余个，注册资本20亿元，到账外资8163万美元。产业层次提档升级。建立绿色榜单引领、税收增收分析、产业发展准入三大机制，以税收贡献论英雄、优服务、促转型。服务经济支撑明显，启动“5+5”专项服务年活动，实现服务业税收26.67亿元，同比增长41.4%，服务业增加值占比超过65%，主导作用明显。实施友谊工业区、菀南工业区“二次” 开发，规划建设运东环保科技产业园，电子信息、电力器材、环保装备、缝制设备等优势产业向高端发展，食品加工、新型材料等新兴产业不断壮大。横扇办事处享有“中国缝纫机名镇”、“中国毛衫名镇”之美誉，获得了“江苏省精密机械与电机电气特色产业基地”、“中国国际缝制设备（吴江）产业园”等一系列殊荣。苏州湾科技城加快建设，突出创新、绿色、开放发展，引领工业经济提档升级。作为21世纪苏州城市建设最大亮点，太湖新城经过近年的高品质开发，已累计完成投入超过300亿元。公共配套加快完善，苏州湾广场、阅湖台如意桥、音乐喷泉相继竣工开放，北外附属苏州湾外国语学校开学，苏州文博中心、苏州第九人民医院、体育中心等现代化配套快速推进。产业项目加快集聚，绿地、新城、中房、首开、朗诗等一批品牌房企进驻，商住项目陆续交付；新城吾悦广场、万宝商业广场、红星美凯龙家居广场等大型市场开业，绿地中心、环球财智中心等综合体集群发展，加速人口导入。苏州湾软件园、科创园、金融产业园、总部经济区、文化创意产业园等新兴产业园区加快建设，德尔、新恒通、青商会、亨通、总商会等一批总部项目封顶，步步高、兰生等互联网龙头企业落户，加速产业导入。中国旗袍小镇、戗港小镇、玫瑰小镇规划建设，旅游、文化、产业融合发展。村级经济稳步发展，“四个百万亩”建设扎实推进，农村集体土地承包经营 权确权登记试点开展，扶持壮大羊毛衫电子商务，实现村级可支配收入1.29亿元。美丽镇村亮点纷呈，依法取缔燃煤小锅炉，大力淘汰黄标车，推进“畅流活水”任务，开展农村生活污水治理，建成一批美丽乡村、三星级康居乡村示范。以“1058”工程为引领，统筹推进政府实事，教育事业坚持公办为主、多元发展，松陵一中改扩建工程主体完工，北外附属苏州湾外国语学校开学；人口计生工作落实新政策，优化各项服务，顺利通过“十二五”终期评估；民政事业扩面提质，社会救助体系更加健全，养老助老服务更加周到；公共文化服务丰富多彩，苏州公民道德馆开馆，和谐社区建设扎实有效。创新推进综合治理，探索社会治理“大联动”，社会综合管理指挥中心运行，实现镇村巡查全覆盖，集中收集解决各类问题。着力维护安全稳定，建立健全安全生产责任体系，下大力气整治“三合一”、九小场所；高度重视群众工作，认真办理来信来访，调解各类矛盾纠纷，社会保持稳定有序。2016年，吴江太湖新城聚焦全区创新发展新引擎这一定位，将牢牢把握产城融合、城旅一体两条主线，努力在新城人口人气集聚、新兴产业集群壮大、城 乡统筹协调发展、生态文明特色彰显、公共服务优质均衡等方面取得新成果，打造“创新、协调、绿色、开放、共享”发展的先行区和示范区，全力实现“十三五”发展良好开局。</w:t>
      </w:r>
    </w:p>
    <w:p>
      <w:pPr>
        <w:pStyle w:val="22"/>
        <w:ind w:firstLine="480"/>
        <w:rPr>
          <w:color w:val="000000"/>
        </w:rPr>
      </w:pPr>
      <w:r>
        <w:rPr>
          <w:color w:val="000000"/>
        </w:rPr>
        <w:t>2、吴江经济技术开发区</w:t>
      </w:r>
    </w:p>
    <w:p>
      <w:pPr>
        <w:pStyle w:val="103"/>
        <w:bidi w:val="0"/>
      </w:pPr>
      <w:r>
        <w:t>吴江经济技术开发区地处长三角核心区域，成立于1992年，1993年经省政府批准成为江苏省首批13个省级开发区之一，2004年成为首批国家信息产业基地成员单位，2005年被国家信息产业部确定为首批“国家显示器件产业园”，连续5年在江苏省开发区建设水平排位中列省级开发区前茅。2010年11月11日，经国务院批准升级为国家级经济技术开发区。2011年1月份，被人民网评为“中国十大活力开发区”。2013年11月吴江经济技术开发区和同里镇正式实行“区镇合一”、“两块牌子、一套班子”的管理体制以来，吴江开发区这块国家级“金字招牌”呈现出更大的发展空间，而同里古镇这一世界级“文化品牌”也走进了更为广阔的“大同里”时代。</w:t>
      </w:r>
    </w:p>
    <w:p>
      <w:pPr>
        <w:pStyle w:val="103"/>
        <w:bidi w:val="0"/>
      </w:pPr>
      <w:r>
        <w:t>经过近15年的发展，吴江经济技术开发区已经成长为一个企业数量众多、产品种类丰富、产业特色鲜明、设施配套齐全的高新技术产业区，是吴江区对外开放、产业带动、优势辐射的经济高地。开发区行政区划面积173平方公里，建成区35平方公里，全区总人口超过20万，其中新吴江人16.2万。</w:t>
      </w:r>
    </w:p>
    <w:p>
      <w:pPr>
        <w:pStyle w:val="103"/>
        <w:bidi w:val="0"/>
      </w:pPr>
      <w:r>
        <w:t>201</w:t>
      </w:r>
      <w:r>
        <w:rPr>
          <w:rFonts w:hint="eastAsia"/>
        </w:rPr>
        <w:t>8</w:t>
      </w:r>
      <w:r>
        <w:t>年吴江经济技术开发区全年完成工业销售收入</w:t>
      </w:r>
      <w:r>
        <w:rPr>
          <w:rFonts w:hint="eastAsia"/>
        </w:rPr>
        <w:t>2265.4</w:t>
      </w:r>
      <w:r>
        <w:t>亿元，同比增长</w:t>
      </w:r>
      <w:r>
        <w:rPr>
          <w:rFonts w:hint="eastAsia"/>
        </w:rPr>
        <w:t>6</w:t>
      </w:r>
      <w:r>
        <w:t>.3%，占吴江工业销售总量的</w:t>
      </w:r>
      <w:r>
        <w:rPr>
          <w:rFonts w:hint="eastAsia"/>
        </w:rPr>
        <w:t>40.</w:t>
      </w:r>
      <w:r>
        <w:t>3%，创历史新高，保持吴江区第一大产业地位。</w:t>
      </w:r>
    </w:p>
    <w:p>
      <w:pPr>
        <w:pStyle w:val="102"/>
      </w:pPr>
      <w:r>
        <w:rPr>
          <w:rFonts w:hint="eastAsia"/>
        </w:rPr>
        <w:t>吴江经济技术开发区总体规划</w:t>
      </w:r>
    </w:p>
    <w:p>
      <w:pPr>
        <w:pStyle w:val="103"/>
        <w:bidi w:val="0"/>
      </w:pPr>
      <w:r>
        <w:rPr>
          <w:rFonts w:hint="eastAsia"/>
        </w:rPr>
        <w:t>吴江经济开发区于1993年由江苏省人民政府同意设立，启动区为3.92km2，规划面积8km2，2004年开发区管辖范围扩大至80km2，范围为：东至与同里镇交界，南至八坼桥，西至苏州河，北至樟木河、吴淞江，同时开展了环境影响评价工作，并于2005年10月获得江苏省环境保护厅的批复。因后期开发区内新设吴江出口加工区和化工集中区，故对两个区域单独开展环境影响评价，并分别于2007年4 月和2012年12月获得江苏省环境保护厅的批复。2010年11月11日经国务院批准升为国家级经济技术开发区。2013年11月吴江经济技术开发区与同里镇实行“区镇合一”。</w:t>
      </w:r>
    </w:p>
    <w:p>
      <w:pPr>
        <w:pStyle w:val="103"/>
        <w:bidi w:val="0"/>
      </w:pPr>
      <w:r>
        <w:rPr>
          <w:rFonts w:hint="eastAsia"/>
        </w:rPr>
        <w:t>随着吴江经济技术开发区快速发展及行政区划调整开发区将北部（章木河以北与吴中区交界区域）、同里镇九里湖村及叶建村16.32km2 纳入开发区管理，开发区规划范围调整为东至同津大道——长牵路——南大港——双庙港——叶泽湖——清水漾——石头潭，南至八坼桥，西至东太湖，北至杨双桥河、吴淞江，主要功能为发展电子信息、精细化工、机械装备制造、新能源、新材料、生物医药等产业。调整后，开发区总面积达到96.32 km2。调整后，开发区总面积达96.32km2。2012 年编制的《吴江经济技术开发区发展规划环境影响报告书（2011-2020）》已完成，批文号为环评函2013（69）号。吴江经济技术开发区跟踪环评目前尚未开展。根据开发区规划，开发区产业定位为：电子信息、机械装备制造、新能源、新材料、生物医药、生产服务业以及少量与开发区产业配套的化工行业，同时化工片区还承担吴江区内化工企业的整治搬迁。</w:t>
      </w:r>
    </w:p>
    <w:p>
      <w:pPr>
        <w:pStyle w:val="103"/>
        <w:bidi w:val="0"/>
      </w:pPr>
      <w:r>
        <w:rPr>
          <w:rFonts w:hint="eastAsia"/>
        </w:rPr>
        <w:t>本项目位于吴江经济技术开发区规划范围内，吴江经济技术开发区总体规划见附图4。</w:t>
      </w:r>
    </w:p>
    <w:p>
      <w:pPr>
        <w:pStyle w:val="103"/>
        <w:bidi w:val="0"/>
      </w:pPr>
      <w:r>
        <w:rPr>
          <w:rFonts w:hint="eastAsia"/>
        </w:rPr>
        <w:t>开发区规划总体布局为“两带一心五片”。</w:t>
      </w:r>
    </w:p>
    <w:p>
      <w:pPr>
        <w:pStyle w:val="103"/>
        <w:bidi w:val="0"/>
      </w:pPr>
      <w:r>
        <w:rPr>
          <w:rFonts w:hint="eastAsia"/>
        </w:rPr>
        <w:t>两带：为云梨路、中山路公共设施服务带，沿云梨路、中山路发展公共设施用地。</w:t>
      </w:r>
    </w:p>
    <w:p>
      <w:pPr>
        <w:pStyle w:val="103"/>
        <w:bidi w:val="0"/>
      </w:pPr>
      <w:r>
        <w:rPr>
          <w:rFonts w:hint="eastAsia"/>
        </w:rPr>
        <w:t>一心：开发区中心，兴东路、湖心东路—辽浜路、双庙港、学院东路围合的地段，发展相关生产线服务业、公益性公共设施、商贸服务业等，是吴江城区的副中心。</w:t>
      </w:r>
    </w:p>
    <w:p>
      <w:pPr>
        <w:pStyle w:val="103"/>
        <w:bidi w:val="0"/>
      </w:pPr>
      <w:r>
        <w:rPr>
          <w:rFonts w:hint="eastAsia"/>
        </w:rPr>
        <w:t>五片：分中部新城片区、西北部混合片区、西南部高科技工业片区、北部混合片区、南部工业片区，总体形成中部居住服务、南北工作就业的空间格局，其中，中部新城片区以云梨路为中心重点发展居住及公共设施类用地；西北部混合片区为居住、工业相对混合的综合片区，主要以工业用地调整为主；西南部高科技工业片区结合松陵南部新城的建设发展新能源、新材料、生物医药、汽车研发及生产服务业，并适当安排配套居住用地；北部混合片区重点发展电子、精细化工、仓储等工业类型，并适当安排商贸及居住用地；南部工业片区重点发展电子信息、新材料、机械制造，出口加工区、仓储物流、科研等产业。</w:t>
      </w:r>
    </w:p>
    <w:p>
      <w:pPr>
        <w:pStyle w:val="103"/>
        <w:bidi w:val="0"/>
      </w:pPr>
      <w:r>
        <w:rPr>
          <w:rFonts w:hint="eastAsia"/>
        </w:rPr>
        <w:t>本项目位于吴江经济技术开发区南部工业片区，该片区结重点发展电子信息、新材料、机械制造，出口加工区、仓储物流、科研等产业。本项目生产光电子元器件，属于新型平板显示器件关键部件和材料，符合南部工业片区产业定位。</w:t>
      </w:r>
    </w:p>
    <w:p>
      <w:pPr>
        <w:spacing w:line="360" w:lineRule="auto"/>
        <w:ind w:firstLine="482"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1、区域规划概要</w:t>
      </w:r>
    </w:p>
    <w:p>
      <w:pPr>
        <w:pStyle w:val="103"/>
        <w:bidi w:val="0"/>
      </w:pPr>
      <w:r>
        <w:t>（1）工业、仓储用地规划</w:t>
      </w:r>
    </w:p>
    <w:p>
      <w:pPr>
        <w:pStyle w:val="103"/>
        <w:bidi w:val="0"/>
      </w:pPr>
      <w:r>
        <w:t>①现状特征</w:t>
      </w:r>
    </w:p>
    <w:p>
      <w:pPr>
        <w:pStyle w:val="103"/>
        <w:bidi w:val="0"/>
      </w:pPr>
      <w:r>
        <w:rPr>
          <w:rFonts w:hint="eastAsia"/>
        </w:rPr>
        <w:t>A</w:t>
      </w:r>
      <w:r>
        <w:t>、产业特征</w:t>
      </w:r>
    </w:p>
    <w:p>
      <w:pPr>
        <w:pStyle w:val="103"/>
        <w:bidi w:val="0"/>
      </w:pPr>
      <w:r>
        <w:t>现状工业用地面积1479.92公顷，其中开发区1241.29公顷，同里镇238.63公顷。开发区工业主要以电子信息类企业为主，具有产业特色明显、规模企业、龙头企业发展良好以及外向型经济特征明显的产业特征。同里镇以农产品加工、汽车配件、金属表面加工业为主。</w:t>
      </w:r>
    </w:p>
    <w:p>
      <w:pPr>
        <w:pStyle w:val="103"/>
        <w:bidi w:val="0"/>
      </w:pPr>
      <w:r>
        <w:t>B、用地分布特征</w:t>
      </w:r>
    </w:p>
    <w:p>
      <w:pPr>
        <w:pStyle w:val="103"/>
        <w:bidi w:val="0"/>
      </w:pPr>
      <w:r>
        <w:t>开发区现状工业用地分布主要沿京杭大运河两侧分布，集中在苏嘉杭高速公路以西，按建设情况可大致分为三片区域：</w:t>
      </w:r>
    </w:p>
    <w:p>
      <w:pPr>
        <w:pStyle w:val="103"/>
        <w:bidi w:val="0"/>
      </w:pPr>
      <w:r>
        <w:t>发展成熟地区——京杭大运河以两侧北部区域以及苏嘉杭高速公路以东江兴东路两侧区域。目前这些区域用地大都已经建成，剩余土地也基本已经出让，路网框架已经形成，区内以电脑及电脑周边、光电子、通讯及网络、IC封装、新型电子元器件为主体的电子信息和光电子、微电子工业为主，并基本按照产业链特点进行布局，园区环境、建筑质量较好。</w:t>
      </w:r>
    </w:p>
    <w:p>
      <w:pPr>
        <w:pStyle w:val="103"/>
        <w:bidi w:val="0"/>
      </w:pPr>
      <w:r>
        <w:t>正在开发地区</w:t>
      </w:r>
      <w:r>
        <w:softHyphen/>
      </w:r>
      <w:r>
        <w:softHyphen/>
      </w:r>
      <w:r>
        <w:t>（京杭大运河两侧、高速公路西侧中部地区），为目前开发建设的重点地区，以各类电子类企业为主，含正在建设中的出口加工贸易联网监管区。该地区为新发展地区，目前改区路网框架己经拉开，土地己基本出让，约四分之一项目已经建成。</w:t>
      </w:r>
    </w:p>
    <w:p>
      <w:pPr>
        <w:pStyle w:val="103"/>
        <w:bidi w:val="0"/>
      </w:pPr>
      <w:r>
        <w:t>未开发地区一一除上述地区之外，高速公路以东地区基本为农田、农村居民点等未开发区域，该区域内水网较为密集。</w:t>
      </w:r>
    </w:p>
    <w:p>
      <w:pPr>
        <w:pStyle w:val="103"/>
        <w:bidi w:val="0"/>
      </w:pPr>
      <w:r>
        <w:t>②存在主要问题</w:t>
      </w:r>
    </w:p>
    <w:p>
      <w:pPr>
        <w:pStyle w:val="103"/>
        <w:bidi w:val="0"/>
      </w:pPr>
      <w:r>
        <w:t>a、土地利用效率不高。部分工业项目占地过大，投资强度偏低，容积率、建筑系数偏低，存在土地闲置问题，土地利用效应未得到充分发挥；</w:t>
      </w:r>
    </w:p>
    <w:p>
      <w:pPr>
        <w:pStyle w:val="103"/>
        <w:bidi w:val="0"/>
      </w:pPr>
      <w:r>
        <w:t>b、中小型企业和大中型企业用地布局较为凌乱，缺乏有意识的规划引导；</w:t>
      </w:r>
    </w:p>
    <w:p>
      <w:pPr>
        <w:pStyle w:val="103"/>
        <w:bidi w:val="0"/>
      </w:pPr>
      <w:r>
        <w:t>c、外资依赖性过高，内资企业技术升级困难。</w:t>
      </w:r>
    </w:p>
    <w:p>
      <w:pPr>
        <w:pStyle w:val="103"/>
        <w:bidi w:val="0"/>
      </w:pPr>
      <w:r>
        <w:t>（2）工业、仓储用地布局</w:t>
      </w:r>
    </w:p>
    <w:p>
      <w:pPr>
        <w:pStyle w:val="103"/>
        <w:bidi w:val="0"/>
      </w:pPr>
      <w:r>
        <w:t>1）规划目标</w:t>
      </w:r>
    </w:p>
    <w:p>
      <w:pPr>
        <w:pStyle w:val="103"/>
        <w:bidi w:val="0"/>
      </w:pPr>
      <w:r>
        <w:t>顺应世界经济的总体发展趋势，确立电子信息产业的先导地位，适时调整用地布局，突出光电子产业园、微电子产业园等知识产业与创新基地的建设，塑造出一流国家电子信息产业园区的风貌。</w:t>
      </w:r>
    </w:p>
    <w:p>
      <w:pPr>
        <w:pStyle w:val="103"/>
        <w:bidi w:val="0"/>
      </w:pPr>
      <w:r>
        <w:t>建成吴江区新型工业化的先导区和示范区。加快出口加工区、保税物流园区建设，以电子信息产业为核心发展方向，强调专业化发展，吸引和培养本土“雁头企业”，争取在较短的时间内迅速扩大专业化集聚规模。</w:t>
      </w:r>
    </w:p>
    <w:p>
      <w:pPr>
        <w:pStyle w:val="103"/>
        <w:bidi w:val="0"/>
      </w:pPr>
      <w:r>
        <w:t>2）发展原则</w:t>
      </w:r>
    </w:p>
    <w:p>
      <w:pPr>
        <w:pStyle w:val="103"/>
        <w:bidi w:val="0"/>
      </w:pPr>
      <w:r>
        <w:t>①生态环境优先的原则</w:t>
      </w:r>
    </w:p>
    <w:p>
      <w:pPr>
        <w:pStyle w:val="103"/>
        <w:bidi w:val="0"/>
      </w:pPr>
      <w:r>
        <w:t>规划正确处理开发区工业发展与同里镇自然环境保护的关系，从“控制征服”、“保护利用”上升到“协调共处”。</w:t>
      </w:r>
    </w:p>
    <w:p>
      <w:pPr>
        <w:pStyle w:val="103"/>
        <w:bidi w:val="0"/>
      </w:pPr>
      <w:r>
        <w:t>②城市设计的原则</w:t>
      </w:r>
    </w:p>
    <w:p>
      <w:pPr>
        <w:pStyle w:val="103"/>
        <w:bidi w:val="0"/>
      </w:pPr>
      <w:r>
        <w:t>规划强调工业地块注重城市设计的理念，在士地高效利用的基础上，提高地块内厂房的素质与外观。根据各工业小区自身的特点，通过对建筑空间布局、建筑形式、建筑色调等的引导，塑造与其功能相协调、具有不同特色的工业区空间景观风貌。</w:t>
      </w:r>
    </w:p>
    <w:p>
      <w:pPr>
        <w:pStyle w:val="103"/>
        <w:bidi w:val="0"/>
      </w:pPr>
      <w:r>
        <w:t>③适应市场化原则</w:t>
      </w:r>
    </w:p>
    <w:p>
      <w:pPr>
        <w:pStyle w:val="103"/>
        <w:bidi w:val="0"/>
      </w:pPr>
      <w:r>
        <w:t>由于本次规划将工业用地根据工业门类性质划分为不同工业组团，因此在规划管理中应注意项目的选择应根据用地需求和投资规模的大小确定规划选址。最佳的工业用地应首先提供给实力雄厚的公司，重点吸引主要厂家。</w:t>
      </w:r>
    </w:p>
    <w:p>
      <w:pPr>
        <w:pStyle w:val="103"/>
        <w:bidi w:val="0"/>
      </w:pPr>
      <w:r>
        <w:t>除提供基础建设配套齐全的工业用地给厂家自建厂房外，园区还可以建设一部分标准厂房以满足一部分厂家的需求，使他们能立刻投入生产，缩短启动的时间。</w:t>
      </w:r>
    </w:p>
    <w:p>
      <w:pPr>
        <w:pStyle w:val="103"/>
        <w:bidi w:val="0"/>
      </w:pPr>
      <w:r>
        <w:t>（3）工业项目的选择</w:t>
      </w:r>
    </w:p>
    <w:p>
      <w:pPr>
        <w:pStyle w:val="103"/>
        <w:bidi w:val="0"/>
      </w:pPr>
      <w:r>
        <w:t>①确定重点引进的工业项目</w:t>
      </w:r>
    </w:p>
    <w:p>
      <w:pPr>
        <w:pStyle w:val="103"/>
        <w:bidi w:val="0"/>
      </w:pPr>
      <w:r>
        <w:t>以电脑及电脑周边、光电子、通讯及网络、IC封装、新型电子元器件为主体的电子信息和光电子工业，强化、完善光电子产业链；</w:t>
      </w:r>
    </w:p>
    <w:p>
      <w:pPr>
        <w:pStyle w:val="103"/>
        <w:bidi w:val="0"/>
      </w:pPr>
      <w:r>
        <w:t>着力培育微电子技术、新材料、生物工程技术等高新技术产业；</w:t>
      </w:r>
    </w:p>
    <w:p>
      <w:pPr>
        <w:pStyle w:val="103"/>
        <w:bidi w:val="0"/>
      </w:pPr>
      <w:r>
        <w:t>适当发展包装印刷、模具、塑胶制品等加工工业。</w:t>
      </w:r>
    </w:p>
    <w:p>
      <w:pPr>
        <w:pStyle w:val="103"/>
        <w:bidi w:val="0"/>
      </w:pPr>
      <w:r>
        <w:t>②分类引资、重点支持</w:t>
      </w:r>
    </w:p>
    <w:p>
      <w:pPr>
        <w:pStyle w:val="103"/>
        <w:bidi w:val="0"/>
      </w:pPr>
      <w:r>
        <w:t>根据开发区历年招商引资经验和近年来国际金融形势，确定以下投资方为重点引资类型：</w:t>
      </w:r>
    </w:p>
    <w:p>
      <w:pPr>
        <w:pStyle w:val="103"/>
        <w:bidi w:val="0"/>
      </w:pPr>
      <w:r>
        <w:t>高科技、高利税、高就业率和强示范带动能力的龙头企业：主攻大公司、大项目，布置在大中型工业用地内；</w:t>
      </w:r>
    </w:p>
    <w:p>
      <w:pPr>
        <w:pStyle w:val="103"/>
        <w:bidi w:val="0"/>
      </w:pPr>
      <w:r>
        <w:t>中小型与民营企业：重点引进台港地区、国内民营电子信息技术企业，主要以标准厂房为主。</w:t>
      </w:r>
    </w:p>
    <w:p>
      <w:pPr>
        <w:pStyle w:val="103"/>
        <w:bidi w:val="0"/>
      </w:pPr>
      <w:r>
        <w:t>（4）工业、仓储用地功能分区</w:t>
      </w:r>
    </w:p>
    <w:p>
      <w:pPr>
        <w:pStyle w:val="103"/>
        <w:bidi w:val="0"/>
      </w:pPr>
      <w:r>
        <w:t>规划工业用地面积1718.60公顷，占建设用地面积的34.36%，其中，开发区范围内工业用地面积1629.54公顷，占开发区建设用地面积的41.53%，同里镇工业用地面积89.06公顷，占同里镇建设用地面积的8.27%。</w:t>
      </w:r>
    </w:p>
    <w:p>
      <w:pPr>
        <w:pStyle w:val="103"/>
        <w:bidi w:val="0"/>
      </w:pPr>
      <w:r>
        <w:t>规划仓储用地7.55公顷，占建设用地0.15%。</w:t>
      </w:r>
    </w:p>
    <w:p>
      <w:pPr>
        <w:pStyle w:val="103"/>
        <w:bidi w:val="0"/>
      </w:pPr>
      <w:r>
        <w:t>规划采取复合式功能分区方法，按照开发策略和外资政策转型的阶段将开发区工业用地分为三大片区，并进一步按其主导功能和项目类型（门类、规模），划分为9个工业组团：</w:t>
      </w:r>
    </w:p>
    <w:p>
      <w:pPr>
        <w:pStyle w:val="103"/>
        <w:bidi w:val="0"/>
      </w:pPr>
      <w:r>
        <w:t>①北部片区一一庞山湖以北的工业用地，现状用地己基本开发成熟。该区域主要以外资企业为主导、本土企业为外资企业配套为特征。规划以现状整合为主，逐步完善光电子产业链的用地布局。包括3个工业组团：</w:t>
      </w:r>
    </w:p>
    <w:p>
      <w:pPr>
        <w:pStyle w:val="103"/>
        <w:bidi w:val="0"/>
      </w:pPr>
      <w:r>
        <w:t>运西北部组团一一京杭大运河以西北侧的开发区用地，南至江兴路，工业用地面积4 .45平方公里。</w:t>
      </w:r>
    </w:p>
    <w:p>
      <w:pPr>
        <w:pStyle w:val="103"/>
        <w:bidi w:val="0"/>
      </w:pPr>
      <w:r>
        <w:t>现状基础：己基本开发成熟，南部用地性质较混杂；</w:t>
      </w:r>
    </w:p>
    <w:p>
      <w:pPr>
        <w:pStyle w:val="103"/>
        <w:bidi w:val="0"/>
      </w:pPr>
      <w:r>
        <w:t>产业发展方向：以电脑主机、笔记本电脑及周边产品为主的光电子产业园区；</w:t>
      </w:r>
    </w:p>
    <w:p>
      <w:pPr>
        <w:pStyle w:val="103"/>
        <w:bidi w:val="0"/>
      </w:pPr>
      <w:r>
        <w:t>用地整合：规划拟在整合现状用地的基础上，将南部工业企业调整为居住用地。</w:t>
      </w:r>
    </w:p>
    <w:p>
      <w:pPr>
        <w:pStyle w:val="103"/>
        <w:bidi w:val="0"/>
      </w:pPr>
      <w:r>
        <w:t>运东北部组团——京杭大运河以东、苏嘉杭高速公路以西的工业用地，面积2.38平方公里。</w:t>
      </w:r>
    </w:p>
    <w:p>
      <w:pPr>
        <w:pStyle w:val="103"/>
        <w:bidi w:val="0"/>
      </w:pPr>
      <w:r>
        <w:t>现状基础：现状工业已形成一定规模；</w:t>
      </w:r>
    </w:p>
    <w:p>
      <w:pPr>
        <w:pStyle w:val="103"/>
        <w:bidi w:val="0"/>
      </w:pPr>
      <w:r>
        <w:t>产业发展方向：以电源供应器、电脑配件等电子器件为主的光电子产业园区；</w:t>
      </w:r>
    </w:p>
    <w:p>
      <w:pPr>
        <w:pStyle w:val="103"/>
        <w:bidi w:val="0"/>
      </w:pPr>
      <w:r>
        <w:t>用地整合：规划结合总体布局，将大窑港北侧的现状工业用地调整为居住用地。</w:t>
      </w:r>
    </w:p>
    <w:p>
      <w:pPr>
        <w:pStyle w:val="103"/>
        <w:bidi w:val="0"/>
      </w:pPr>
      <w:r>
        <w:t>微电子产业园组团——苏嘉杭高速公路以东、江陵路以南、云梨路（吴同公路）以北、同津大道以西的工业用地，面积1.70平方公里。</w:t>
      </w:r>
    </w:p>
    <w:p>
      <w:pPr>
        <w:pStyle w:val="103"/>
        <w:bidi w:val="0"/>
      </w:pPr>
      <w:r>
        <w:t>现状基础：现状工业己形成一定规模，主要集中在大窑港北侧，南侧有少量小型企业；</w:t>
      </w:r>
    </w:p>
    <w:p>
      <w:pPr>
        <w:pStyle w:val="103"/>
        <w:bidi w:val="0"/>
      </w:pPr>
      <w:r>
        <w:t>产业发展方向：以半导体、集成电路（IC）封装等为主的微电子产业园；</w:t>
      </w:r>
    </w:p>
    <w:p>
      <w:pPr>
        <w:pStyle w:val="103"/>
        <w:bidi w:val="0"/>
      </w:pPr>
      <w:r>
        <w:t>用地整合：结合规划总体布局，将大窑港南侧现状工业企业调整为居住用地。</w:t>
      </w:r>
    </w:p>
    <w:p>
      <w:pPr>
        <w:pStyle w:val="103"/>
        <w:bidi w:val="0"/>
      </w:pPr>
      <w:r>
        <w:t>②中部片区——云梨路以南、新源路以北区域。现状高速公路以西地区土地基本已建成，高速公路以东、同里工业园以西地区为未开发地区，同里工业园基本已建成。该区域规划以调整控制为主，在保留现状的基础上，控制工业用地的扩张，远景逐步进行用地置换。本片区分为3个工业组团：</w:t>
      </w:r>
    </w:p>
    <w:p>
      <w:pPr>
        <w:pStyle w:val="103"/>
        <w:bidi w:val="0"/>
      </w:pPr>
      <w:r>
        <w:t>运东中部组团——京杭大运河以东、大窑港以南、苏嘉杭高速公路以西、学院路以北的工业用地，面积1.15平方公里。</w:t>
      </w:r>
    </w:p>
    <w:p>
      <w:pPr>
        <w:pStyle w:val="103"/>
        <w:bidi w:val="0"/>
      </w:pPr>
      <w:r>
        <w:t>现状基础：组团北部云黎路两侧现状己建有部分工业厂区，中部为日资工业园，庞金路两侧现状已建成部分小型工业厂区；</w:t>
      </w:r>
    </w:p>
    <w:p>
      <w:pPr>
        <w:pStyle w:val="103"/>
        <w:bidi w:val="0"/>
      </w:pPr>
      <w:r>
        <w:t>产业发展方向：在现状日资工业园基础上，形成以新型电子元器件为主的光电子产业园区；</w:t>
      </w:r>
    </w:p>
    <w:p>
      <w:pPr>
        <w:pStyle w:val="103"/>
        <w:bidi w:val="0"/>
      </w:pPr>
      <w:r>
        <w:t>用地整合：结合规划总体布局，将云梨路两侧的现状工业用地调整为商务办公、居住等用地；综合城际轨道的选线，将庞金路中段两侧的工业用地调整为预留的轨道交通站点用地。</w:t>
      </w:r>
    </w:p>
    <w:p>
      <w:pPr>
        <w:pStyle w:val="103"/>
        <w:bidi w:val="0"/>
      </w:pPr>
      <w:r>
        <w:t>庞山湖工业组团——苏嘉杭高速公路以东、同津大道以西、庞山湖以南、湖心路以北的工业用地，面积0.81平方公里。</w:t>
      </w:r>
    </w:p>
    <w:p>
      <w:pPr>
        <w:pStyle w:val="103"/>
        <w:bidi w:val="0"/>
      </w:pPr>
      <w:r>
        <w:t>现状基础：基本未开发；</w:t>
      </w:r>
    </w:p>
    <w:p>
      <w:pPr>
        <w:pStyle w:val="103"/>
        <w:bidi w:val="0"/>
      </w:pPr>
      <w:r>
        <w:t>产业发展方向：电子、模具、电器等；</w:t>
      </w:r>
    </w:p>
    <w:p>
      <w:pPr>
        <w:pStyle w:val="103"/>
        <w:bidi w:val="0"/>
      </w:pPr>
      <w:r>
        <w:t>用地整合：将现状临云梨路的升永精密模具至东侧的工业用地，并将现状用地置换为房住用地。</w:t>
      </w:r>
    </w:p>
    <w:p>
      <w:pPr>
        <w:pStyle w:val="103"/>
        <w:bidi w:val="0"/>
      </w:pPr>
      <w:r>
        <w:t>同里工业园组团——南大港以西、长乐河以北、大窑港以南、同津大道以东的工业用地，面积1.40平方公里。</w:t>
      </w:r>
    </w:p>
    <w:p>
      <w:pPr>
        <w:pStyle w:val="103"/>
        <w:bidi w:val="0"/>
      </w:pPr>
      <w:r>
        <w:t>现状基础：工业用地基本已建满，期间散落着一些农村居民点；</w:t>
      </w:r>
    </w:p>
    <w:p>
      <w:pPr>
        <w:pStyle w:val="103"/>
        <w:bidi w:val="0"/>
      </w:pPr>
      <w:r>
        <w:t>产业发展方向：以农产品加工、汽车配件、金属表面加工业为主。</w:t>
      </w:r>
    </w:p>
    <w:p>
      <w:pPr>
        <w:pStyle w:val="103"/>
        <w:bidi w:val="0"/>
      </w:pPr>
      <w:r>
        <w:t>用地整合：保留现状工业用地，并引导用地地块划分，有利于远景用地置换。</w:t>
      </w:r>
    </w:p>
    <w:p>
      <w:pPr>
        <w:pStyle w:val="103"/>
        <w:bidi w:val="0"/>
      </w:pPr>
      <w:r>
        <w:t>③南部片区——苏嘉杭高速公路以西、新源路以南区域（包括出口加工贸易联网监管区）。该区域主要以本土企业出口加工生产为特征。现状除了正在建设的出口加工贸易联网监管区之外，为未开发用地，规划以引导为主，按照项目性质分为3个工业组团：</w:t>
      </w:r>
    </w:p>
    <w:p>
      <w:pPr>
        <w:pStyle w:val="103"/>
        <w:bidi w:val="0"/>
      </w:pPr>
      <w:r>
        <w:t>1个中小型企业园：京杭大运河以东、新源路以南、苏嘉杭高速公路以西、云龙路以北的工业用地，面积2.43平方公里。</w:t>
      </w:r>
    </w:p>
    <w:p>
      <w:pPr>
        <w:pStyle w:val="103"/>
        <w:bidi w:val="0"/>
      </w:pPr>
      <w:r>
        <w:t>1个民营企业园：京杭大运河以西、新源路以南、云龙西路以北的工业用地，工业用地面积1.84平方公里。现状在芦荡路两侧己形成温州民营工业园，土地大部分已基本出让。产业发展方向在现状温州民营工业园基础上，形成以劳动密集型企业为主的民营企业园。</w:t>
      </w:r>
    </w:p>
    <w:p>
      <w:pPr>
        <w:pStyle w:val="103"/>
        <w:bidi w:val="0"/>
      </w:pPr>
      <w:r>
        <w:t>1个服务配套园区：即出口加工贸易联网监管区，是为全区企业服务配套的园区，用地面积分别为1.03平方公里。</w:t>
      </w:r>
    </w:p>
    <w:p>
      <w:pPr>
        <w:pStyle w:val="103"/>
        <w:bidi w:val="0"/>
      </w:pPr>
      <w:r>
        <w:t>（5）市政公用工程规划</w:t>
      </w:r>
    </w:p>
    <w:p>
      <w:pPr>
        <w:pStyle w:val="103"/>
        <w:bidi w:val="0"/>
      </w:pPr>
      <w:r>
        <w:t>1）给水工程规划</w:t>
      </w:r>
    </w:p>
    <w:p>
      <w:pPr>
        <w:pStyle w:val="103"/>
        <w:bidi w:val="0"/>
      </w:pPr>
      <w:r>
        <w:t>①水源及水厂</w:t>
      </w:r>
    </w:p>
    <w:p>
      <w:pPr>
        <w:pStyle w:val="103"/>
        <w:bidi w:val="0"/>
      </w:pPr>
      <w:r>
        <w:t>规划远期吴江经济开发区用水水源为东太湖，由吴江现状区域水厂和吴江区域供水二期工程供水。</w:t>
      </w:r>
    </w:p>
    <w:p>
      <w:pPr>
        <w:pStyle w:val="103"/>
        <w:bidi w:val="0"/>
      </w:pPr>
      <w:r>
        <w:t>根据《吴江市城市总体规划》（2006-2020），吴江区现状区域供水水厂位于市域西部七都镇庙港，现状规模为30万立方米/日，水源为东太湖水。远期吴江区全市实施区域供水，由吴江区域水厂统一供水，水厂规模为90.0万立方米/日。近期扩建庙港现状区域水厂至设计规模50万立方米/日，现状松陵水厂10万立方米/日规模停止，松陵水厂仅作为增压泵站。远期吴江区域区域供水二期工程实施后，吴江经济开发区全部实施区域供水。</w:t>
      </w:r>
    </w:p>
    <w:p>
      <w:pPr>
        <w:pStyle w:val="103"/>
        <w:bidi w:val="0"/>
      </w:pPr>
      <w:r>
        <w:t>②区域供水增压泵站</w:t>
      </w:r>
    </w:p>
    <w:p>
      <w:pPr>
        <w:pStyle w:val="103"/>
        <w:bidi w:val="0"/>
      </w:pPr>
      <w:r>
        <w:t>规划远期松陵增压泵站规模扩建至30万立方米/日，同时结合吴江市区域供水二期工程建设，在吴江经济开发区南侧、苏嘉杭高速公路以东建设吴江城南增压泵站，考虑吴江区湖浪地区和城南地区的供水需求，增压泵站规模20万立方米/日，控制用地2.5公顷。</w:t>
      </w:r>
    </w:p>
    <w:p>
      <w:pPr>
        <w:pStyle w:val="103"/>
        <w:bidi w:val="0"/>
      </w:pPr>
      <w:r>
        <w:t>③给水管网规划</w:t>
      </w:r>
    </w:p>
    <w:p>
      <w:pPr>
        <w:pStyle w:val="103"/>
        <w:bidi w:val="0"/>
      </w:pPr>
      <w:r>
        <w:t>a、保留现状沿环湖路敷设的水厂至松陵增压泵站的DN1200毫米的区域供水干管，沿仲英大道—学院路—中山路新建一根DN1400毫米区域供水干管至松陵增压泵站。</w:t>
      </w:r>
    </w:p>
    <w:p>
      <w:pPr>
        <w:pStyle w:val="103"/>
        <w:bidi w:val="0"/>
      </w:pPr>
      <w:r>
        <w:t>B、远期结合吴江区域供水二期工程，沿苏嘉杭高速公路建设一根至城南增压泵站的区域供水管道，管径为DN1400毫米。</w:t>
      </w:r>
    </w:p>
    <w:p>
      <w:pPr>
        <w:pStyle w:val="103"/>
        <w:bidi w:val="0"/>
      </w:pPr>
      <w:r>
        <w:t>C、经济开发区内给水管网成环状布置，以确保供水安全，且便于地块用水从多方位开口接入。</w:t>
      </w:r>
    </w:p>
    <w:p>
      <w:pPr>
        <w:pStyle w:val="103"/>
        <w:bidi w:val="0"/>
      </w:pPr>
      <w:r>
        <w:t>D、管径为DN400毫米以上的给水干管沿中山北路、瓜泾西路、瓜泾东路、江陵西路、江陵东路、庞金路、长浜路、云梨路、同津大道、长安路、花园路、庞杨路、云龙西路、苏嘉杭高速公路等布置。</w:t>
      </w:r>
    </w:p>
    <w:p>
      <w:pPr>
        <w:pStyle w:val="103"/>
        <w:bidi w:val="0"/>
      </w:pPr>
      <w:r>
        <w:t>E、给水管道在道路下管位以路东侧、南侧为主，一般设在人行道或绿化带下。</w:t>
      </w:r>
    </w:p>
    <w:p>
      <w:pPr>
        <w:pStyle w:val="103"/>
        <w:bidi w:val="0"/>
      </w:pPr>
      <w:r>
        <w:t>F、给水管道在人行道下覆土深度不小于0.6米，在车行道下不小于0.7米。</w:t>
      </w:r>
    </w:p>
    <w:p>
      <w:pPr>
        <w:pStyle w:val="103"/>
        <w:bidi w:val="0"/>
      </w:pPr>
      <w:r>
        <w:t>2）污水工程规划</w:t>
      </w:r>
    </w:p>
    <w:p>
      <w:pPr>
        <w:pStyle w:val="103"/>
        <w:bidi w:val="0"/>
      </w:pPr>
      <w:r>
        <w:t>新一轮规划中的吴江经济开发区由原吴江经济开发区和同里镇组成，其有部分区域属原吴江松陵镇区范围。根据排水系统规划，吴江经济开发区内现状污水管道，分属三个污水处理系统——吴江松陵镇城北污水处理系统、吴江松陵镇城南污水处理系统和吴江经济开发区运东污水处理系统。该三个污水处理系统以京杭大运河为界，京杭大运河以东为吴江经济开发区运东污水处理系统；京杭大运河以西又以安惠港为界分为吴江松陵镇城北污水处理系统和吴江松陵镇城南污水处理系统。本项目生活污水纳入吴江经济技术开发区运东污水处理系统。</w:t>
      </w:r>
    </w:p>
    <w:p>
      <w:pPr>
        <w:pStyle w:val="103"/>
        <w:bidi w:val="0"/>
      </w:pPr>
      <w:r>
        <w:t>吴江经济技术开发区运东污水处理厂位于江兴东路与仪塔路交叉口西北，集中处理经济开发区京杭大运河以东地区综合污水，分为三期工程，一期工程设计处理能力为1万t/d，二期工程设计处理能力为2万t/d，三期工程设计处理能力为3万t/d。远期规划为14万t/d。</w:t>
      </w:r>
    </w:p>
    <w:p>
      <w:pPr>
        <w:pStyle w:val="103"/>
        <w:bidi w:val="0"/>
      </w:pPr>
      <w:r>
        <w:t>3）污水管网</w:t>
      </w:r>
    </w:p>
    <w:p>
      <w:pPr>
        <w:pStyle w:val="103"/>
        <w:bidi w:val="0"/>
      </w:pPr>
      <w:r>
        <w:t>①污水管道规划至主干路、次干路级，以主干路为主。污水干管主要布置于花港路、中山北路、柳胥路、鲈乡路、仲英大道、长安路、凌益路、庞金路、江陵东路、江兴东路、三兴路、云梨路、山湖西路、湖心西路、仪塔路、庞东路、同津大道、绣湖东路、湖心东路、学院东路、叶港路等。</w:t>
      </w:r>
    </w:p>
    <w:p>
      <w:pPr>
        <w:pStyle w:val="103"/>
        <w:bidi w:val="0"/>
      </w:pPr>
      <w:r>
        <w:t>②污水管道在道路下位置原则上布置在路西、路北侧。</w:t>
      </w:r>
    </w:p>
    <w:p>
      <w:pPr>
        <w:pStyle w:val="103"/>
        <w:bidi w:val="0"/>
      </w:pPr>
      <w:r>
        <w:t>③规划污水管道最大管径d1650毫米，最小管径d300毫米。</w:t>
      </w:r>
    </w:p>
    <w:p>
      <w:pPr>
        <w:pStyle w:val="103"/>
        <w:bidi w:val="0"/>
      </w:pPr>
      <w:r>
        <w:t>④污水管起端埋深应能使所服务街坊污水管顺利接入，一般情况下干管起点埋深控制在1.4米左右。</w:t>
      </w:r>
    </w:p>
    <w:p>
      <w:pPr>
        <w:pStyle w:val="103"/>
        <w:bidi w:val="0"/>
      </w:pPr>
      <w:r>
        <w:rPr>
          <w:rFonts w:hint="eastAsia"/>
        </w:rPr>
        <w:t>根据苏州市吴江区排水管理处出具的意见书经勘査，茶谷精密光电科技（苏州）有限公司的年产显示器件及相关零组件120000片所在地乌金路己建有市政生活污水管网，该市政生活污水管网已接入吴江经济技术开发区运东污水处理厂，項目内部生活污水具有接出的条件。</w:t>
      </w:r>
    </w:p>
    <w:p>
      <w:pPr>
        <w:pStyle w:val="102"/>
      </w:pPr>
      <w:r>
        <w:t>人文历史、文物保护</w:t>
      </w:r>
    </w:p>
    <w:p>
      <w:pPr>
        <w:pStyle w:val="103"/>
        <w:bidi w:val="0"/>
      </w:pPr>
      <w:r>
        <w:t>同里隶属江苏省苏州市吴江区，位于太湖之滨，京杭大运河畔，紧依上海、苏州、杭州。地处江苏、浙江、上海两省一市交会的金三角地区，是中国沿海和长江三角洲对外开放的中心区域。全镇总面积为133.15平方公里，人口5.5万。</w:t>
      </w:r>
    </w:p>
    <w:p>
      <w:pPr>
        <w:pStyle w:val="103"/>
        <w:bidi w:val="0"/>
      </w:pPr>
      <w:r>
        <w:t>同里是一个具有悠久历史和典型水乡风格的古镇。同里旧称“富士”，唐初改为“铜里”。宋时将旧名拆字为“同里”。同里风景优美，镇外四面环水，镇内由15条河流纵横分割为7个小岛，由49座桥连接。镇内家家临水，户户通舟。明清民居，鳞次栉比，宋元明清桥梁保存完好。它以小桥流水人家的格局赢得“东方小威尼斯”的美誉。</w:t>
      </w:r>
    </w:p>
    <w:p>
      <w:pPr>
        <w:pStyle w:val="103"/>
        <w:bidi w:val="0"/>
      </w:pPr>
      <w:r>
        <w:t>同里以“醇正水乡，旧时江南”的特色闻名于海内外，1980年被列为国家太湖风景景点之一，1982年又被列为省级文物保护单位。1992年被列为省级文物保护镇，著名景点“退思园”被联合国教科文组织列入世界文化遗产，2010年被国家旅游局评定为国家5A级旅游景区。</w:t>
      </w:r>
    </w:p>
    <w:p>
      <w:pPr>
        <w:pStyle w:val="103"/>
      </w:pPr>
    </w:p>
    <w:p>
      <w:pPr>
        <w:pStyle w:val="103"/>
        <w:sectPr>
          <w:footerReference r:id="rId5" w:type="default"/>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p>
      <w:pPr>
        <w:pStyle w:val="4"/>
      </w:pPr>
      <w:bookmarkStart w:id="42" w:name="_Toc12199"/>
      <w:bookmarkStart w:id="43" w:name="_Toc307515795"/>
      <w:r>
        <w:rPr>
          <w:rFonts w:hint="eastAsia"/>
        </w:rPr>
        <w:t>环境质量状况</w:t>
      </w:r>
      <w:bookmarkEnd w:id="42"/>
    </w:p>
    <w:p>
      <w:pPr>
        <w:pStyle w:val="102"/>
      </w:pPr>
      <w: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ge">
                  <wp:posOffset>549910</wp:posOffset>
                </wp:positionV>
                <wp:extent cx="3305175" cy="36703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3305175" cy="367030"/>
                        </a:xfrm>
                        <a:prstGeom prst="rect">
                          <a:avLst/>
                        </a:prstGeom>
                        <a:solidFill>
                          <a:srgbClr val="FFFFFF">
                            <a:alpha val="0"/>
                          </a:srgbClr>
                        </a:solidFill>
                        <a:ln>
                          <a:noFill/>
                        </a:ln>
                      </wps:spPr>
                      <wps:txbx>
                        <w:txbxContent>
                          <w:p>
                            <w:pPr>
                              <w:pStyle w:val="345"/>
                              <w:rPr>
                                <w:lang w:eastAsia="zh-CN"/>
                              </w:rPr>
                            </w:pPr>
                            <w:bookmarkStart w:id="97" w:name="_Toc307515794"/>
                            <w:r>
                              <w:rPr>
                                <w:rFonts w:hint="eastAsia"/>
                              </w:rPr>
                              <w:t>三、环境质量</w:t>
                            </w:r>
                            <w:bookmarkEnd w:id="97"/>
                            <w:r>
                              <w:rPr>
                                <w:rFonts w:hint="eastAsia"/>
                                <w:lang w:eastAsia="zh-CN"/>
                              </w:rPr>
                              <w:t>状况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5pt;margin-top:43.3pt;height:28.9pt;width:260.25pt;mso-position-vertical-relative:page;z-index:251660288;mso-width-relative:page;mso-height-relative:page;" fillcolor="#FFFFFF" filled="t" stroked="f" coordsize="21600,21600" o:gfxdata="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R2POdkAAAAKAQAADwAAAAAAAAABACAAAAAiAAAAZHJzL2Rv&#10;d25yZXYueG1sUEsBAhQAFAAAAAgAh07iQKByOmA5AgAAXQQAAA4AAAAAAAAAAQAgAAAAKAEAAGRy&#10;cy9lMm9Eb2MueG1sUEsFBgAAAAAGAAYAWQEAANMFAAAAAA==&#10;">
                <v:fill on="t" opacity="0f" focussize="0,0"/>
                <v:stroke on="f"/>
                <v:imagedata o:title=""/>
                <o:lock v:ext="edit" aspectratio="f"/>
                <v:textbox>
                  <w:txbxContent>
                    <w:p>
                      <w:pPr>
                        <w:pStyle w:val="345"/>
                        <w:rPr>
                          <w:lang w:eastAsia="zh-CN"/>
                        </w:rPr>
                      </w:pPr>
                      <w:bookmarkStart w:id="97" w:name="_Toc307515794"/>
                      <w:r>
                        <w:rPr>
                          <w:rFonts w:hint="eastAsia"/>
                        </w:rPr>
                        <w:t>三、环境质量</w:t>
                      </w:r>
                      <w:bookmarkEnd w:id="97"/>
                      <w:r>
                        <w:rPr>
                          <w:rFonts w:hint="eastAsia"/>
                          <w:lang w:eastAsia="zh-CN"/>
                        </w:rPr>
                        <w:t>状况</w:t>
                      </w:r>
                    </w:p>
                  </w:txbxContent>
                </v:textbox>
              </v:shape>
            </w:pict>
          </mc:Fallback>
        </mc:AlternateContent>
      </w:r>
      <w:bookmarkEnd w:id="43"/>
      <w:r>
        <w:rPr>
          <w:rFonts w:hint="eastAsia"/>
        </w:rPr>
        <w:t>建设项目所在地区域环境质量现状及主要环境问题</w:t>
      </w:r>
    </w:p>
    <w:p>
      <w:pPr>
        <w:pStyle w:val="104"/>
      </w:pPr>
      <w:bookmarkStart w:id="44" w:name="_Toc307515796"/>
      <w:r>
        <w:t>环境空气质量</w:t>
      </w:r>
      <w:bookmarkEnd w:id="44"/>
    </w:p>
    <w:p>
      <w:pPr>
        <w:pStyle w:val="103"/>
        <w:bidi w:val="0"/>
      </w:pPr>
      <w:r>
        <w:rPr>
          <w:rFonts w:hint="eastAsia"/>
        </w:rPr>
        <w:t>根据《</w:t>
      </w:r>
      <w:r>
        <w:t>2019年度苏州市生态环境状况公报》，2019年苏州全市环境空气SO2年均浓度为9ug/m3、NO2年均浓度37ug/m3、PM10年均浓度62ug/m3、PM2.5年均浓度36ug/m3、CO浓度为1.2mg/m3、臭氧浓度为166ug/m3。</w:t>
      </w:r>
    </w:p>
    <w:p>
      <w:pPr>
        <w:pStyle w:val="273"/>
        <w:bidi w:val="0"/>
        <w:rPr>
          <w:rFonts w:hint="eastAsia"/>
        </w:rPr>
      </w:pPr>
      <w:r>
        <w:rPr>
          <w:rFonts w:hint="eastAsia"/>
        </w:rPr>
        <w:t>表3-1  2019年苏州全市空气质量现状评价表</w:t>
      </w:r>
    </w:p>
    <w:tbl>
      <w:tblPr>
        <w:tblStyle w:val="260"/>
        <w:tblW w:w="85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282"/>
        <w:gridCol w:w="1316"/>
        <w:gridCol w:w="1742"/>
        <w:gridCol w:w="1269"/>
        <w:gridCol w:w="1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2" w:type="dxa"/>
            <w:vAlign w:val="center"/>
          </w:tcPr>
          <w:p>
            <w:pPr>
              <w:pStyle w:val="100"/>
              <w:widowControl w:val="0"/>
              <w:bidi w:val="0"/>
              <w:adjustRightInd w:val="0"/>
              <w:snapToGrid w:val="0"/>
            </w:pPr>
            <w:r>
              <w:t>污染物</w:t>
            </w:r>
          </w:p>
        </w:tc>
        <w:tc>
          <w:tcPr>
            <w:tcW w:w="1282" w:type="dxa"/>
            <w:vAlign w:val="center"/>
          </w:tcPr>
          <w:p>
            <w:pPr>
              <w:pStyle w:val="100"/>
              <w:widowControl w:val="0"/>
              <w:bidi w:val="0"/>
              <w:adjustRightInd w:val="0"/>
              <w:snapToGrid w:val="0"/>
            </w:pPr>
            <w:r>
              <w:t>评价指标</w:t>
            </w:r>
          </w:p>
        </w:tc>
        <w:tc>
          <w:tcPr>
            <w:tcW w:w="1316" w:type="dxa"/>
            <w:vAlign w:val="center"/>
          </w:tcPr>
          <w:p>
            <w:pPr>
              <w:pStyle w:val="100"/>
              <w:widowControl w:val="0"/>
              <w:bidi w:val="0"/>
              <w:adjustRightInd w:val="0"/>
              <w:snapToGrid w:val="0"/>
            </w:pPr>
            <w:r>
              <w:t>标准值（μg/m3）</w:t>
            </w:r>
          </w:p>
        </w:tc>
        <w:tc>
          <w:tcPr>
            <w:tcW w:w="1742" w:type="dxa"/>
            <w:vAlign w:val="center"/>
          </w:tcPr>
          <w:p>
            <w:pPr>
              <w:pStyle w:val="100"/>
              <w:widowControl w:val="0"/>
              <w:bidi w:val="0"/>
              <w:adjustRightInd w:val="0"/>
              <w:snapToGrid w:val="0"/>
            </w:pPr>
            <w:r>
              <w:t>现状浓度（μg/m3）</w:t>
            </w:r>
          </w:p>
        </w:tc>
        <w:tc>
          <w:tcPr>
            <w:tcW w:w="1269" w:type="dxa"/>
            <w:vAlign w:val="center"/>
          </w:tcPr>
          <w:p>
            <w:pPr>
              <w:pStyle w:val="100"/>
              <w:widowControl w:val="0"/>
              <w:bidi w:val="0"/>
              <w:adjustRightInd w:val="0"/>
              <w:snapToGrid w:val="0"/>
            </w:pPr>
            <w:r>
              <w:t>超标倍数</w:t>
            </w:r>
          </w:p>
        </w:tc>
        <w:tc>
          <w:tcPr>
            <w:tcW w:w="1531" w:type="dxa"/>
            <w:vAlign w:val="center"/>
          </w:tcPr>
          <w:p>
            <w:pPr>
              <w:pStyle w:val="100"/>
              <w:widowControl w:val="0"/>
              <w:bidi w:val="0"/>
              <w:adjustRightInd w:val="0"/>
              <w:snapToGrid w:val="0"/>
            </w:pPr>
            <w: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412" w:type="dxa"/>
            <w:vAlign w:val="center"/>
          </w:tcPr>
          <w:p>
            <w:pPr>
              <w:pStyle w:val="100"/>
              <w:widowControl w:val="0"/>
              <w:bidi w:val="0"/>
              <w:adjustRightInd w:val="0"/>
              <w:snapToGrid w:val="0"/>
            </w:pPr>
            <w:r>
              <w:t>SO2</w:t>
            </w:r>
          </w:p>
        </w:tc>
        <w:tc>
          <w:tcPr>
            <w:tcW w:w="1282" w:type="dxa"/>
            <w:vMerge w:val="restart"/>
            <w:vAlign w:val="center"/>
          </w:tcPr>
          <w:p>
            <w:pPr>
              <w:pStyle w:val="100"/>
              <w:widowControl w:val="0"/>
              <w:bidi w:val="0"/>
              <w:adjustRightInd w:val="0"/>
              <w:snapToGrid w:val="0"/>
            </w:pPr>
            <w:r>
              <w:t>年均值</w:t>
            </w:r>
          </w:p>
        </w:tc>
        <w:tc>
          <w:tcPr>
            <w:tcW w:w="1316" w:type="dxa"/>
            <w:vAlign w:val="center"/>
          </w:tcPr>
          <w:p>
            <w:pPr>
              <w:pStyle w:val="100"/>
              <w:widowControl w:val="0"/>
              <w:bidi w:val="0"/>
              <w:adjustRightInd w:val="0"/>
              <w:snapToGrid w:val="0"/>
            </w:pPr>
            <w:r>
              <w:t>60</w:t>
            </w:r>
          </w:p>
        </w:tc>
        <w:tc>
          <w:tcPr>
            <w:tcW w:w="1742" w:type="dxa"/>
            <w:vAlign w:val="center"/>
          </w:tcPr>
          <w:p>
            <w:pPr>
              <w:pStyle w:val="100"/>
              <w:widowControl w:val="0"/>
              <w:bidi w:val="0"/>
              <w:adjustRightInd w:val="0"/>
              <w:snapToGrid w:val="0"/>
            </w:pPr>
            <w:r>
              <w:t>9</w:t>
            </w:r>
          </w:p>
        </w:tc>
        <w:tc>
          <w:tcPr>
            <w:tcW w:w="1269" w:type="dxa"/>
            <w:vAlign w:val="center"/>
          </w:tcPr>
          <w:p>
            <w:pPr>
              <w:pStyle w:val="100"/>
              <w:widowControl w:val="0"/>
              <w:bidi w:val="0"/>
              <w:adjustRightInd w:val="0"/>
              <w:snapToGrid w:val="0"/>
            </w:pPr>
            <w:r>
              <w:t>/</w:t>
            </w:r>
          </w:p>
        </w:tc>
        <w:tc>
          <w:tcPr>
            <w:tcW w:w="1531" w:type="dxa"/>
            <w:vAlign w:val="center"/>
          </w:tcPr>
          <w:p>
            <w:pPr>
              <w:pStyle w:val="100"/>
              <w:widowControl w:val="0"/>
              <w:bidi w:val="0"/>
              <w:adjustRightInd w:val="0"/>
              <w:snapToGrid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412" w:type="dxa"/>
            <w:vAlign w:val="center"/>
          </w:tcPr>
          <w:p>
            <w:pPr>
              <w:pStyle w:val="100"/>
              <w:widowControl w:val="0"/>
              <w:bidi w:val="0"/>
              <w:adjustRightInd w:val="0"/>
              <w:snapToGrid w:val="0"/>
            </w:pPr>
            <w:r>
              <w:t>NO2</w:t>
            </w:r>
          </w:p>
        </w:tc>
        <w:tc>
          <w:tcPr>
            <w:tcW w:w="1282" w:type="dxa"/>
            <w:vMerge w:val="continue"/>
            <w:vAlign w:val="center"/>
          </w:tcPr>
          <w:p>
            <w:pPr>
              <w:pStyle w:val="100"/>
              <w:widowControl w:val="0"/>
              <w:bidi w:val="0"/>
              <w:adjustRightInd w:val="0"/>
              <w:snapToGrid w:val="0"/>
            </w:pPr>
          </w:p>
        </w:tc>
        <w:tc>
          <w:tcPr>
            <w:tcW w:w="1316" w:type="dxa"/>
            <w:vAlign w:val="center"/>
          </w:tcPr>
          <w:p>
            <w:pPr>
              <w:pStyle w:val="100"/>
              <w:widowControl w:val="0"/>
              <w:bidi w:val="0"/>
              <w:adjustRightInd w:val="0"/>
              <w:snapToGrid w:val="0"/>
            </w:pPr>
            <w:r>
              <w:t>40</w:t>
            </w:r>
          </w:p>
        </w:tc>
        <w:tc>
          <w:tcPr>
            <w:tcW w:w="1742" w:type="dxa"/>
            <w:vAlign w:val="center"/>
          </w:tcPr>
          <w:p>
            <w:pPr>
              <w:pStyle w:val="100"/>
              <w:widowControl w:val="0"/>
              <w:bidi w:val="0"/>
              <w:adjustRightInd w:val="0"/>
              <w:snapToGrid w:val="0"/>
            </w:pPr>
            <w:r>
              <w:t>37</w:t>
            </w:r>
          </w:p>
        </w:tc>
        <w:tc>
          <w:tcPr>
            <w:tcW w:w="1269" w:type="dxa"/>
            <w:vAlign w:val="center"/>
          </w:tcPr>
          <w:p>
            <w:pPr>
              <w:pStyle w:val="100"/>
              <w:widowControl w:val="0"/>
              <w:bidi w:val="0"/>
              <w:adjustRightInd w:val="0"/>
              <w:snapToGrid w:val="0"/>
            </w:pPr>
            <w:r>
              <w:t>/</w:t>
            </w:r>
          </w:p>
        </w:tc>
        <w:tc>
          <w:tcPr>
            <w:tcW w:w="1531" w:type="dxa"/>
            <w:vAlign w:val="center"/>
          </w:tcPr>
          <w:p>
            <w:pPr>
              <w:pStyle w:val="100"/>
              <w:widowControl w:val="0"/>
              <w:bidi w:val="0"/>
              <w:adjustRightInd w:val="0"/>
              <w:snapToGrid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412" w:type="dxa"/>
            <w:vAlign w:val="center"/>
          </w:tcPr>
          <w:p>
            <w:pPr>
              <w:pStyle w:val="100"/>
              <w:widowControl w:val="0"/>
              <w:bidi w:val="0"/>
              <w:adjustRightInd w:val="0"/>
              <w:snapToGrid w:val="0"/>
            </w:pPr>
            <w:r>
              <w:t>PM10</w:t>
            </w:r>
          </w:p>
        </w:tc>
        <w:tc>
          <w:tcPr>
            <w:tcW w:w="1282" w:type="dxa"/>
            <w:vMerge w:val="continue"/>
            <w:vAlign w:val="center"/>
          </w:tcPr>
          <w:p>
            <w:pPr>
              <w:pStyle w:val="100"/>
              <w:widowControl w:val="0"/>
              <w:bidi w:val="0"/>
              <w:adjustRightInd w:val="0"/>
              <w:snapToGrid w:val="0"/>
            </w:pPr>
          </w:p>
        </w:tc>
        <w:tc>
          <w:tcPr>
            <w:tcW w:w="1316" w:type="dxa"/>
            <w:vAlign w:val="center"/>
          </w:tcPr>
          <w:p>
            <w:pPr>
              <w:pStyle w:val="100"/>
              <w:widowControl w:val="0"/>
              <w:bidi w:val="0"/>
              <w:adjustRightInd w:val="0"/>
              <w:snapToGrid w:val="0"/>
            </w:pPr>
            <w:r>
              <w:t>70</w:t>
            </w:r>
          </w:p>
        </w:tc>
        <w:tc>
          <w:tcPr>
            <w:tcW w:w="1742" w:type="dxa"/>
            <w:vAlign w:val="center"/>
          </w:tcPr>
          <w:p>
            <w:pPr>
              <w:pStyle w:val="100"/>
              <w:widowControl w:val="0"/>
              <w:bidi w:val="0"/>
              <w:adjustRightInd w:val="0"/>
              <w:snapToGrid w:val="0"/>
            </w:pPr>
            <w:r>
              <w:t>62</w:t>
            </w:r>
          </w:p>
        </w:tc>
        <w:tc>
          <w:tcPr>
            <w:tcW w:w="1269" w:type="dxa"/>
            <w:vAlign w:val="center"/>
          </w:tcPr>
          <w:p>
            <w:pPr>
              <w:pStyle w:val="100"/>
              <w:widowControl w:val="0"/>
              <w:bidi w:val="0"/>
              <w:adjustRightInd w:val="0"/>
              <w:snapToGrid w:val="0"/>
            </w:pPr>
            <w:r>
              <w:t>/</w:t>
            </w:r>
          </w:p>
        </w:tc>
        <w:tc>
          <w:tcPr>
            <w:tcW w:w="1531" w:type="dxa"/>
            <w:vAlign w:val="center"/>
          </w:tcPr>
          <w:p>
            <w:pPr>
              <w:pStyle w:val="100"/>
              <w:widowControl w:val="0"/>
              <w:bidi w:val="0"/>
              <w:adjustRightInd w:val="0"/>
              <w:snapToGrid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412" w:type="dxa"/>
            <w:vAlign w:val="center"/>
          </w:tcPr>
          <w:p>
            <w:pPr>
              <w:pStyle w:val="100"/>
              <w:widowControl w:val="0"/>
              <w:bidi w:val="0"/>
              <w:adjustRightInd w:val="0"/>
              <w:snapToGrid w:val="0"/>
            </w:pPr>
            <w:r>
              <w:t>PM2.5</w:t>
            </w:r>
          </w:p>
        </w:tc>
        <w:tc>
          <w:tcPr>
            <w:tcW w:w="1282" w:type="dxa"/>
            <w:vMerge w:val="continue"/>
            <w:vAlign w:val="center"/>
          </w:tcPr>
          <w:p>
            <w:pPr>
              <w:pStyle w:val="100"/>
              <w:widowControl w:val="0"/>
              <w:bidi w:val="0"/>
              <w:adjustRightInd w:val="0"/>
              <w:snapToGrid w:val="0"/>
            </w:pPr>
          </w:p>
        </w:tc>
        <w:tc>
          <w:tcPr>
            <w:tcW w:w="1316" w:type="dxa"/>
            <w:vAlign w:val="center"/>
          </w:tcPr>
          <w:p>
            <w:pPr>
              <w:pStyle w:val="100"/>
              <w:widowControl w:val="0"/>
              <w:bidi w:val="0"/>
              <w:adjustRightInd w:val="0"/>
              <w:snapToGrid w:val="0"/>
            </w:pPr>
            <w:r>
              <w:t>35</w:t>
            </w:r>
          </w:p>
        </w:tc>
        <w:tc>
          <w:tcPr>
            <w:tcW w:w="1742" w:type="dxa"/>
            <w:vAlign w:val="center"/>
          </w:tcPr>
          <w:p>
            <w:pPr>
              <w:pStyle w:val="100"/>
              <w:widowControl w:val="0"/>
              <w:bidi w:val="0"/>
              <w:adjustRightInd w:val="0"/>
              <w:snapToGrid w:val="0"/>
            </w:pPr>
            <w:r>
              <w:t>36</w:t>
            </w:r>
          </w:p>
        </w:tc>
        <w:tc>
          <w:tcPr>
            <w:tcW w:w="1269" w:type="dxa"/>
            <w:vAlign w:val="center"/>
          </w:tcPr>
          <w:p>
            <w:pPr>
              <w:pStyle w:val="100"/>
              <w:widowControl w:val="0"/>
              <w:bidi w:val="0"/>
              <w:adjustRightInd w:val="0"/>
              <w:snapToGrid w:val="0"/>
            </w:pPr>
            <w:r>
              <w:t>0.029</w:t>
            </w:r>
          </w:p>
        </w:tc>
        <w:tc>
          <w:tcPr>
            <w:tcW w:w="1531" w:type="dxa"/>
            <w:vAlign w:val="center"/>
          </w:tcPr>
          <w:p>
            <w:pPr>
              <w:pStyle w:val="100"/>
              <w:widowControl w:val="0"/>
              <w:bidi w:val="0"/>
              <w:adjustRightInd w:val="0"/>
              <w:snapToGrid w:val="0"/>
            </w:pPr>
            <w: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412" w:type="dxa"/>
            <w:vAlign w:val="center"/>
          </w:tcPr>
          <w:p>
            <w:pPr>
              <w:pStyle w:val="100"/>
              <w:widowControl w:val="0"/>
              <w:bidi w:val="0"/>
              <w:adjustRightInd w:val="0"/>
              <w:snapToGrid w:val="0"/>
            </w:pPr>
            <w:r>
              <w:t>CO</w:t>
            </w:r>
          </w:p>
        </w:tc>
        <w:tc>
          <w:tcPr>
            <w:tcW w:w="1282" w:type="dxa"/>
            <w:vMerge w:val="restart"/>
            <w:vAlign w:val="center"/>
          </w:tcPr>
          <w:p>
            <w:pPr>
              <w:pStyle w:val="100"/>
              <w:widowControl w:val="0"/>
              <w:bidi w:val="0"/>
              <w:adjustRightInd w:val="0"/>
              <w:snapToGrid w:val="0"/>
            </w:pPr>
            <w:r>
              <w:t>日均值</w:t>
            </w:r>
          </w:p>
        </w:tc>
        <w:tc>
          <w:tcPr>
            <w:tcW w:w="1316" w:type="dxa"/>
            <w:vAlign w:val="center"/>
          </w:tcPr>
          <w:p>
            <w:pPr>
              <w:pStyle w:val="100"/>
              <w:widowControl w:val="0"/>
              <w:bidi w:val="0"/>
              <w:adjustRightInd w:val="0"/>
              <w:snapToGrid w:val="0"/>
            </w:pPr>
            <w:r>
              <w:t>4mg/m3</w:t>
            </w:r>
          </w:p>
        </w:tc>
        <w:tc>
          <w:tcPr>
            <w:tcW w:w="1742" w:type="dxa"/>
            <w:vAlign w:val="center"/>
          </w:tcPr>
          <w:p>
            <w:pPr>
              <w:pStyle w:val="100"/>
              <w:widowControl w:val="0"/>
              <w:bidi w:val="0"/>
              <w:adjustRightInd w:val="0"/>
              <w:snapToGrid w:val="0"/>
            </w:pPr>
            <w:r>
              <w:t>1.2mg/m3</w:t>
            </w:r>
          </w:p>
        </w:tc>
        <w:tc>
          <w:tcPr>
            <w:tcW w:w="1269" w:type="dxa"/>
            <w:vAlign w:val="center"/>
          </w:tcPr>
          <w:p>
            <w:pPr>
              <w:pStyle w:val="100"/>
              <w:widowControl w:val="0"/>
              <w:bidi w:val="0"/>
              <w:adjustRightInd w:val="0"/>
              <w:snapToGrid w:val="0"/>
            </w:pPr>
            <w:r>
              <w:t>/</w:t>
            </w:r>
          </w:p>
        </w:tc>
        <w:tc>
          <w:tcPr>
            <w:tcW w:w="1531" w:type="dxa"/>
            <w:vAlign w:val="center"/>
          </w:tcPr>
          <w:p>
            <w:pPr>
              <w:pStyle w:val="100"/>
              <w:widowControl w:val="0"/>
              <w:bidi w:val="0"/>
              <w:adjustRightInd w:val="0"/>
              <w:snapToGrid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12" w:type="dxa"/>
            <w:vAlign w:val="center"/>
          </w:tcPr>
          <w:p>
            <w:pPr>
              <w:pStyle w:val="100"/>
              <w:widowControl w:val="0"/>
              <w:bidi w:val="0"/>
              <w:adjustRightInd w:val="0"/>
              <w:snapToGrid w:val="0"/>
            </w:pPr>
            <w:r>
              <w:t>O3</w:t>
            </w:r>
          </w:p>
        </w:tc>
        <w:tc>
          <w:tcPr>
            <w:tcW w:w="1282" w:type="dxa"/>
            <w:vMerge w:val="continue"/>
            <w:vAlign w:val="center"/>
          </w:tcPr>
          <w:p>
            <w:pPr>
              <w:pStyle w:val="100"/>
              <w:widowControl w:val="0"/>
              <w:bidi w:val="0"/>
              <w:adjustRightInd w:val="0"/>
              <w:snapToGrid w:val="0"/>
            </w:pPr>
          </w:p>
        </w:tc>
        <w:tc>
          <w:tcPr>
            <w:tcW w:w="1316" w:type="dxa"/>
            <w:vAlign w:val="center"/>
          </w:tcPr>
          <w:p>
            <w:pPr>
              <w:pStyle w:val="100"/>
              <w:widowControl w:val="0"/>
              <w:bidi w:val="0"/>
              <w:adjustRightInd w:val="0"/>
              <w:snapToGrid w:val="0"/>
            </w:pPr>
            <w:r>
              <w:t>160</w:t>
            </w:r>
          </w:p>
        </w:tc>
        <w:tc>
          <w:tcPr>
            <w:tcW w:w="1742" w:type="dxa"/>
            <w:vAlign w:val="center"/>
          </w:tcPr>
          <w:p>
            <w:pPr>
              <w:pStyle w:val="100"/>
              <w:widowControl w:val="0"/>
              <w:bidi w:val="0"/>
              <w:adjustRightInd w:val="0"/>
              <w:snapToGrid w:val="0"/>
            </w:pPr>
            <w:r>
              <w:t>166</w:t>
            </w:r>
          </w:p>
        </w:tc>
        <w:tc>
          <w:tcPr>
            <w:tcW w:w="1269" w:type="dxa"/>
            <w:vAlign w:val="center"/>
          </w:tcPr>
          <w:p>
            <w:pPr>
              <w:pStyle w:val="100"/>
              <w:widowControl w:val="0"/>
              <w:bidi w:val="0"/>
              <w:adjustRightInd w:val="0"/>
              <w:snapToGrid w:val="0"/>
            </w:pPr>
            <w:r>
              <w:t>0.0375</w:t>
            </w:r>
          </w:p>
        </w:tc>
        <w:tc>
          <w:tcPr>
            <w:tcW w:w="1531" w:type="dxa"/>
            <w:vAlign w:val="center"/>
          </w:tcPr>
          <w:p>
            <w:pPr>
              <w:pStyle w:val="100"/>
              <w:widowControl w:val="0"/>
              <w:bidi w:val="0"/>
              <w:adjustRightInd w:val="0"/>
              <w:snapToGrid w:val="0"/>
            </w:pPr>
            <w:r>
              <w:t>不达标</w:t>
            </w:r>
          </w:p>
        </w:tc>
      </w:tr>
    </w:tbl>
    <w:p>
      <w:pPr>
        <w:pStyle w:val="103"/>
        <w:bidi w:val="0"/>
      </w:pPr>
      <w:r>
        <w:t>根据表3-1，项目所在区PM2.5、O3超标，因此判定为不达标区。</w:t>
      </w:r>
    </w:p>
    <w:p>
      <w:pPr>
        <w:pStyle w:val="103"/>
        <w:bidi w:val="0"/>
      </w:pPr>
      <w:r>
        <w:t>PM2.5超标原因主要有以下几个方面：a.机动车尾气源占30.5%；b.燃煤源占23.4%；c.扬尘源占14.3%；d.工业工艺源占13.8%；e.生物质燃烧源占3.9%；f.二次无机源占5.1%；g.其他源占6.0%。</w:t>
      </w:r>
    </w:p>
    <w:p>
      <w:pPr>
        <w:pStyle w:val="103"/>
        <w:bidi w:val="0"/>
      </w:pPr>
      <w:r>
        <w:t>改善措施：a.各建设单位应该按照《绿色施工导则》（建质[2007]223）、《建筑施工企业安全生产管理规范》（GB50656-2011）、《防治城市扬尘污染技术规范》（HJ/T393-2007）、</w:t>
      </w:r>
    </w:p>
    <w:p>
      <w:pPr>
        <w:pStyle w:val="103"/>
        <w:bidi w:val="0"/>
      </w:pPr>
      <w:r>
        <w:t>《江苏省人民正度关于实施蓝天工程改善大气环境的意见》（苏政发[2010]87号）的相关规定实行“绿色施工”，制定施工扬尘污染防治方案，根据施工工序编制施工期内扬尘污染防治任务书，报环保局、建设局相关部门备案，实施扬尘防治全过程管理，责任到每个施工工序；</w:t>
      </w:r>
    </w:p>
    <w:p>
      <w:pPr>
        <w:pStyle w:val="103"/>
        <w:bidi w:val="0"/>
      </w:pPr>
      <w:r>
        <w:t>b.以清洁能源代替燃煤锅炉，减少燃煤排放的颗粒物和二氧化氮；c.加强运输车辆管理，逐步实施尾气排放检查制度，限制尾气排放超标的运输车辆通行，控制汽车尾气排放总量。</w:t>
      </w:r>
    </w:p>
    <w:p>
      <w:pPr>
        <w:pStyle w:val="103"/>
        <w:bidi w:val="0"/>
      </w:pPr>
      <w:r>
        <w:t>O3超标原因：地面臭氧除少量由平流层传输外，大部分由人为排放的“氮氧化物”和“挥发性有机物”在高温、日照充足、空气干燥条件下转化形成。北京市环境科学院大气污染防治研究所副所长黄玉虎表示，挥发性有机物可与氮氧化物，在紫外光照射的条件下，发生一系列光化学链式反应，提高大气的氧化性，引起地表臭氧浓度的增加。</w:t>
      </w:r>
    </w:p>
    <w:p>
      <w:pPr>
        <w:pStyle w:val="103"/>
        <w:bidi w:val="0"/>
      </w:pPr>
      <w:r>
        <w:t>改善措施：贯彻落实《“两减六治三提升”专项行动方案》：减少落后化工产能，强化化工园区环境保护体系规范化建设；试重点废气排放企业深度治理，“散乱污”等企业专项整治。</w:t>
      </w:r>
    </w:p>
    <w:p>
      <w:pPr>
        <w:pStyle w:val="103"/>
        <w:bidi w:val="0"/>
      </w:pPr>
      <w:r>
        <w:t>大气环境综合整治：《苏州市空气质量改善达标规划（2019-2024年）》：“总体及分阶段战略如下：到2020年，深化并推进工业锅炉与炉窑整治工作，坚决完成“散乱污”治理工作，完成重点行业颗粒物无组织排放深度治理，钢铁行业完成超低排放改造，以港口码头和堆场为重点加强扬尘污染控制，以油品监管、柴油货车综合整治、高排放车辆淘汰及提升新能源汽车占比为重点加强移动源污染防治，从化工、涂装、纺织印染等工业行业挖掘VOCs减排潜力，确保SO2、NOx、VOCs排放总量均比2015年下降20%以上，加大VOCs和NOx协同减排力度，在提前完成“十三五”约束性目标的基础上，确保将PM2.5浓度控制在39微克/立方米以下，空气质量优良天数比率力争达到75%以上，臭氧污染态势得到缓解。到2024年，全面优化产业布局，大幅提升清洁能源使用比例，构建清洁低碳高效能源体系，深挖电力、钢铁行业减排潜力，进一步推进热电整合，完成重点行业低VOCs含量原辅料替代目标。升级工艺技术，优化工艺流程，提高各行业清洁化生产水平。优化调整用地结构，全面推进面源污染治理；优化运输结构，完成高排放车辆与船舶淘汰，大幅提升新能源汽车比例，强化车船排放监管。建立健全监测监控体系。不断完善城市空气质量联合会商、联动执法和跨行政区域联防联控机制，推进PM2.5和臭氧协同控制，实现除臭氧以外的主要大气污染物全面达标，臭氧浓度不再上升的总体目标。</w:t>
      </w:r>
    </w:p>
    <w:p>
      <w:pPr>
        <w:pStyle w:val="103"/>
        <w:bidi w:val="0"/>
      </w:pPr>
      <w:r>
        <w:t>本项目</w:t>
      </w:r>
      <w:r>
        <w:rPr>
          <w:rFonts w:hint="eastAsia"/>
          <w:lang w:val="en-US" w:eastAsia="zh-CN"/>
        </w:rPr>
        <w:t>印刷、烘干过程中</w:t>
      </w:r>
      <w:r>
        <w:rPr>
          <w:rFonts w:hint="eastAsia"/>
        </w:rPr>
        <w:t>产生的</w:t>
      </w:r>
      <w:r>
        <w:rPr>
          <w:rFonts w:hint="eastAsia"/>
          <w:lang w:val="en-US" w:eastAsia="zh-CN"/>
        </w:rPr>
        <w:t>非甲烷总烃由集气罩收集后（收集效率90%）</w:t>
      </w:r>
      <w:r>
        <w:rPr>
          <w:rFonts w:hint="eastAsia"/>
        </w:rPr>
        <w:t>经</w:t>
      </w:r>
      <w:r>
        <w:rPr>
          <w:rFonts w:hint="eastAsia"/>
          <w:lang w:eastAsia="zh-CN"/>
        </w:rPr>
        <w:t>“</w:t>
      </w:r>
      <w:r>
        <w:rPr>
          <w:rFonts w:hint="eastAsia"/>
          <w:lang w:val="en-US" w:eastAsia="zh-CN"/>
        </w:rPr>
        <w:t>二级活性炭</w:t>
      </w:r>
      <w:r>
        <w:rPr>
          <w:rFonts w:hint="eastAsia"/>
          <w:lang w:eastAsia="zh-CN"/>
        </w:rPr>
        <w:t>”（</w:t>
      </w:r>
      <w:r>
        <w:rPr>
          <w:rFonts w:hint="eastAsia"/>
          <w:lang w:val="en-US" w:eastAsia="zh-CN"/>
        </w:rPr>
        <w:t>处理效率90%</w:t>
      </w:r>
      <w:r>
        <w:rPr>
          <w:rFonts w:hint="eastAsia"/>
          <w:lang w:eastAsia="zh-CN"/>
        </w:rPr>
        <w:t>）</w:t>
      </w:r>
      <w:r>
        <w:rPr>
          <w:rFonts w:hint="eastAsia"/>
          <w:lang w:val="en-US" w:eastAsia="zh-CN"/>
        </w:rPr>
        <w:t>处理后</w:t>
      </w:r>
      <w:r>
        <w:t>达标排放</w:t>
      </w:r>
      <w:r>
        <w:rPr>
          <w:rFonts w:hint="eastAsia"/>
        </w:rPr>
        <w:t>，</w:t>
      </w:r>
      <w:r>
        <w:t>本项目采取的措施能满足区域环境质量改善目标管理</w:t>
      </w:r>
      <w:r>
        <w:rPr>
          <w:rFonts w:hint="eastAsia"/>
        </w:rPr>
        <w:t>。</w:t>
      </w:r>
    </w:p>
    <w:p>
      <w:pPr>
        <w:pStyle w:val="104"/>
      </w:pPr>
      <w:r>
        <w:t>水环境质量</w:t>
      </w:r>
    </w:p>
    <w:p>
      <w:pPr>
        <w:pStyle w:val="103"/>
        <w:bidi w:val="0"/>
      </w:pPr>
      <w:r>
        <w:t>根据《2019年度苏州市生态环境状况公报》：2019年，苏州市水环境质量总体保持稳定。纳入国家《水污染防治行动计划》地表水环境质量考核的16个断面中，年均水质符合《地表水环境质量标准》（GB3838-2002）Ⅲ类标准的断面比例为87.5%，无劣Ⅴ类断面。纳入江苏省“十三五”水环境质量目标考核的50个地表水断面中，年均水质达到或优于Ⅲ类的占86.0%，无劣Ⅴ类断面。对照2019年省考核目标，优Ⅲ类比例达标。</w:t>
      </w:r>
    </w:p>
    <w:p>
      <w:pPr>
        <w:pStyle w:val="104"/>
      </w:pPr>
      <w:r>
        <w:t>地下水环境质量</w:t>
      </w:r>
    </w:p>
    <w:p>
      <w:pPr>
        <w:pStyle w:val="105"/>
      </w:pPr>
      <w:r>
        <w:t>地下水水位监测</w:t>
      </w:r>
    </w:p>
    <w:p>
      <w:pPr>
        <w:pStyle w:val="103"/>
        <w:bidi w:val="0"/>
      </w:pPr>
      <w:r>
        <w:t>为全</w:t>
      </w:r>
      <w:r>
        <w:rPr>
          <w:rFonts w:hint="eastAsia"/>
        </w:rPr>
        <w:t>了解</w:t>
      </w:r>
      <w:r>
        <w:t>评价区地下水水位、流向和地下水开采等情况，在评价区所涉及的范围内，开展了全面的地下水调查工作，地下水水位调查时间为20</w:t>
      </w:r>
      <w:r>
        <w:rPr>
          <w:rFonts w:hint="eastAsia"/>
          <w:lang w:val="en-US" w:eastAsia="zh-CN"/>
        </w:rPr>
        <w:t>20</w:t>
      </w:r>
      <w:r>
        <w:t>年1</w:t>
      </w:r>
      <w:r>
        <w:rPr>
          <w:rFonts w:hint="eastAsia"/>
          <w:lang w:val="en-US" w:eastAsia="zh-CN"/>
        </w:rPr>
        <w:t>2</w:t>
      </w:r>
      <w:r>
        <w:t>月</w:t>
      </w:r>
      <w:r>
        <w:rPr>
          <w:rFonts w:hint="eastAsia"/>
          <w:lang w:val="en-US" w:eastAsia="zh-CN"/>
        </w:rPr>
        <w:t>15</w:t>
      </w:r>
      <w:r>
        <w:t>日。在评价范围内布设</w:t>
      </w:r>
      <w:r>
        <w:rPr>
          <w:rFonts w:hint="eastAsia"/>
        </w:rPr>
        <w:t>6</w:t>
      </w:r>
      <w:r>
        <w:t>口水位监测井。水位调查点布设在调查评价区范围内，主要为本次野外勘查水井。此外。本次野外勘查水井均为5公分井径的PVC管成井结构，井深均为6m，主要用于本次评价的地下水水位、水质监测，部分水井可作为项目后期的跟踪监测井。</w:t>
      </w:r>
    </w:p>
    <w:p>
      <w:pPr>
        <w:pStyle w:val="103"/>
        <w:bidi w:val="0"/>
      </w:pPr>
      <w:r>
        <w:t>结合建设项目的工程地质勘察资料、野外现场地下水相关资料调查，评价区及其附近浅层地下水埋深较浅，一般在1.795~3.434m左右，具体见野外水位调查点基本信息统计表。调查结果见表</w:t>
      </w:r>
      <w:r>
        <w:rPr>
          <w:rFonts w:hint="eastAsia"/>
          <w:lang w:val="en-US" w:eastAsia="zh-CN"/>
        </w:rPr>
        <w:t>3-2</w:t>
      </w:r>
      <w:r>
        <w:t>。</w:t>
      </w:r>
    </w:p>
    <w:p>
      <w:pPr>
        <w:pStyle w:val="273"/>
        <w:bidi w:val="0"/>
        <w:rPr>
          <w:rFonts w:hint="eastAsia"/>
        </w:rPr>
      </w:pPr>
      <w:r>
        <w:rPr>
          <w:rFonts w:hint="eastAsia"/>
        </w:rPr>
        <w:t>表</w:t>
      </w:r>
      <w:r>
        <w:rPr>
          <w:rFonts w:hint="eastAsia"/>
          <w:lang w:val="en-US" w:eastAsia="zh-CN"/>
        </w:rPr>
        <w:t>3-2</w:t>
      </w:r>
      <w:r>
        <w:rPr>
          <w:rFonts w:hint="eastAsia"/>
        </w:rPr>
        <w:t xml:space="preserve">  野外水位调查点基本信息统计表    单位：米</w:t>
      </w:r>
    </w:p>
    <w:tbl>
      <w:tblPr>
        <w:tblStyle w:val="260"/>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703"/>
        <w:gridCol w:w="1182"/>
        <w:gridCol w:w="1296"/>
        <w:gridCol w:w="1071"/>
        <w:gridCol w:w="992"/>
        <w:gridCol w:w="1134"/>
        <w:gridCol w:w="13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8" w:type="dxa"/>
            <w:vAlign w:val="center"/>
          </w:tcPr>
          <w:p>
            <w:pPr>
              <w:pStyle w:val="100"/>
              <w:widowControl w:val="0"/>
              <w:bidi w:val="0"/>
              <w:adjustRightInd w:val="0"/>
              <w:snapToGrid w:val="0"/>
            </w:pPr>
            <w:r>
              <w:rPr>
                <w:rFonts w:hint="eastAsia"/>
              </w:rPr>
              <w:t>序号</w:t>
            </w:r>
          </w:p>
        </w:tc>
        <w:tc>
          <w:tcPr>
            <w:tcW w:w="703" w:type="dxa"/>
            <w:vAlign w:val="center"/>
          </w:tcPr>
          <w:p>
            <w:pPr>
              <w:pStyle w:val="100"/>
              <w:widowControl w:val="0"/>
              <w:bidi w:val="0"/>
              <w:adjustRightInd w:val="0"/>
              <w:snapToGrid w:val="0"/>
            </w:pPr>
            <w:r>
              <w:rPr>
                <w:rFonts w:hint="eastAsia"/>
              </w:rPr>
              <w:t>点位名称</w:t>
            </w:r>
          </w:p>
        </w:tc>
        <w:tc>
          <w:tcPr>
            <w:tcW w:w="1182" w:type="dxa"/>
            <w:vAlign w:val="center"/>
          </w:tcPr>
          <w:p>
            <w:pPr>
              <w:pStyle w:val="100"/>
              <w:widowControl w:val="0"/>
              <w:bidi w:val="0"/>
              <w:adjustRightInd w:val="0"/>
              <w:snapToGrid w:val="0"/>
            </w:pPr>
            <w:r>
              <w:rPr>
                <w:rFonts w:hint="eastAsia"/>
              </w:rPr>
              <w:t>纬度</w:t>
            </w:r>
            <w:r>
              <w:t>(°)</w:t>
            </w:r>
          </w:p>
        </w:tc>
        <w:tc>
          <w:tcPr>
            <w:tcW w:w="1296" w:type="dxa"/>
            <w:vAlign w:val="center"/>
          </w:tcPr>
          <w:p>
            <w:pPr>
              <w:pStyle w:val="100"/>
              <w:widowControl w:val="0"/>
              <w:bidi w:val="0"/>
              <w:adjustRightInd w:val="0"/>
              <w:snapToGrid w:val="0"/>
            </w:pPr>
            <w:r>
              <w:rPr>
                <w:rFonts w:hint="eastAsia"/>
              </w:rPr>
              <w:t>经度</w:t>
            </w:r>
            <w:r>
              <w:t>(°)</w:t>
            </w:r>
          </w:p>
        </w:tc>
        <w:tc>
          <w:tcPr>
            <w:tcW w:w="1071" w:type="dxa"/>
            <w:vAlign w:val="center"/>
          </w:tcPr>
          <w:p>
            <w:pPr>
              <w:pStyle w:val="100"/>
              <w:widowControl w:val="0"/>
              <w:bidi w:val="0"/>
              <w:adjustRightInd w:val="0"/>
              <w:snapToGrid w:val="0"/>
            </w:pPr>
            <w:r>
              <w:rPr>
                <w:rFonts w:hint="eastAsia"/>
              </w:rPr>
              <w:t>井口高程</w:t>
            </w:r>
            <w:r>
              <w:t>(m)</w:t>
            </w:r>
          </w:p>
        </w:tc>
        <w:tc>
          <w:tcPr>
            <w:tcW w:w="992" w:type="dxa"/>
            <w:vAlign w:val="center"/>
          </w:tcPr>
          <w:p>
            <w:pPr>
              <w:pStyle w:val="100"/>
              <w:widowControl w:val="0"/>
              <w:bidi w:val="0"/>
              <w:adjustRightInd w:val="0"/>
              <w:snapToGrid w:val="0"/>
            </w:pPr>
            <w:r>
              <w:rPr>
                <w:rFonts w:hint="eastAsia"/>
              </w:rPr>
              <w:t>水位埋深</w:t>
            </w:r>
            <w:r>
              <w:t>(m)</w:t>
            </w:r>
          </w:p>
        </w:tc>
        <w:tc>
          <w:tcPr>
            <w:tcW w:w="1134" w:type="dxa"/>
            <w:vAlign w:val="center"/>
          </w:tcPr>
          <w:p>
            <w:pPr>
              <w:pStyle w:val="100"/>
              <w:widowControl w:val="0"/>
              <w:bidi w:val="0"/>
              <w:adjustRightInd w:val="0"/>
              <w:snapToGrid w:val="0"/>
            </w:pPr>
            <w:r>
              <w:rPr>
                <w:rFonts w:hint="eastAsia"/>
              </w:rPr>
              <w:t>水位（</w:t>
            </w:r>
            <w:r>
              <w:t>m</w:t>
            </w:r>
            <w:r>
              <w:rPr>
                <w:rFonts w:hint="eastAsia"/>
              </w:rPr>
              <w:t>）</w:t>
            </w:r>
          </w:p>
        </w:tc>
        <w:tc>
          <w:tcPr>
            <w:tcW w:w="1379" w:type="dxa"/>
            <w:vAlign w:val="center"/>
          </w:tcPr>
          <w:p>
            <w:pPr>
              <w:pStyle w:val="100"/>
              <w:widowControl w:val="0"/>
              <w:bidi w:val="0"/>
              <w:adjustRightInd w:val="0"/>
              <w:snapToGrid w:val="0"/>
            </w:pPr>
            <w:r>
              <w:rPr>
                <w:rFonts w:hint="eastAsi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8" w:type="dxa"/>
            <w:vAlign w:val="center"/>
          </w:tcPr>
          <w:p>
            <w:pPr>
              <w:pStyle w:val="100"/>
              <w:widowControl w:val="0"/>
              <w:bidi w:val="0"/>
              <w:adjustRightInd w:val="0"/>
              <w:snapToGrid w:val="0"/>
            </w:pPr>
            <w:r>
              <w:t>1</w:t>
            </w:r>
          </w:p>
        </w:tc>
        <w:tc>
          <w:tcPr>
            <w:tcW w:w="703" w:type="dxa"/>
            <w:vAlign w:val="center"/>
          </w:tcPr>
          <w:p>
            <w:pPr>
              <w:pStyle w:val="100"/>
              <w:widowControl w:val="0"/>
              <w:bidi w:val="0"/>
              <w:adjustRightInd w:val="0"/>
              <w:snapToGrid w:val="0"/>
            </w:pPr>
            <w:r>
              <w:t>D1</w:t>
            </w:r>
          </w:p>
        </w:tc>
        <w:tc>
          <w:tcPr>
            <w:tcW w:w="1182" w:type="dxa"/>
            <w:vAlign w:val="center"/>
          </w:tcPr>
          <w:p>
            <w:pPr>
              <w:pStyle w:val="100"/>
              <w:widowControl w:val="0"/>
              <w:bidi w:val="0"/>
              <w:adjustRightInd w:val="0"/>
              <w:snapToGrid w:val="0"/>
            </w:pPr>
            <w:r>
              <w:rPr>
                <w:rFonts w:hint="eastAsia"/>
              </w:rPr>
              <w:t>31.174705</w:t>
            </w:r>
          </w:p>
        </w:tc>
        <w:tc>
          <w:tcPr>
            <w:tcW w:w="1296" w:type="dxa"/>
            <w:vAlign w:val="center"/>
          </w:tcPr>
          <w:p>
            <w:pPr>
              <w:pStyle w:val="100"/>
              <w:widowControl w:val="0"/>
              <w:bidi w:val="0"/>
              <w:adjustRightInd w:val="0"/>
              <w:snapToGrid w:val="0"/>
            </w:pPr>
            <w:r>
              <w:rPr>
                <w:rFonts w:hint="eastAsia"/>
              </w:rPr>
              <w:t>120.695393</w:t>
            </w:r>
          </w:p>
        </w:tc>
        <w:tc>
          <w:tcPr>
            <w:tcW w:w="1071" w:type="dxa"/>
            <w:vAlign w:val="center"/>
          </w:tcPr>
          <w:p>
            <w:pPr>
              <w:pStyle w:val="100"/>
              <w:widowControl w:val="0"/>
              <w:bidi w:val="0"/>
              <w:adjustRightInd w:val="0"/>
              <w:snapToGrid w:val="0"/>
              <w:rPr>
                <w:rFonts w:hint="default"/>
                <w:lang w:val="en-US" w:eastAsia="zh-CN"/>
              </w:rPr>
            </w:pPr>
            <w:r>
              <w:t>3.</w:t>
            </w:r>
            <w:r>
              <w:rPr>
                <w:rFonts w:hint="eastAsia"/>
                <w:lang w:val="en-US" w:eastAsia="zh-CN"/>
              </w:rPr>
              <w:t>319</w:t>
            </w:r>
          </w:p>
        </w:tc>
        <w:tc>
          <w:tcPr>
            <w:tcW w:w="992" w:type="dxa"/>
            <w:vAlign w:val="center"/>
          </w:tcPr>
          <w:p>
            <w:pPr>
              <w:pStyle w:val="100"/>
              <w:widowControl w:val="0"/>
              <w:bidi w:val="0"/>
              <w:adjustRightInd w:val="0"/>
              <w:snapToGrid w:val="0"/>
            </w:pPr>
            <w:r>
              <w:t>1.824</w:t>
            </w:r>
          </w:p>
        </w:tc>
        <w:tc>
          <w:tcPr>
            <w:tcW w:w="1134" w:type="dxa"/>
            <w:vAlign w:val="center"/>
          </w:tcPr>
          <w:p>
            <w:pPr>
              <w:pStyle w:val="100"/>
              <w:widowControl w:val="0"/>
              <w:bidi w:val="0"/>
              <w:adjustRightInd w:val="0"/>
              <w:snapToGrid w:val="0"/>
              <w:rPr>
                <w:rFonts w:hint="default"/>
                <w:lang w:val="en-US" w:eastAsia="zh-CN"/>
              </w:rPr>
            </w:pPr>
            <w:r>
              <w:rPr>
                <w:rFonts w:hint="eastAsia"/>
                <w:lang w:val="en-US" w:eastAsia="zh-CN"/>
              </w:rPr>
              <w:t>1.22</w:t>
            </w:r>
          </w:p>
        </w:tc>
        <w:tc>
          <w:tcPr>
            <w:tcW w:w="1379" w:type="dxa"/>
            <w:vMerge w:val="restart"/>
            <w:vAlign w:val="center"/>
          </w:tcPr>
          <w:p>
            <w:pPr>
              <w:pStyle w:val="100"/>
              <w:widowControl w:val="0"/>
              <w:bidi w:val="0"/>
              <w:adjustRightInd w:val="0"/>
              <w:snapToGrid w:val="0"/>
            </w:pPr>
            <w:r>
              <w:rPr>
                <w:rFonts w:hint="eastAsia"/>
              </w:rPr>
              <w:t>井孔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8" w:type="dxa"/>
            <w:vAlign w:val="center"/>
          </w:tcPr>
          <w:p>
            <w:pPr>
              <w:pStyle w:val="100"/>
              <w:widowControl w:val="0"/>
              <w:bidi w:val="0"/>
              <w:adjustRightInd w:val="0"/>
              <w:snapToGrid w:val="0"/>
            </w:pPr>
            <w:r>
              <w:t>2</w:t>
            </w:r>
          </w:p>
        </w:tc>
        <w:tc>
          <w:tcPr>
            <w:tcW w:w="703" w:type="dxa"/>
            <w:vAlign w:val="center"/>
          </w:tcPr>
          <w:p>
            <w:pPr>
              <w:pStyle w:val="100"/>
              <w:widowControl w:val="0"/>
              <w:bidi w:val="0"/>
              <w:adjustRightInd w:val="0"/>
              <w:snapToGrid w:val="0"/>
            </w:pPr>
            <w:r>
              <w:t>D2</w:t>
            </w:r>
          </w:p>
        </w:tc>
        <w:tc>
          <w:tcPr>
            <w:tcW w:w="1182" w:type="dxa"/>
            <w:vAlign w:val="center"/>
          </w:tcPr>
          <w:p>
            <w:pPr>
              <w:pStyle w:val="100"/>
              <w:widowControl w:val="0"/>
              <w:bidi w:val="0"/>
              <w:adjustRightInd w:val="0"/>
              <w:snapToGrid w:val="0"/>
            </w:pPr>
            <w:r>
              <w:rPr>
                <w:rFonts w:hint="eastAsia"/>
              </w:rPr>
              <w:t>31.177078</w:t>
            </w:r>
          </w:p>
        </w:tc>
        <w:tc>
          <w:tcPr>
            <w:tcW w:w="1296" w:type="dxa"/>
            <w:vAlign w:val="center"/>
          </w:tcPr>
          <w:p>
            <w:pPr>
              <w:pStyle w:val="100"/>
              <w:widowControl w:val="0"/>
              <w:bidi w:val="0"/>
              <w:adjustRightInd w:val="0"/>
              <w:snapToGrid w:val="0"/>
            </w:pPr>
            <w:r>
              <w:rPr>
                <w:rFonts w:hint="eastAsia"/>
              </w:rPr>
              <w:t>120.699972</w:t>
            </w:r>
          </w:p>
        </w:tc>
        <w:tc>
          <w:tcPr>
            <w:tcW w:w="1071" w:type="dxa"/>
            <w:vAlign w:val="center"/>
          </w:tcPr>
          <w:p>
            <w:pPr>
              <w:pStyle w:val="100"/>
              <w:widowControl w:val="0"/>
              <w:bidi w:val="0"/>
              <w:adjustRightInd w:val="0"/>
              <w:snapToGrid w:val="0"/>
              <w:rPr>
                <w:rFonts w:hint="default"/>
                <w:lang w:val="en-US" w:eastAsia="zh-CN"/>
              </w:rPr>
            </w:pPr>
            <w:r>
              <w:t>3.</w:t>
            </w:r>
            <w:r>
              <w:rPr>
                <w:rFonts w:hint="eastAsia"/>
                <w:lang w:val="en-US" w:eastAsia="zh-CN"/>
              </w:rPr>
              <w:t>448</w:t>
            </w:r>
          </w:p>
        </w:tc>
        <w:tc>
          <w:tcPr>
            <w:tcW w:w="992" w:type="dxa"/>
            <w:vAlign w:val="center"/>
          </w:tcPr>
          <w:p>
            <w:pPr>
              <w:pStyle w:val="100"/>
              <w:widowControl w:val="0"/>
              <w:bidi w:val="0"/>
              <w:adjustRightInd w:val="0"/>
              <w:snapToGrid w:val="0"/>
            </w:pPr>
            <w:r>
              <w:t>2.340</w:t>
            </w:r>
          </w:p>
        </w:tc>
        <w:tc>
          <w:tcPr>
            <w:tcW w:w="1134" w:type="dxa"/>
            <w:vAlign w:val="center"/>
          </w:tcPr>
          <w:p>
            <w:pPr>
              <w:pStyle w:val="100"/>
              <w:widowControl w:val="0"/>
              <w:bidi w:val="0"/>
              <w:adjustRightInd w:val="0"/>
              <w:snapToGrid w:val="0"/>
              <w:rPr>
                <w:rFonts w:hint="default"/>
                <w:lang w:val="en-US" w:eastAsia="zh-CN"/>
              </w:rPr>
            </w:pPr>
            <w:r>
              <w:t>1.</w:t>
            </w:r>
            <w:r>
              <w:rPr>
                <w:rFonts w:hint="eastAsia"/>
                <w:lang w:val="en-US" w:eastAsia="zh-CN"/>
              </w:rPr>
              <w:t>28</w:t>
            </w:r>
          </w:p>
        </w:tc>
        <w:tc>
          <w:tcPr>
            <w:tcW w:w="13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8" w:type="dxa"/>
            <w:vAlign w:val="center"/>
          </w:tcPr>
          <w:p>
            <w:pPr>
              <w:pStyle w:val="100"/>
              <w:widowControl w:val="0"/>
              <w:bidi w:val="0"/>
              <w:adjustRightInd w:val="0"/>
              <w:snapToGrid w:val="0"/>
            </w:pPr>
            <w:r>
              <w:t>3</w:t>
            </w:r>
          </w:p>
        </w:tc>
        <w:tc>
          <w:tcPr>
            <w:tcW w:w="703" w:type="dxa"/>
            <w:vAlign w:val="center"/>
          </w:tcPr>
          <w:p>
            <w:pPr>
              <w:pStyle w:val="100"/>
              <w:widowControl w:val="0"/>
              <w:bidi w:val="0"/>
              <w:adjustRightInd w:val="0"/>
              <w:snapToGrid w:val="0"/>
            </w:pPr>
            <w:r>
              <w:t>D3</w:t>
            </w:r>
          </w:p>
        </w:tc>
        <w:tc>
          <w:tcPr>
            <w:tcW w:w="1182" w:type="dxa"/>
            <w:vAlign w:val="center"/>
          </w:tcPr>
          <w:p>
            <w:pPr>
              <w:pStyle w:val="100"/>
              <w:widowControl w:val="0"/>
              <w:bidi w:val="0"/>
              <w:adjustRightInd w:val="0"/>
              <w:snapToGrid w:val="0"/>
            </w:pPr>
            <w:r>
              <w:rPr>
                <w:rFonts w:hint="eastAsia"/>
              </w:rPr>
              <w:t>31.170566</w:t>
            </w:r>
          </w:p>
        </w:tc>
        <w:tc>
          <w:tcPr>
            <w:tcW w:w="1296" w:type="dxa"/>
            <w:vAlign w:val="center"/>
          </w:tcPr>
          <w:p>
            <w:pPr>
              <w:pStyle w:val="100"/>
              <w:widowControl w:val="0"/>
              <w:bidi w:val="0"/>
              <w:adjustRightInd w:val="0"/>
              <w:snapToGrid w:val="0"/>
            </w:pPr>
            <w:r>
              <w:rPr>
                <w:rFonts w:hint="eastAsia"/>
              </w:rPr>
              <w:t>120.694479</w:t>
            </w:r>
          </w:p>
        </w:tc>
        <w:tc>
          <w:tcPr>
            <w:tcW w:w="1071" w:type="dxa"/>
            <w:vAlign w:val="center"/>
          </w:tcPr>
          <w:p>
            <w:pPr>
              <w:pStyle w:val="100"/>
              <w:widowControl w:val="0"/>
              <w:bidi w:val="0"/>
              <w:adjustRightInd w:val="0"/>
              <w:snapToGrid w:val="0"/>
              <w:rPr>
                <w:rFonts w:hint="default"/>
                <w:lang w:val="en-US" w:eastAsia="zh-CN"/>
              </w:rPr>
            </w:pPr>
            <w:r>
              <w:t>3.</w:t>
            </w:r>
            <w:r>
              <w:rPr>
                <w:rFonts w:hint="eastAsia"/>
                <w:lang w:val="en-US" w:eastAsia="zh-CN"/>
              </w:rPr>
              <w:t>038</w:t>
            </w:r>
          </w:p>
        </w:tc>
        <w:tc>
          <w:tcPr>
            <w:tcW w:w="992" w:type="dxa"/>
            <w:vAlign w:val="center"/>
          </w:tcPr>
          <w:p>
            <w:pPr>
              <w:pStyle w:val="100"/>
              <w:widowControl w:val="0"/>
              <w:bidi w:val="0"/>
              <w:adjustRightInd w:val="0"/>
              <w:snapToGrid w:val="0"/>
            </w:pPr>
            <w:r>
              <w:t>1.795</w:t>
            </w:r>
          </w:p>
        </w:tc>
        <w:tc>
          <w:tcPr>
            <w:tcW w:w="1134" w:type="dxa"/>
            <w:vAlign w:val="center"/>
          </w:tcPr>
          <w:p>
            <w:pPr>
              <w:pStyle w:val="100"/>
              <w:widowControl w:val="0"/>
              <w:bidi w:val="0"/>
              <w:adjustRightInd w:val="0"/>
              <w:snapToGrid w:val="0"/>
              <w:rPr>
                <w:rFonts w:hint="default"/>
                <w:lang w:val="en-US" w:eastAsia="zh-CN"/>
              </w:rPr>
            </w:pPr>
            <w:r>
              <w:t>1.</w:t>
            </w:r>
            <w:r>
              <w:rPr>
                <w:rFonts w:hint="eastAsia"/>
                <w:lang w:val="en-US" w:eastAsia="zh-CN"/>
              </w:rPr>
              <w:t>26</w:t>
            </w:r>
          </w:p>
        </w:tc>
        <w:tc>
          <w:tcPr>
            <w:tcW w:w="13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8" w:type="dxa"/>
            <w:vAlign w:val="center"/>
          </w:tcPr>
          <w:p>
            <w:pPr>
              <w:pStyle w:val="100"/>
              <w:widowControl w:val="0"/>
              <w:bidi w:val="0"/>
              <w:adjustRightInd w:val="0"/>
              <w:snapToGrid w:val="0"/>
            </w:pPr>
            <w:r>
              <w:t>4</w:t>
            </w:r>
          </w:p>
        </w:tc>
        <w:tc>
          <w:tcPr>
            <w:tcW w:w="703" w:type="dxa"/>
            <w:vAlign w:val="center"/>
          </w:tcPr>
          <w:p>
            <w:pPr>
              <w:pStyle w:val="100"/>
              <w:widowControl w:val="0"/>
              <w:bidi w:val="0"/>
              <w:adjustRightInd w:val="0"/>
              <w:snapToGrid w:val="0"/>
            </w:pPr>
            <w:r>
              <w:t>D4</w:t>
            </w:r>
          </w:p>
        </w:tc>
        <w:tc>
          <w:tcPr>
            <w:tcW w:w="1182" w:type="dxa"/>
            <w:vAlign w:val="center"/>
          </w:tcPr>
          <w:p>
            <w:pPr>
              <w:pStyle w:val="100"/>
              <w:widowControl w:val="0"/>
              <w:bidi w:val="0"/>
              <w:adjustRightInd w:val="0"/>
              <w:snapToGrid w:val="0"/>
            </w:pPr>
            <w:r>
              <w:rPr>
                <w:rFonts w:hint="eastAsia"/>
              </w:rPr>
              <w:t>31.169840</w:t>
            </w:r>
          </w:p>
        </w:tc>
        <w:tc>
          <w:tcPr>
            <w:tcW w:w="1296" w:type="dxa"/>
            <w:vAlign w:val="center"/>
          </w:tcPr>
          <w:p>
            <w:pPr>
              <w:pStyle w:val="100"/>
              <w:widowControl w:val="0"/>
              <w:bidi w:val="0"/>
              <w:adjustRightInd w:val="0"/>
              <w:snapToGrid w:val="0"/>
            </w:pPr>
            <w:r>
              <w:rPr>
                <w:rFonts w:hint="eastAsia"/>
              </w:rPr>
              <w:t>120.689093</w:t>
            </w:r>
          </w:p>
        </w:tc>
        <w:tc>
          <w:tcPr>
            <w:tcW w:w="1071" w:type="dxa"/>
            <w:vAlign w:val="center"/>
          </w:tcPr>
          <w:p>
            <w:pPr>
              <w:pStyle w:val="100"/>
              <w:widowControl w:val="0"/>
              <w:bidi w:val="0"/>
              <w:adjustRightInd w:val="0"/>
              <w:snapToGrid w:val="0"/>
              <w:rPr>
                <w:rFonts w:hint="default"/>
                <w:lang w:val="en-US" w:eastAsia="zh-CN"/>
              </w:rPr>
            </w:pPr>
            <w:r>
              <w:t>3.</w:t>
            </w:r>
            <w:r>
              <w:rPr>
                <w:rFonts w:hint="eastAsia"/>
                <w:lang w:val="en-US" w:eastAsia="zh-CN"/>
              </w:rPr>
              <w:t>165</w:t>
            </w:r>
          </w:p>
        </w:tc>
        <w:tc>
          <w:tcPr>
            <w:tcW w:w="992" w:type="dxa"/>
            <w:vAlign w:val="center"/>
          </w:tcPr>
          <w:p>
            <w:pPr>
              <w:pStyle w:val="100"/>
              <w:widowControl w:val="0"/>
              <w:bidi w:val="0"/>
              <w:adjustRightInd w:val="0"/>
              <w:snapToGrid w:val="0"/>
            </w:pPr>
            <w:r>
              <w:t>1.927</w:t>
            </w:r>
          </w:p>
        </w:tc>
        <w:tc>
          <w:tcPr>
            <w:tcW w:w="1134" w:type="dxa"/>
            <w:vAlign w:val="center"/>
          </w:tcPr>
          <w:p>
            <w:pPr>
              <w:pStyle w:val="100"/>
              <w:widowControl w:val="0"/>
              <w:bidi w:val="0"/>
              <w:adjustRightInd w:val="0"/>
              <w:snapToGrid w:val="0"/>
              <w:rPr>
                <w:rFonts w:hint="default"/>
                <w:lang w:val="en-US" w:eastAsia="zh-CN"/>
              </w:rPr>
            </w:pPr>
            <w:r>
              <w:t>1.</w:t>
            </w:r>
            <w:r>
              <w:rPr>
                <w:rFonts w:hint="eastAsia"/>
                <w:lang w:val="en-US" w:eastAsia="zh-CN"/>
              </w:rPr>
              <w:t>21</w:t>
            </w:r>
          </w:p>
        </w:tc>
        <w:tc>
          <w:tcPr>
            <w:tcW w:w="13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8" w:type="dxa"/>
            <w:vAlign w:val="center"/>
          </w:tcPr>
          <w:p>
            <w:pPr>
              <w:pStyle w:val="100"/>
              <w:widowControl w:val="0"/>
              <w:bidi w:val="0"/>
              <w:adjustRightInd w:val="0"/>
              <w:snapToGrid w:val="0"/>
            </w:pPr>
            <w:r>
              <w:t>5</w:t>
            </w:r>
          </w:p>
        </w:tc>
        <w:tc>
          <w:tcPr>
            <w:tcW w:w="703" w:type="dxa"/>
            <w:vAlign w:val="center"/>
          </w:tcPr>
          <w:p>
            <w:pPr>
              <w:pStyle w:val="100"/>
              <w:widowControl w:val="0"/>
              <w:bidi w:val="0"/>
              <w:adjustRightInd w:val="0"/>
              <w:snapToGrid w:val="0"/>
            </w:pPr>
            <w:r>
              <w:t>D5</w:t>
            </w:r>
          </w:p>
        </w:tc>
        <w:tc>
          <w:tcPr>
            <w:tcW w:w="1182" w:type="dxa"/>
            <w:vAlign w:val="center"/>
          </w:tcPr>
          <w:p>
            <w:pPr>
              <w:pStyle w:val="100"/>
              <w:widowControl w:val="0"/>
              <w:bidi w:val="0"/>
              <w:adjustRightInd w:val="0"/>
              <w:snapToGrid w:val="0"/>
            </w:pPr>
            <w:r>
              <w:rPr>
                <w:rFonts w:hint="eastAsia"/>
              </w:rPr>
              <w:t>31.170892</w:t>
            </w:r>
          </w:p>
        </w:tc>
        <w:tc>
          <w:tcPr>
            <w:tcW w:w="1296" w:type="dxa"/>
            <w:vAlign w:val="center"/>
          </w:tcPr>
          <w:p>
            <w:pPr>
              <w:pStyle w:val="100"/>
              <w:widowControl w:val="0"/>
              <w:bidi w:val="0"/>
              <w:adjustRightInd w:val="0"/>
              <w:snapToGrid w:val="0"/>
            </w:pPr>
            <w:r>
              <w:rPr>
                <w:rFonts w:hint="eastAsia"/>
              </w:rPr>
              <w:t>120.681815</w:t>
            </w:r>
          </w:p>
        </w:tc>
        <w:tc>
          <w:tcPr>
            <w:tcW w:w="1071" w:type="dxa"/>
            <w:vAlign w:val="center"/>
          </w:tcPr>
          <w:p>
            <w:pPr>
              <w:pStyle w:val="100"/>
              <w:widowControl w:val="0"/>
              <w:bidi w:val="0"/>
              <w:adjustRightInd w:val="0"/>
              <w:snapToGrid w:val="0"/>
              <w:rPr>
                <w:rFonts w:hint="default"/>
                <w:lang w:val="en-US" w:eastAsia="zh-CN"/>
              </w:rPr>
            </w:pPr>
            <w:r>
              <w:rPr>
                <w:rFonts w:hint="eastAsia"/>
                <w:lang w:val="en-US" w:eastAsia="zh-CN"/>
              </w:rPr>
              <w:t>2.778</w:t>
            </w:r>
          </w:p>
        </w:tc>
        <w:tc>
          <w:tcPr>
            <w:tcW w:w="992" w:type="dxa"/>
            <w:vAlign w:val="center"/>
          </w:tcPr>
          <w:p>
            <w:pPr>
              <w:pStyle w:val="100"/>
              <w:widowControl w:val="0"/>
              <w:bidi w:val="0"/>
              <w:adjustRightInd w:val="0"/>
              <w:snapToGrid w:val="0"/>
            </w:pPr>
            <w:r>
              <w:t>1.933</w:t>
            </w:r>
          </w:p>
        </w:tc>
        <w:tc>
          <w:tcPr>
            <w:tcW w:w="1134" w:type="dxa"/>
            <w:vAlign w:val="center"/>
          </w:tcPr>
          <w:p>
            <w:pPr>
              <w:pStyle w:val="100"/>
              <w:widowControl w:val="0"/>
              <w:bidi w:val="0"/>
              <w:adjustRightInd w:val="0"/>
              <w:snapToGrid w:val="0"/>
              <w:rPr>
                <w:rFonts w:hint="default"/>
                <w:lang w:val="en-US" w:eastAsia="zh-CN"/>
              </w:rPr>
            </w:pPr>
            <w:r>
              <w:t>1.</w:t>
            </w:r>
            <w:r>
              <w:rPr>
                <w:rFonts w:hint="eastAsia"/>
                <w:lang w:val="en-US" w:eastAsia="zh-CN"/>
              </w:rPr>
              <w:t>35</w:t>
            </w:r>
          </w:p>
        </w:tc>
        <w:tc>
          <w:tcPr>
            <w:tcW w:w="13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8" w:type="dxa"/>
            <w:vAlign w:val="center"/>
          </w:tcPr>
          <w:p>
            <w:pPr>
              <w:pStyle w:val="100"/>
              <w:widowControl w:val="0"/>
              <w:bidi w:val="0"/>
              <w:adjustRightInd w:val="0"/>
              <w:snapToGrid w:val="0"/>
            </w:pPr>
            <w:r>
              <w:t>6</w:t>
            </w:r>
          </w:p>
        </w:tc>
        <w:tc>
          <w:tcPr>
            <w:tcW w:w="703" w:type="dxa"/>
            <w:vAlign w:val="center"/>
          </w:tcPr>
          <w:p>
            <w:pPr>
              <w:pStyle w:val="100"/>
              <w:widowControl w:val="0"/>
              <w:bidi w:val="0"/>
              <w:adjustRightInd w:val="0"/>
              <w:snapToGrid w:val="0"/>
            </w:pPr>
            <w:r>
              <w:t>D6</w:t>
            </w:r>
          </w:p>
        </w:tc>
        <w:tc>
          <w:tcPr>
            <w:tcW w:w="1182" w:type="dxa"/>
            <w:vAlign w:val="center"/>
          </w:tcPr>
          <w:p>
            <w:pPr>
              <w:pStyle w:val="100"/>
              <w:widowControl w:val="0"/>
              <w:bidi w:val="0"/>
              <w:adjustRightInd w:val="0"/>
              <w:snapToGrid w:val="0"/>
            </w:pPr>
            <w:r>
              <w:rPr>
                <w:rFonts w:hint="eastAsia"/>
              </w:rPr>
              <w:t>31.179524</w:t>
            </w:r>
          </w:p>
        </w:tc>
        <w:tc>
          <w:tcPr>
            <w:tcW w:w="1296" w:type="dxa"/>
            <w:vAlign w:val="center"/>
          </w:tcPr>
          <w:p>
            <w:pPr>
              <w:pStyle w:val="100"/>
              <w:widowControl w:val="0"/>
              <w:bidi w:val="0"/>
              <w:adjustRightInd w:val="0"/>
              <w:snapToGrid w:val="0"/>
            </w:pPr>
            <w:r>
              <w:rPr>
                <w:rFonts w:hint="eastAsia"/>
              </w:rPr>
              <w:t>120.691475</w:t>
            </w:r>
          </w:p>
        </w:tc>
        <w:tc>
          <w:tcPr>
            <w:tcW w:w="1071" w:type="dxa"/>
            <w:vAlign w:val="center"/>
          </w:tcPr>
          <w:p>
            <w:pPr>
              <w:pStyle w:val="100"/>
              <w:widowControl w:val="0"/>
              <w:bidi w:val="0"/>
              <w:adjustRightInd w:val="0"/>
              <w:snapToGrid w:val="0"/>
              <w:rPr>
                <w:rFonts w:hint="default"/>
                <w:lang w:val="en-US" w:eastAsia="zh-CN"/>
              </w:rPr>
            </w:pPr>
            <w:r>
              <w:rPr>
                <w:rFonts w:hint="eastAsia"/>
                <w:lang w:val="en-US" w:eastAsia="zh-CN"/>
              </w:rPr>
              <w:t>3.212</w:t>
            </w:r>
          </w:p>
        </w:tc>
        <w:tc>
          <w:tcPr>
            <w:tcW w:w="992" w:type="dxa"/>
            <w:vAlign w:val="center"/>
          </w:tcPr>
          <w:p>
            <w:pPr>
              <w:pStyle w:val="100"/>
              <w:widowControl w:val="0"/>
              <w:bidi w:val="0"/>
              <w:adjustRightInd w:val="0"/>
              <w:snapToGrid w:val="0"/>
            </w:pPr>
            <w:r>
              <w:t>2.538</w:t>
            </w:r>
          </w:p>
        </w:tc>
        <w:tc>
          <w:tcPr>
            <w:tcW w:w="1134" w:type="dxa"/>
            <w:vAlign w:val="center"/>
          </w:tcPr>
          <w:p>
            <w:pPr>
              <w:pStyle w:val="100"/>
              <w:widowControl w:val="0"/>
              <w:bidi w:val="0"/>
              <w:adjustRightInd w:val="0"/>
              <w:snapToGrid w:val="0"/>
              <w:rPr>
                <w:rFonts w:hint="default"/>
                <w:lang w:val="en-US" w:eastAsia="zh-CN"/>
              </w:rPr>
            </w:pPr>
            <w:r>
              <w:t>1.</w:t>
            </w:r>
            <w:r>
              <w:rPr>
                <w:rFonts w:hint="eastAsia"/>
                <w:lang w:val="en-US" w:eastAsia="zh-CN"/>
              </w:rPr>
              <w:t>00</w:t>
            </w:r>
          </w:p>
        </w:tc>
        <w:tc>
          <w:tcPr>
            <w:tcW w:w="1379" w:type="dxa"/>
            <w:vMerge w:val="continue"/>
            <w:vAlign w:val="center"/>
          </w:tcPr>
          <w:p>
            <w:pPr>
              <w:pStyle w:val="100"/>
              <w:widowControl w:val="0"/>
              <w:bidi w:val="0"/>
              <w:adjustRightInd w:val="0"/>
              <w:snapToGrid w:val="0"/>
            </w:pPr>
          </w:p>
        </w:tc>
      </w:tr>
    </w:tbl>
    <w:p>
      <w:pPr>
        <w:pStyle w:val="105"/>
        <w:rPr>
          <w:rFonts w:eastAsia="Times New Roman"/>
        </w:rPr>
      </w:pPr>
      <w:r>
        <w:t>地下水质量现状监测</w:t>
      </w:r>
    </w:p>
    <w:p>
      <w:pPr>
        <w:pStyle w:val="103"/>
        <w:bidi w:val="0"/>
      </w:pPr>
      <w:r>
        <w:rPr>
          <w:rFonts w:hint="eastAsia"/>
        </w:rPr>
        <w:t>（</w:t>
      </w:r>
      <w:r>
        <w:t>1）监测因子：</w:t>
      </w:r>
      <w:r>
        <w:rPr>
          <w:rFonts w:hint="eastAsia"/>
        </w:rPr>
        <w:t>钠离子、钾离子、镁离子、钙离子、碳酸根离子、碳酸氢根离子、氯离子、硫酸根离子、PH值、氨氮、溶解性总固体，记录水位、井深、采样深度、水温、水流量等水文参数。</w:t>
      </w:r>
    </w:p>
    <w:p>
      <w:pPr>
        <w:pStyle w:val="103"/>
        <w:bidi w:val="0"/>
      </w:pPr>
      <w:r>
        <w:t>（2）监测点布设：共布设</w:t>
      </w:r>
      <w:r>
        <w:rPr>
          <w:rFonts w:hint="eastAsia"/>
        </w:rPr>
        <w:t>3</w:t>
      </w:r>
      <w:r>
        <w:t>个地下水水质监测点及</w:t>
      </w:r>
      <w:r>
        <w:rPr>
          <w:rFonts w:hint="eastAsia"/>
        </w:rPr>
        <w:t>3</w:t>
      </w:r>
      <w:r>
        <w:t>个水位监测点，具体见表</w:t>
      </w:r>
      <w:r>
        <w:rPr>
          <w:rFonts w:hint="eastAsia"/>
        </w:rPr>
        <w:t>3-3</w:t>
      </w:r>
      <w:r>
        <w:t>。</w:t>
      </w:r>
    </w:p>
    <w:p>
      <w:pPr>
        <w:pStyle w:val="103"/>
        <w:bidi w:val="0"/>
      </w:pPr>
      <w:r>
        <w:t>（3）监测时间：由</w:t>
      </w:r>
      <w:r>
        <w:rPr>
          <w:rFonts w:hint="eastAsia"/>
          <w:lang w:val="en-US" w:eastAsia="zh-CN"/>
        </w:rPr>
        <w:t>苏州昌禾环境检测有限公司</w:t>
      </w:r>
      <w:r>
        <w:t>实测，监测时间为20</w:t>
      </w:r>
      <w:r>
        <w:rPr>
          <w:rFonts w:hint="eastAsia"/>
        </w:rPr>
        <w:t>20</w:t>
      </w:r>
      <w:r>
        <w:t>.</w:t>
      </w:r>
      <w:r>
        <w:rPr>
          <w:rFonts w:hint="eastAsia"/>
          <w:lang w:val="en-US" w:eastAsia="zh-CN"/>
        </w:rPr>
        <w:t>12.15</w:t>
      </w:r>
      <w:r>
        <w:rPr>
          <w:rFonts w:hint="eastAsia"/>
          <w:lang w:eastAsia="zh-CN"/>
        </w:rPr>
        <w:t>。</w:t>
      </w:r>
      <w:r>
        <w:rPr>
          <w:rFonts w:hint="eastAsia"/>
        </w:rPr>
        <w:t>监测频次一次</w:t>
      </w:r>
      <w:r>
        <w:t>。</w:t>
      </w:r>
    </w:p>
    <w:p>
      <w:pPr>
        <w:pStyle w:val="273"/>
        <w:bidi w:val="0"/>
        <w:rPr>
          <w:rFonts w:hint="eastAsia"/>
        </w:rPr>
      </w:pPr>
      <w:r>
        <w:rPr>
          <w:rFonts w:hint="eastAsia"/>
        </w:rPr>
        <w:t>表</w:t>
      </w:r>
      <w:r>
        <w:rPr>
          <w:rFonts w:hint="eastAsia"/>
          <w:lang w:val="en-US" w:eastAsia="zh-CN"/>
        </w:rPr>
        <w:t>3-3</w:t>
      </w:r>
      <w:r>
        <w:rPr>
          <w:rFonts w:hint="eastAsia"/>
        </w:rPr>
        <w:t xml:space="preserve">  地下水环境现状监测点位</w:t>
      </w:r>
    </w:p>
    <w:tbl>
      <w:tblPr>
        <w:tblStyle w:val="260"/>
        <w:tblW w:w="85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829"/>
        <w:gridCol w:w="45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165" w:type="dxa"/>
            <w:vAlign w:val="center"/>
          </w:tcPr>
          <w:p>
            <w:pPr>
              <w:pStyle w:val="100"/>
              <w:widowControl w:val="0"/>
              <w:bidi w:val="0"/>
              <w:adjustRightInd w:val="0"/>
              <w:snapToGrid w:val="0"/>
            </w:pPr>
            <w:r>
              <w:rPr>
                <w:rFonts w:hint="eastAsia"/>
              </w:rPr>
              <w:t>编号</w:t>
            </w:r>
          </w:p>
        </w:tc>
        <w:tc>
          <w:tcPr>
            <w:tcW w:w="2829" w:type="dxa"/>
            <w:vAlign w:val="center"/>
          </w:tcPr>
          <w:p>
            <w:pPr>
              <w:pStyle w:val="100"/>
              <w:widowControl w:val="0"/>
              <w:bidi w:val="0"/>
              <w:adjustRightInd w:val="0"/>
              <w:snapToGrid w:val="0"/>
            </w:pPr>
            <w:r>
              <w:rPr>
                <w:rFonts w:hint="eastAsia"/>
              </w:rPr>
              <w:t>监测点布设位置</w:t>
            </w:r>
          </w:p>
        </w:tc>
        <w:tc>
          <w:tcPr>
            <w:tcW w:w="4539" w:type="dxa"/>
            <w:vAlign w:val="center"/>
          </w:tcPr>
          <w:p>
            <w:pPr>
              <w:pStyle w:val="100"/>
              <w:widowControl w:val="0"/>
              <w:bidi w:val="0"/>
              <w:adjustRightInd w:val="0"/>
              <w:snapToGrid w:val="0"/>
            </w:pPr>
            <w:r>
              <w:rPr>
                <w:rFonts w:hint="eastAsia"/>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5" w:type="dxa"/>
            <w:vAlign w:val="center"/>
          </w:tcPr>
          <w:p>
            <w:pPr>
              <w:pStyle w:val="100"/>
              <w:widowControl w:val="0"/>
              <w:bidi w:val="0"/>
              <w:adjustRightInd w:val="0"/>
              <w:snapToGrid w:val="0"/>
            </w:pPr>
            <w:r>
              <w:t>D1</w:t>
            </w:r>
          </w:p>
        </w:tc>
        <w:tc>
          <w:tcPr>
            <w:tcW w:w="2829" w:type="dxa"/>
            <w:vAlign w:val="center"/>
          </w:tcPr>
          <w:p>
            <w:pPr>
              <w:pStyle w:val="100"/>
              <w:widowControl w:val="0"/>
              <w:bidi w:val="0"/>
              <w:adjustRightInd w:val="0"/>
              <w:snapToGrid w:val="0"/>
            </w:pPr>
            <w:r>
              <w:rPr>
                <w:rFonts w:hint="eastAsia"/>
              </w:rPr>
              <w:t>项目所在地</w:t>
            </w:r>
          </w:p>
        </w:tc>
        <w:tc>
          <w:tcPr>
            <w:tcW w:w="4539" w:type="dxa"/>
            <w:vMerge w:val="restart"/>
            <w:vAlign w:val="center"/>
          </w:tcPr>
          <w:p>
            <w:pPr>
              <w:pStyle w:val="100"/>
              <w:widowControl w:val="0"/>
              <w:bidi w:val="0"/>
              <w:adjustRightInd w:val="0"/>
              <w:snapToGrid w:val="0"/>
            </w:pPr>
            <w:r>
              <w:rPr>
                <w:rFonts w:hint="eastAsia"/>
              </w:rPr>
              <w:t>钠离子、钾离子、镁离子、钙离子、碳酸根离子、碳酸氢根离子、氯离子、硫酸根离子、PH值、氨氮、溶解性总固体，记录水位、井深、采样深度、水温、水流量等水文参数。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5" w:type="dxa"/>
            <w:vAlign w:val="center"/>
          </w:tcPr>
          <w:p>
            <w:pPr>
              <w:pStyle w:val="100"/>
              <w:widowControl w:val="0"/>
              <w:bidi w:val="0"/>
              <w:adjustRightInd w:val="0"/>
              <w:snapToGrid w:val="0"/>
            </w:pPr>
            <w:r>
              <w:t>D2</w:t>
            </w:r>
          </w:p>
        </w:tc>
        <w:tc>
          <w:tcPr>
            <w:tcW w:w="2829" w:type="dxa"/>
            <w:vAlign w:val="center"/>
          </w:tcPr>
          <w:p>
            <w:pPr>
              <w:pStyle w:val="100"/>
              <w:widowControl w:val="0"/>
              <w:bidi w:val="0"/>
              <w:adjustRightInd w:val="0"/>
              <w:snapToGrid w:val="0"/>
            </w:pPr>
            <w:r>
              <w:rPr>
                <w:rFonts w:hint="eastAsia"/>
              </w:rPr>
              <w:t>相对本项目东侧600m</w:t>
            </w:r>
          </w:p>
        </w:tc>
        <w:tc>
          <w:tcPr>
            <w:tcW w:w="453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5" w:type="dxa"/>
            <w:vAlign w:val="center"/>
          </w:tcPr>
          <w:p>
            <w:pPr>
              <w:pStyle w:val="100"/>
              <w:widowControl w:val="0"/>
              <w:bidi w:val="0"/>
              <w:adjustRightInd w:val="0"/>
              <w:snapToGrid w:val="0"/>
            </w:pPr>
            <w:r>
              <w:t>D3</w:t>
            </w:r>
          </w:p>
        </w:tc>
        <w:tc>
          <w:tcPr>
            <w:tcW w:w="2829" w:type="dxa"/>
            <w:vAlign w:val="center"/>
          </w:tcPr>
          <w:p>
            <w:pPr>
              <w:pStyle w:val="100"/>
              <w:widowControl w:val="0"/>
              <w:bidi w:val="0"/>
              <w:adjustRightInd w:val="0"/>
              <w:snapToGrid w:val="0"/>
            </w:pPr>
            <w:r>
              <w:rPr>
                <w:rFonts w:hint="eastAsia"/>
              </w:rPr>
              <w:t>相对本项目南侧581m</w:t>
            </w:r>
          </w:p>
        </w:tc>
        <w:tc>
          <w:tcPr>
            <w:tcW w:w="453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165" w:type="dxa"/>
            <w:vAlign w:val="center"/>
          </w:tcPr>
          <w:p>
            <w:pPr>
              <w:pStyle w:val="100"/>
              <w:widowControl w:val="0"/>
              <w:bidi w:val="0"/>
              <w:adjustRightInd w:val="0"/>
              <w:snapToGrid w:val="0"/>
            </w:pPr>
            <w:r>
              <w:t>D4</w:t>
            </w:r>
          </w:p>
        </w:tc>
        <w:tc>
          <w:tcPr>
            <w:tcW w:w="2829" w:type="dxa"/>
            <w:vAlign w:val="center"/>
          </w:tcPr>
          <w:p>
            <w:pPr>
              <w:pStyle w:val="100"/>
              <w:widowControl w:val="0"/>
              <w:bidi w:val="0"/>
              <w:adjustRightInd w:val="0"/>
              <w:snapToGrid w:val="0"/>
            </w:pPr>
            <w:r>
              <w:t>相对本项目</w:t>
            </w:r>
            <w:r>
              <w:rPr>
                <w:rFonts w:hint="eastAsia"/>
              </w:rPr>
              <w:t>西南</w:t>
            </w:r>
            <w:r>
              <w:t>侧</w:t>
            </w:r>
            <w:r>
              <w:rPr>
                <w:rFonts w:hint="eastAsia"/>
              </w:rPr>
              <w:t>832</w:t>
            </w:r>
            <w:r>
              <w:t>m</w:t>
            </w:r>
          </w:p>
        </w:tc>
        <w:tc>
          <w:tcPr>
            <w:tcW w:w="4539" w:type="dxa"/>
            <w:vMerge w:val="restart"/>
            <w:vAlign w:val="center"/>
          </w:tcPr>
          <w:p>
            <w:pPr>
              <w:pStyle w:val="100"/>
              <w:widowControl w:val="0"/>
              <w:bidi w:val="0"/>
              <w:adjustRightInd w:val="0"/>
              <w:snapToGrid w:val="0"/>
            </w:pPr>
            <w:r>
              <w:rPr>
                <w:rFonts w:hint="eastAsia"/>
              </w:rPr>
              <w:t>记录水位、井深、采样深度、水温、水流量等水文参数。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65" w:type="dxa"/>
            <w:vAlign w:val="center"/>
          </w:tcPr>
          <w:p>
            <w:pPr>
              <w:pStyle w:val="100"/>
              <w:widowControl w:val="0"/>
              <w:bidi w:val="0"/>
              <w:adjustRightInd w:val="0"/>
              <w:snapToGrid w:val="0"/>
            </w:pPr>
            <w:r>
              <w:t>D5</w:t>
            </w:r>
          </w:p>
        </w:tc>
        <w:tc>
          <w:tcPr>
            <w:tcW w:w="2829" w:type="dxa"/>
            <w:vAlign w:val="center"/>
          </w:tcPr>
          <w:p>
            <w:pPr>
              <w:pStyle w:val="100"/>
              <w:widowControl w:val="0"/>
              <w:bidi w:val="0"/>
              <w:adjustRightInd w:val="0"/>
              <w:snapToGrid w:val="0"/>
            </w:pPr>
            <w:r>
              <w:t>相对本项目西</w:t>
            </w:r>
            <w:r>
              <w:rPr>
                <w:rFonts w:hint="eastAsia"/>
              </w:rPr>
              <w:t>北</w:t>
            </w:r>
            <w:r>
              <w:t>侧1</w:t>
            </w:r>
            <w:r>
              <w:rPr>
                <w:rFonts w:hint="eastAsia"/>
              </w:rPr>
              <w:t>100</w:t>
            </w:r>
            <w:r>
              <w:t>m</w:t>
            </w:r>
          </w:p>
        </w:tc>
        <w:tc>
          <w:tcPr>
            <w:tcW w:w="453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65" w:type="dxa"/>
            <w:vAlign w:val="center"/>
          </w:tcPr>
          <w:p>
            <w:pPr>
              <w:pStyle w:val="100"/>
              <w:widowControl w:val="0"/>
              <w:bidi w:val="0"/>
              <w:adjustRightInd w:val="0"/>
              <w:snapToGrid w:val="0"/>
            </w:pPr>
            <w:r>
              <w:rPr>
                <w:rFonts w:hint="eastAsia"/>
              </w:rPr>
              <w:t>D6</w:t>
            </w:r>
          </w:p>
        </w:tc>
        <w:tc>
          <w:tcPr>
            <w:tcW w:w="2829" w:type="dxa"/>
            <w:vAlign w:val="center"/>
          </w:tcPr>
          <w:p>
            <w:pPr>
              <w:pStyle w:val="100"/>
              <w:widowControl w:val="0"/>
              <w:bidi w:val="0"/>
              <w:adjustRightInd w:val="0"/>
              <w:snapToGrid w:val="0"/>
            </w:pPr>
            <w:r>
              <w:t>相对本项目西</w:t>
            </w:r>
            <w:r>
              <w:rPr>
                <w:rFonts w:hint="eastAsia"/>
              </w:rPr>
              <w:t>北</w:t>
            </w:r>
            <w:r>
              <w:t>侧</w:t>
            </w:r>
            <w:r>
              <w:rPr>
                <w:rFonts w:hint="eastAsia"/>
              </w:rPr>
              <w:t>633</w:t>
            </w:r>
            <w:r>
              <w:t>m</w:t>
            </w:r>
          </w:p>
        </w:tc>
        <w:tc>
          <w:tcPr>
            <w:tcW w:w="4539" w:type="dxa"/>
            <w:vMerge w:val="continue"/>
            <w:vAlign w:val="center"/>
          </w:tcPr>
          <w:p>
            <w:pPr>
              <w:pStyle w:val="100"/>
              <w:widowControl w:val="0"/>
              <w:bidi w:val="0"/>
              <w:adjustRightInd w:val="0"/>
              <w:snapToGrid w:val="0"/>
            </w:pPr>
          </w:p>
        </w:tc>
      </w:tr>
    </w:tbl>
    <w:p>
      <w:pPr>
        <w:pStyle w:val="103"/>
      </w:pPr>
      <w:r>
        <w:t>（4）监测结果</w:t>
      </w:r>
    </w:p>
    <w:p>
      <w:pPr>
        <w:pStyle w:val="103"/>
        <w:bidi w:val="0"/>
      </w:pPr>
      <w:r>
        <w:t>本次地下水环境质量现状监测结果详见表</w:t>
      </w:r>
      <w:r>
        <w:rPr>
          <w:rFonts w:hint="eastAsia"/>
          <w:lang w:val="en-US" w:eastAsia="zh-CN"/>
        </w:rPr>
        <w:t>3-4</w:t>
      </w:r>
      <w:r>
        <w:t>。</w:t>
      </w:r>
    </w:p>
    <w:p>
      <w:pPr>
        <w:pStyle w:val="273"/>
        <w:bidi w:val="0"/>
        <w:rPr>
          <w:rFonts w:hint="eastAsia"/>
        </w:rPr>
      </w:pPr>
      <w:r>
        <w:rPr>
          <w:rFonts w:hint="eastAsia"/>
        </w:rPr>
        <w:t>表</w:t>
      </w:r>
      <w:r>
        <w:rPr>
          <w:rFonts w:hint="eastAsia"/>
          <w:lang w:val="en-US" w:eastAsia="zh-CN"/>
        </w:rPr>
        <w:t>3-4</w:t>
      </w:r>
      <w:r>
        <w:rPr>
          <w:rFonts w:hint="eastAsia"/>
        </w:rPr>
        <w:t xml:space="preserve">  地下水环境质量现状监测及评价结果    单位mg/L</w:t>
      </w:r>
    </w:p>
    <w:tbl>
      <w:tblPr>
        <w:tblStyle w:val="26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304"/>
        <w:gridCol w:w="1157"/>
        <w:gridCol w:w="1304"/>
        <w:gridCol w:w="1158"/>
        <w:gridCol w:w="1304"/>
        <w:gridCol w:w="11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60" w:hRule="atLeast"/>
          <w:jc w:val="center"/>
        </w:trPr>
        <w:tc>
          <w:tcPr>
            <w:tcW w:w="1119" w:type="dxa"/>
            <w:vMerge w:val="restart"/>
            <w:shd w:val="clear" w:color="auto" w:fill="auto"/>
            <w:vAlign w:val="center"/>
          </w:tcPr>
          <w:p>
            <w:pPr>
              <w:pStyle w:val="100"/>
              <w:widowControl w:val="0"/>
              <w:bidi w:val="0"/>
              <w:adjustRightInd w:val="0"/>
              <w:snapToGrid w:val="0"/>
            </w:pPr>
            <w:r>
              <w:rPr>
                <w:rFonts w:hint="eastAsia"/>
              </w:rPr>
              <w:t>编号</w:t>
            </w:r>
          </w:p>
        </w:tc>
        <w:tc>
          <w:tcPr>
            <w:tcW w:w="2461" w:type="dxa"/>
            <w:gridSpan w:val="2"/>
            <w:shd w:val="clear" w:color="auto" w:fill="auto"/>
            <w:vAlign w:val="center"/>
          </w:tcPr>
          <w:p>
            <w:pPr>
              <w:pStyle w:val="100"/>
              <w:widowControl w:val="0"/>
              <w:bidi w:val="0"/>
              <w:adjustRightInd w:val="0"/>
              <w:snapToGrid w:val="0"/>
            </w:pPr>
            <w:r>
              <w:rPr>
                <w:rFonts w:hint="eastAsia"/>
              </w:rPr>
              <w:t>D1</w:t>
            </w:r>
          </w:p>
        </w:tc>
        <w:tc>
          <w:tcPr>
            <w:tcW w:w="2462" w:type="dxa"/>
            <w:gridSpan w:val="2"/>
            <w:shd w:val="clear" w:color="auto" w:fill="auto"/>
            <w:vAlign w:val="center"/>
          </w:tcPr>
          <w:p>
            <w:pPr>
              <w:pStyle w:val="100"/>
              <w:widowControl w:val="0"/>
              <w:bidi w:val="0"/>
              <w:adjustRightInd w:val="0"/>
              <w:snapToGrid w:val="0"/>
            </w:pPr>
            <w:r>
              <w:rPr>
                <w:rFonts w:hint="eastAsia"/>
              </w:rPr>
              <w:t>D2</w:t>
            </w:r>
          </w:p>
        </w:tc>
        <w:tc>
          <w:tcPr>
            <w:tcW w:w="2462" w:type="dxa"/>
            <w:gridSpan w:val="2"/>
            <w:shd w:val="clear" w:color="auto" w:fill="auto"/>
            <w:vAlign w:val="center"/>
          </w:tcPr>
          <w:p>
            <w:pPr>
              <w:pStyle w:val="100"/>
              <w:widowControl w:val="0"/>
              <w:bidi w:val="0"/>
              <w:adjustRightInd w:val="0"/>
              <w:snapToGrid w:val="0"/>
            </w:pPr>
            <w:r>
              <w:rPr>
                <w:rFonts w:hint="eastAsia"/>
              </w:rPr>
              <w:t>D3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Merge w:val="continue"/>
            <w:shd w:val="clear" w:color="auto" w:fill="auto"/>
            <w:vAlign w:val="center"/>
          </w:tcPr>
          <w:p>
            <w:pPr>
              <w:pStyle w:val="100"/>
              <w:widowControl w:val="0"/>
              <w:bidi w:val="0"/>
              <w:adjustRightInd w:val="0"/>
              <w:snapToGrid w:val="0"/>
            </w:pPr>
          </w:p>
        </w:tc>
        <w:tc>
          <w:tcPr>
            <w:tcW w:w="1304" w:type="dxa"/>
            <w:shd w:val="clear" w:color="auto" w:fill="auto"/>
            <w:vAlign w:val="center"/>
          </w:tcPr>
          <w:p>
            <w:pPr>
              <w:pStyle w:val="100"/>
              <w:widowControl w:val="0"/>
              <w:bidi w:val="0"/>
              <w:adjustRightInd w:val="0"/>
              <w:snapToGrid w:val="0"/>
            </w:pPr>
            <w:r>
              <w:rPr>
                <w:rFonts w:hint="eastAsia"/>
              </w:rPr>
              <w:t>监测值</w:t>
            </w:r>
          </w:p>
        </w:tc>
        <w:tc>
          <w:tcPr>
            <w:tcW w:w="1157" w:type="dxa"/>
            <w:shd w:val="clear" w:color="auto" w:fill="auto"/>
            <w:vAlign w:val="center"/>
          </w:tcPr>
          <w:p>
            <w:pPr>
              <w:pStyle w:val="100"/>
              <w:widowControl w:val="0"/>
              <w:bidi w:val="0"/>
              <w:adjustRightInd w:val="0"/>
              <w:snapToGrid w:val="0"/>
            </w:pPr>
            <w:r>
              <w:rPr>
                <w:rFonts w:hint="eastAsia"/>
              </w:rPr>
              <w:t>水质分类</w:t>
            </w:r>
          </w:p>
        </w:tc>
        <w:tc>
          <w:tcPr>
            <w:tcW w:w="1304" w:type="dxa"/>
            <w:shd w:val="clear" w:color="auto" w:fill="auto"/>
            <w:vAlign w:val="center"/>
          </w:tcPr>
          <w:p>
            <w:pPr>
              <w:pStyle w:val="100"/>
              <w:widowControl w:val="0"/>
              <w:bidi w:val="0"/>
              <w:adjustRightInd w:val="0"/>
              <w:snapToGrid w:val="0"/>
            </w:pPr>
            <w:r>
              <w:rPr>
                <w:rFonts w:hint="eastAsia"/>
              </w:rPr>
              <w:t>监测值</w:t>
            </w:r>
          </w:p>
        </w:tc>
        <w:tc>
          <w:tcPr>
            <w:tcW w:w="1158" w:type="dxa"/>
            <w:shd w:val="clear" w:color="auto" w:fill="auto"/>
            <w:vAlign w:val="center"/>
          </w:tcPr>
          <w:p>
            <w:pPr>
              <w:pStyle w:val="100"/>
              <w:widowControl w:val="0"/>
              <w:bidi w:val="0"/>
              <w:adjustRightInd w:val="0"/>
              <w:snapToGrid w:val="0"/>
            </w:pPr>
            <w:r>
              <w:rPr>
                <w:rFonts w:hint="eastAsia"/>
              </w:rPr>
              <w:t>水质分类</w:t>
            </w:r>
          </w:p>
        </w:tc>
        <w:tc>
          <w:tcPr>
            <w:tcW w:w="1304" w:type="dxa"/>
            <w:shd w:val="clear" w:color="auto" w:fill="auto"/>
            <w:vAlign w:val="center"/>
          </w:tcPr>
          <w:p>
            <w:pPr>
              <w:pStyle w:val="100"/>
              <w:widowControl w:val="0"/>
              <w:bidi w:val="0"/>
              <w:adjustRightInd w:val="0"/>
              <w:snapToGrid w:val="0"/>
            </w:pPr>
            <w:r>
              <w:rPr>
                <w:rFonts w:hint="eastAsia"/>
              </w:rPr>
              <w:t>监测值</w:t>
            </w:r>
          </w:p>
        </w:tc>
        <w:tc>
          <w:tcPr>
            <w:tcW w:w="1158" w:type="dxa"/>
            <w:shd w:val="clear" w:color="auto" w:fill="auto"/>
            <w:vAlign w:val="center"/>
          </w:tcPr>
          <w:p>
            <w:pPr>
              <w:pStyle w:val="100"/>
              <w:widowControl w:val="0"/>
              <w:bidi w:val="0"/>
              <w:adjustRightInd w:val="0"/>
              <w:snapToGrid w:val="0"/>
            </w:pPr>
            <w:r>
              <w:rPr>
                <w:rFonts w:hint="eastAsia"/>
              </w:rPr>
              <w:t>水质分类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pPr>
            <w:r>
              <w:rPr>
                <w:rFonts w:hint="eastAsia"/>
              </w:rPr>
              <w:t>PH值</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7.2</w:t>
            </w:r>
          </w:p>
        </w:tc>
        <w:tc>
          <w:tcPr>
            <w:tcW w:w="1157" w:type="dxa"/>
            <w:vAlign w:val="center"/>
          </w:tcPr>
          <w:p>
            <w:pPr>
              <w:pStyle w:val="100"/>
              <w:widowControl w:val="0"/>
              <w:bidi w:val="0"/>
              <w:adjustRightInd w:val="0"/>
              <w:snapToGrid w:val="0"/>
            </w:pPr>
            <w:r>
              <w:rPr>
                <w:rFonts w:hint="eastAsia"/>
              </w:rPr>
              <w:t>I</w:t>
            </w:r>
          </w:p>
        </w:tc>
        <w:tc>
          <w:tcPr>
            <w:tcW w:w="1304" w:type="dxa"/>
            <w:vAlign w:val="center"/>
          </w:tcPr>
          <w:p>
            <w:pPr>
              <w:pStyle w:val="100"/>
              <w:widowControl w:val="0"/>
              <w:bidi w:val="0"/>
              <w:adjustRightInd w:val="0"/>
              <w:snapToGrid w:val="0"/>
              <w:rPr>
                <w:rFonts w:hint="eastAsia"/>
                <w:lang w:val="en-US" w:eastAsia="zh-CN"/>
              </w:rPr>
            </w:pPr>
            <w:r>
              <w:rPr>
                <w:rFonts w:hint="eastAsia"/>
              </w:rPr>
              <w:t>7.</w:t>
            </w:r>
            <w:r>
              <w:rPr>
                <w:rFonts w:hint="eastAsia"/>
                <w:lang w:val="en-US" w:eastAsia="zh-CN"/>
              </w:rPr>
              <w:t>0</w:t>
            </w:r>
          </w:p>
        </w:tc>
        <w:tc>
          <w:tcPr>
            <w:tcW w:w="1158" w:type="dxa"/>
            <w:vAlign w:val="center"/>
          </w:tcPr>
          <w:p>
            <w:pPr>
              <w:pStyle w:val="100"/>
              <w:widowControl w:val="0"/>
              <w:bidi w:val="0"/>
              <w:adjustRightInd w:val="0"/>
              <w:snapToGrid w:val="0"/>
            </w:pPr>
            <w:r>
              <w:rPr>
                <w:rFonts w:hint="eastAsia"/>
              </w:rPr>
              <w:t>I</w:t>
            </w:r>
          </w:p>
        </w:tc>
        <w:tc>
          <w:tcPr>
            <w:tcW w:w="1304" w:type="dxa"/>
            <w:vAlign w:val="center"/>
          </w:tcPr>
          <w:p>
            <w:pPr>
              <w:pStyle w:val="100"/>
              <w:widowControl w:val="0"/>
              <w:bidi w:val="0"/>
              <w:adjustRightInd w:val="0"/>
              <w:snapToGrid w:val="0"/>
              <w:rPr>
                <w:rFonts w:hint="default"/>
                <w:lang w:val="en-US" w:eastAsia="zh-CN"/>
              </w:rPr>
            </w:pPr>
            <w:r>
              <w:rPr>
                <w:rFonts w:hint="eastAsia"/>
              </w:rPr>
              <w:t>7</w:t>
            </w:r>
            <w:r>
              <w:rPr>
                <w:rFonts w:hint="eastAsia"/>
                <w:lang w:val="en-US" w:eastAsia="zh-CN"/>
              </w:rPr>
              <w:t>.1</w:t>
            </w:r>
          </w:p>
        </w:tc>
        <w:tc>
          <w:tcPr>
            <w:tcW w:w="1158" w:type="dxa"/>
            <w:vAlign w:val="center"/>
          </w:tcPr>
          <w:p>
            <w:pPr>
              <w:pStyle w:val="100"/>
              <w:widowControl w:val="0"/>
              <w:bidi w:val="0"/>
              <w:adjustRightInd w:val="0"/>
              <w:snapToGrid w:val="0"/>
            </w:pPr>
            <w:r>
              <w:rPr>
                <w:rFonts w:hint="eastAsia"/>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119" w:type="dxa"/>
            <w:vAlign w:val="center"/>
          </w:tcPr>
          <w:p>
            <w:pPr>
              <w:pStyle w:val="100"/>
              <w:widowControl w:val="0"/>
              <w:bidi w:val="0"/>
              <w:adjustRightInd w:val="0"/>
              <w:snapToGrid w:val="0"/>
            </w:pPr>
            <w:r>
              <w:rPr>
                <w:rFonts w:hint="eastAsia"/>
              </w:rPr>
              <w:t>氨氮</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0.378</w:t>
            </w:r>
          </w:p>
        </w:tc>
        <w:tc>
          <w:tcPr>
            <w:tcW w:w="1157" w:type="dxa"/>
            <w:vAlign w:val="center"/>
          </w:tcPr>
          <w:p>
            <w:pPr>
              <w:pStyle w:val="100"/>
              <w:widowControl w:val="0"/>
              <w:bidi w:val="0"/>
              <w:adjustRightInd w:val="0"/>
              <w:snapToGrid w:val="0"/>
              <w:rPr>
                <w:rFonts w:hint="eastAsia"/>
                <w:lang w:val="en-US" w:eastAsia="zh-CN"/>
              </w:rPr>
            </w:pPr>
            <w:r>
              <w:rPr>
                <w:rFonts w:hint="eastAsia"/>
                <w:lang w:val="en-US" w:eastAsia="zh-CN"/>
              </w:rPr>
              <w:t>III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0.322</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III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0.286</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pPr>
            <w:r>
              <w:rPr>
                <w:rFonts w:hint="eastAsia"/>
              </w:rPr>
              <w:t>钾离子</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3.44</w:t>
            </w:r>
          </w:p>
        </w:tc>
        <w:tc>
          <w:tcPr>
            <w:tcW w:w="1157"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1.57</w:t>
            </w:r>
          </w:p>
        </w:tc>
        <w:tc>
          <w:tcPr>
            <w:tcW w:w="1158"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1.91</w:t>
            </w:r>
          </w:p>
        </w:tc>
        <w:tc>
          <w:tcPr>
            <w:tcW w:w="1158"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pPr>
            <w:r>
              <w:rPr>
                <w:rFonts w:hint="eastAsia"/>
              </w:rPr>
              <w:t>钠离子</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18.1</w:t>
            </w:r>
          </w:p>
        </w:tc>
        <w:tc>
          <w:tcPr>
            <w:tcW w:w="1157" w:type="dxa"/>
            <w:vAlign w:val="center"/>
          </w:tcPr>
          <w:p>
            <w:pPr>
              <w:pStyle w:val="100"/>
              <w:widowControl w:val="0"/>
              <w:bidi w:val="0"/>
              <w:adjustRightInd w:val="0"/>
              <w:snapToGrid w:val="0"/>
              <w:rPr>
                <w:rFonts w:hint="eastAsia"/>
                <w:lang w:val="en-US" w:eastAsia="zh-CN"/>
              </w:rPr>
            </w:pPr>
            <w:r>
              <w:rPr>
                <w:rFonts w:hint="eastAsia"/>
                <w:lang w:val="en-US" w:eastAsia="zh-CN"/>
              </w:rPr>
              <w:t>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40.7</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67.1</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pPr>
            <w:r>
              <w:rPr>
                <w:rFonts w:hint="eastAsia"/>
              </w:rPr>
              <w:t>钙离子</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49.5</w:t>
            </w:r>
          </w:p>
        </w:tc>
        <w:tc>
          <w:tcPr>
            <w:tcW w:w="1157"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rPr>
              <w:t>71</w:t>
            </w:r>
            <w:r>
              <w:rPr>
                <w:rFonts w:hint="eastAsia"/>
                <w:lang w:val="en-US" w:eastAsia="zh-CN"/>
              </w:rPr>
              <w:t>.2</w:t>
            </w:r>
          </w:p>
        </w:tc>
        <w:tc>
          <w:tcPr>
            <w:tcW w:w="1158"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30.0</w:t>
            </w:r>
          </w:p>
        </w:tc>
        <w:tc>
          <w:tcPr>
            <w:tcW w:w="1158"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pPr>
            <w:r>
              <w:rPr>
                <w:rFonts w:hint="eastAsia"/>
              </w:rPr>
              <w:t>镁离子</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6.60</w:t>
            </w:r>
          </w:p>
        </w:tc>
        <w:tc>
          <w:tcPr>
            <w:tcW w:w="1157"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17.5</w:t>
            </w:r>
          </w:p>
        </w:tc>
        <w:tc>
          <w:tcPr>
            <w:tcW w:w="1158"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22.9</w:t>
            </w:r>
          </w:p>
        </w:tc>
        <w:tc>
          <w:tcPr>
            <w:tcW w:w="1158"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rPr>
                <w:rFonts w:hint="eastAsia"/>
                <w:lang w:val="en-US" w:eastAsia="zh-CN"/>
              </w:rPr>
            </w:pPr>
            <w:r>
              <w:rPr>
                <w:rFonts w:hint="eastAsia"/>
              </w:rPr>
              <w:t>碳酸</w:t>
            </w:r>
            <w:r>
              <w:rPr>
                <w:rFonts w:hint="eastAsia"/>
                <w:lang w:val="en-US" w:eastAsia="zh-CN"/>
              </w:rPr>
              <w:t>根</w:t>
            </w:r>
          </w:p>
        </w:tc>
        <w:tc>
          <w:tcPr>
            <w:tcW w:w="1304" w:type="dxa"/>
            <w:vAlign w:val="center"/>
          </w:tcPr>
          <w:p>
            <w:pPr>
              <w:pStyle w:val="100"/>
              <w:widowControl w:val="0"/>
              <w:bidi w:val="0"/>
              <w:adjustRightInd w:val="0"/>
              <w:snapToGrid w:val="0"/>
              <w:rPr>
                <w:rFonts w:hint="eastAsia"/>
                <w:lang w:val="en-US" w:eastAsia="zh-CN"/>
              </w:rPr>
            </w:pPr>
            <w:r>
              <w:rPr>
                <w:rFonts w:hint="eastAsia"/>
                <w:lang w:val="en-US" w:eastAsia="zh-CN"/>
              </w:rPr>
              <w:t>ND</w:t>
            </w:r>
          </w:p>
        </w:tc>
        <w:tc>
          <w:tcPr>
            <w:tcW w:w="1157"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eastAsia"/>
                <w:lang w:val="en-US" w:eastAsia="zh-CN"/>
              </w:rPr>
            </w:pPr>
            <w:r>
              <w:rPr>
                <w:rFonts w:hint="eastAsia"/>
                <w:lang w:val="en-US" w:eastAsia="zh-CN"/>
              </w:rPr>
              <w:t>ND</w:t>
            </w:r>
          </w:p>
        </w:tc>
        <w:tc>
          <w:tcPr>
            <w:tcW w:w="1158"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eastAsia"/>
                <w:lang w:val="en-US" w:eastAsia="zh-CN"/>
              </w:rPr>
            </w:pPr>
            <w:r>
              <w:rPr>
                <w:rFonts w:hint="eastAsia"/>
                <w:lang w:val="en-US" w:eastAsia="zh-CN"/>
              </w:rPr>
              <w:t>ND</w:t>
            </w:r>
          </w:p>
        </w:tc>
        <w:tc>
          <w:tcPr>
            <w:tcW w:w="1158"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rPr>
                <w:rFonts w:hint="default"/>
                <w:lang w:val="en-US" w:eastAsia="zh-CN"/>
              </w:rPr>
            </w:pPr>
            <w:r>
              <w:rPr>
                <w:rFonts w:hint="eastAsia"/>
              </w:rPr>
              <w:t>碳酸</w:t>
            </w:r>
            <w:r>
              <w:rPr>
                <w:rFonts w:hint="eastAsia"/>
                <w:lang w:val="en-US" w:eastAsia="zh-CN"/>
              </w:rPr>
              <w:t>氢根</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146</w:t>
            </w:r>
          </w:p>
        </w:tc>
        <w:tc>
          <w:tcPr>
            <w:tcW w:w="1157"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391</w:t>
            </w:r>
          </w:p>
        </w:tc>
        <w:tc>
          <w:tcPr>
            <w:tcW w:w="1158" w:type="dxa"/>
            <w:vAlign w:val="center"/>
          </w:tcPr>
          <w:p>
            <w:pPr>
              <w:pStyle w:val="100"/>
              <w:widowControl w:val="0"/>
              <w:bidi w:val="0"/>
              <w:adjustRightInd w:val="0"/>
              <w:snapToGrid w:val="0"/>
            </w:pPr>
            <w:r>
              <w:rPr>
                <w:rFonts w:hint="eastAsia"/>
              </w:rPr>
              <w:t>/</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402</w:t>
            </w:r>
          </w:p>
        </w:tc>
        <w:tc>
          <w:tcPr>
            <w:tcW w:w="1158"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rPr>
                <w:rFonts w:hint="default"/>
                <w:lang w:val="en-US" w:eastAsia="zh-CN"/>
              </w:rPr>
            </w:pPr>
            <w:r>
              <w:rPr>
                <w:rFonts w:hint="eastAsia"/>
              </w:rPr>
              <w:t>氯</w:t>
            </w:r>
            <w:r>
              <w:rPr>
                <w:rFonts w:hint="eastAsia"/>
                <w:lang w:val="en-US" w:eastAsia="zh-CN"/>
              </w:rPr>
              <w:t>化物</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27.0</w:t>
            </w:r>
          </w:p>
        </w:tc>
        <w:tc>
          <w:tcPr>
            <w:tcW w:w="1157" w:type="dxa"/>
            <w:vAlign w:val="center"/>
          </w:tcPr>
          <w:p>
            <w:pPr>
              <w:pStyle w:val="100"/>
              <w:widowControl w:val="0"/>
              <w:bidi w:val="0"/>
              <w:adjustRightInd w:val="0"/>
              <w:snapToGrid w:val="0"/>
              <w:rPr>
                <w:rFonts w:hint="eastAsia"/>
                <w:lang w:val="en-US" w:eastAsia="zh-CN"/>
              </w:rPr>
            </w:pPr>
            <w:r>
              <w:rPr>
                <w:rFonts w:hint="eastAsia"/>
                <w:lang w:val="en-US" w:eastAsia="zh-CN"/>
              </w:rPr>
              <w:t>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48.3</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29.9</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pPr>
            <w:r>
              <w:rPr>
                <w:rFonts w:hint="eastAsia"/>
              </w:rPr>
              <w:t>硫酸盐</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57.0</w:t>
            </w:r>
          </w:p>
        </w:tc>
        <w:tc>
          <w:tcPr>
            <w:tcW w:w="1157" w:type="dxa"/>
            <w:vAlign w:val="center"/>
          </w:tcPr>
          <w:p>
            <w:pPr>
              <w:pStyle w:val="100"/>
              <w:widowControl w:val="0"/>
              <w:bidi w:val="0"/>
              <w:adjustRightInd w:val="0"/>
              <w:snapToGrid w:val="0"/>
              <w:rPr>
                <w:rFonts w:hint="eastAsia"/>
                <w:lang w:val="en-US" w:eastAsia="zh-CN"/>
              </w:rPr>
            </w:pPr>
            <w:r>
              <w:rPr>
                <w:rFonts w:hint="eastAsia"/>
                <w:lang w:val="en-US" w:eastAsia="zh-CN"/>
              </w:rPr>
              <w:t>II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48.0</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47.8</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9" w:type="dxa"/>
            <w:vAlign w:val="center"/>
          </w:tcPr>
          <w:p>
            <w:pPr>
              <w:pStyle w:val="100"/>
              <w:widowControl w:val="0"/>
              <w:bidi w:val="0"/>
              <w:adjustRightInd w:val="0"/>
              <w:snapToGrid w:val="0"/>
            </w:pPr>
            <w:r>
              <w:rPr>
                <w:rFonts w:hint="eastAsia"/>
              </w:rPr>
              <w:t>溶解性总固体</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109</w:t>
            </w:r>
          </w:p>
        </w:tc>
        <w:tc>
          <w:tcPr>
            <w:tcW w:w="1157" w:type="dxa"/>
            <w:vAlign w:val="center"/>
          </w:tcPr>
          <w:p>
            <w:pPr>
              <w:pStyle w:val="100"/>
              <w:widowControl w:val="0"/>
              <w:bidi w:val="0"/>
              <w:adjustRightInd w:val="0"/>
              <w:snapToGrid w:val="0"/>
              <w:rPr>
                <w:rFonts w:hint="eastAsia"/>
                <w:lang w:val="en-US" w:eastAsia="zh-CN"/>
              </w:rPr>
            </w:pPr>
            <w:r>
              <w:rPr>
                <w:rFonts w:hint="eastAsia"/>
                <w:lang w:val="en-US" w:eastAsia="zh-CN"/>
              </w:rPr>
              <w:t>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117</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c>
          <w:tcPr>
            <w:tcW w:w="1304" w:type="dxa"/>
            <w:vAlign w:val="center"/>
          </w:tcPr>
          <w:p>
            <w:pPr>
              <w:pStyle w:val="100"/>
              <w:widowControl w:val="0"/>
              <w:bidi w:val="0"/>
              <w:adjustRightInd w:val="0"/>
              <w:snapToGrid w:val="0"/>
              <w:rPr>
                <w:rFonts w:hint="default"/>
                <w:lang w:val="en-US" w:eastAsia="zh-CN"/>
              </w:rPr>
            </w:pPr>
            <w:r>
              <w:rPr>
                <w:rFonts w:hint="eastAsia"/>
                <w:lang w:val="en-US" w:eastAsia="zh-CN"/>
              </w:rPr>
              <w:t>82</w:t>
            </w:r>
          </w:p>
        </w:tc>
        <w:tc>
          <w:tcPr>
            <w:tcW w:w="1158" w:type="dxa"/>
            <w:vAlign w:val="center"/>
          </w:tcPr>
          <w:p>
            <w:pPr>
              <w:pStyle w:val="100"/>
              <w:widowControl w:val="0"/>
              <w:bidi w:val="0"/>
              <w:adjustRightInd w:val="0"/>
              <w:snapToGrid w:val="0"/>
              <w:rPr>
                <w:rFonts w:hint="eastAsia"/>
                <w:lang w:val="en-US" w:eastAsia="zh-CN"/>
              </w:rPr>
            </w:pPr>
            <w:r>
              <w:rPr>
                <w:rFonts w:hint="eastAsia"/>
                <w:lang w:val="en-US" w:eastAsia="zh-CN"/>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119" w:type="dxa"/>
            <w:vAlign w:val="center"/>
          </w:tcPr>
          <w:p>
            <w:pPr>
              <w:pStyle w:val="100"/>
              <w:widowControl w:val="0"/>
              <w:bidi w:val="0"/>
              <w:adjustRightInd w:val="0"/>
              <w:snapToGrid w:val="0"/>
            </w:pPr>
            <w:r>
              <w:rPr>
                <w:rFonts w:hint="eastAsia"/>
              </w:rPr>
              <w:t>备注</w:t>
            </w:r>
          </w:p>
        </w:tc>
        <w:tc>
          <w:tcPr>
            <w:tcW w:w="7385" w:type="dxa"/>
            <w:gridSpan w:val="6"/>
            <w:vAlign w:val="center"/>
          </w:tcPr>
          <w:p>
            <w:pPr>
              <w:pStyle w:val="100"/>
              <w:widowControl w:val="0"/>
              <w:bidi w:val="0"/>
              <w:adjustRightInd w:val="0"/>
              <w:snapToGrid w:val="0"/>
            </w:pPr>
            <w:r>
              <w:rPr>
                <w:rFonts w:hint="eastAsia"/>
              </w:rPr>
              <w:t>水文要素仅供参考</w:t>
            </w:r>
          </w:p>
        </w:tc>
      </w:tr>
    </w:tbl>
    <w:p>
      <w:pPr>
        <w:pStyle w:val="103"/>
        <w:bidi w:val="0"/>
      </w:pPr>
      <w:r>
        <w:t>对照《地下水质量标准》（GB/T14848-2017），监测点地下水水质情况如下：D1-D</w:t>
      </w:r>
      <w:r>
        <w:rPr>
          <w:rFonts w:hint="eastAsia"/>
          <w:lang w:val="en-US" w:eastAsia="zh-CN"/>
        </w:rPr>
        <w:t>3</w:t>
      </w:r>
      <w:r>
        <w:t>监测点位</w:t>
      </w:r>
      <w:r>
        <w:rPr>
          <w:rFonts w:hint="eastAsia"/>
          <w:lang w:val="en-US" w:eastAsia="zh-CN"/>
        </w:rPr>
        <w:t>PH值</w:t>
      </w:r>
      <w:r>
        <w:t>、</w:t>
      </w:r>
      <w:r>
        <w:rPr>
          <w:rFonts w:hint="eastAsia"/>
          <w:lang w:val="en-US" w:eastAsia="zh-CN"/>
        </w:rPr>
        <w:t>钠离子</w:t>
      </w:r>
      <w:r>
        <w:t>、</w:t>
      </w:r>
      <w:r>
        <w:rPr>
          <w:rFonts w:hint="eastAsia"/>
          <w:lang w:val="en-US" w:eastAsia="zh-CN"/>
        </w:rPr>
        <w:t>氯化物</w:t>
      </w:r>
      <w:r>
        <w:t>、</w:t>
      </w:r>
      <w:r>
        <w:rPr>
          <w:rFonts w:hint="eastAsia"/>
          <w:lang w:val="en-US" w:eastAsia="zh-CN"/>
        </w:rPr>
        <w:t>溶解性总固体</w:t>
      </w:r>
      <w:r>
        <w:t>达I类标准；D</w:t>
      </w:r>
      <w:r>
        <w:rPr>
          <w:rFonts w:hint="eastAsia"/>
          <w:lang w:val="en-US" w:eastAsia="zh-CN"/>
        </w:rPr>
        <w:t>2</w:t>
      </w:r>
      <w:r>
        <w:t>、D</w:t>
      </w:r>
      <w:r>
        <w:rPr>
          <w:rFonts w:hint="eastAsia"/>
          <w:lang w:val="en-US" w:eastAsia="zh-CN"/>
        </w:rPr>
        <w:t>3硫酸盐</w:t>
      </w:r>
      <w:r>
        <w:t>达</w:t>
      </w:r>
      <w:r>
        <w:rPr>
          <w:rFonts w:hint="eastAsia"/>
          <w:lang w:val="en-US" w:eastAsia="zh-CN"/>
        </w:rPr>
        <w:t>I</w:t>
      </w:r>
      <w:r>
        <w:t>类标准；D</w:t>
      </w:r>
      <w:r>
        <w:rPr>
          <w:rFonts w:hint="eastAsia"/>
          <w:lang w:val="en-US" w:eastAsia="zh-CN"/>
        </w:rPr>
        <w:t>1硫酸盐</w:t>
      </w:r>
      <w:r>
        <w:t>达I</w:t>
      </w:r>
      <w:r>
        <w:rPr>
          <w:rFonts w:hint="eastAsia"/>
          <w:lang w:val="en-US" w:eastAsia="zh-CN"/>
        </w:rPr>
        <w:t>I</w:t>
      </w:r>
      <w:r>
        <w:t>类标准；</w:t>
      </w:r>
      <w:r>
        <w:rPr>
          <w:rFonts w:hint="eastAsia"/>
          <w:lang w:val="en-US" w:eastAsia="zh-CN"/>
        </w:rPr>
        <w:t>D1、D2、D3的氨氮</w:t>
      </w:r>
      <w:r>
        <w:t>达</w:t>
      </w:r>
      <w:r>
        <w:rPr>
          <w:rFonts w:hint="eastAsia"/>
          <w:lang w:val="en-US" w:eastAsia="zh-CN"/>
        </w:rPr>
        <w:t>III</w:t>
      </w:r>
      <w:r>
        <w:t>类标准；其余各监测点监测因子均可达或优于Ⅲ类标准。</w:t>
      </w:r>
    </w:p>
    <w:p>
      <w:pPr>
        <w:pStyle w:val="104"/>
        <w:rPr>
          <w:highlight w:val="none"/>
        </w:rPr>
      </w:pPr>
      <w:r>
        <w:rPr>
          <w:rFonts w:hint="eastAsia"/>
          <w:highlight w:val="none"/>
        </w:rPr>
        <w:t>地下水环境影响分析</w:t>
      </w:r>
    </w:p>
    <w:p>
      <w:pPr>
        <w:pStyle w:val="295"/>
      </w:pPr>
      <w:r>
        <w:t>本项目为污染影响型，按照《环境影响评价技术导则 地下水环境》（</w:t>
      </w:r>
      <w:bookmarkStart w:id="45" w:name="_Hlk16510046"/>
      <w:r>
        <w:t>HJ610-2016</w:t>
      </w:r>
      <w:bookmarkEnd w:id="45"/>
      <w:r>
        <w:t>）中4.1有关规定，“根据建设项目对地下水环境影响的程度，结合《建设项目环境影响评价分类管理名录》，将建设项目分为四类，详见附录A。Ⅰ类、Ⅱ类、Ⅲ类建设项目的地下水环境影响评价应执行本标准，</w:t>
      </w:r>
      <w:bookmarkStart w:id="46" w:name="_Hlk16510036"/>
      <w:r>
        <w:t>Ⅳ类建设项目</w:t>
      </w:r>
      <w:bookmarkStart w:id="47" w:name="_Hlk16078112"/>
      <w:r>
        <w:t>不开展地下水环境影响评价</w:t>
      </w:r>
      <w:bookmarkEnd w:id="46"/>
      <w:bookmarkEnd w:id="47"/>
      <w:r>
        <w:t xml:space="preserve">。” </w:t>
      </w:r>
    </w:p>
    <w:p>
      <w:pPr>
        <w:pStyle w:val="295"/>
        <w:rPr>
          <w:rFonts w:hint="default" w:eastAsia="宋体"/>
          <w:lang w:val="en-US" w:eastAsia="zh-CN"/>
        </w:rPr>
      </w:pPr>
      <w:r>
        <w:t>本项目为</w:t>
      </w:r>
      <w:r>
        <w:rPr>
          <w:rFonts w:hint="eastAsia"/>
          <w:lang w:val="en-US" w:eastAsia="zh-CN"/>
        </w:rPr>
        <w:t>电子专用材料制造</w:t>
      </w:r>
      <w:r>
        <w:t>行业，根据HJ610-2016中附录A要求，本项目属于附录A中</w:t>
      </w:r>
      <w:r>
        <w:rPr>
          <w:rFonts w:hint="eastAsia"/>
          <w:lang w:val="en-US" w:eastAsia="zh-CN"/>
        </w:rPr>
        <w:t>印刷电路板、电子元件及组件</w:t>
      </w:r>
      <w:r>
        <w:t>制造，本报告类型为报告表，故地下水环境影响评价项目类别</w:t>
      </w:r>
      <w:r>
        <w:rPr>
          <w:rFonts w:hint="eastAsia"/>
          <w:lang w:val="en-US" w:eastAsia="zh-CN"/>
        </w:rPr>
        <w:t>III</w:t>
      </w:r>
      <w:r>
        <w:t>类</w:t>
      </w:r>
      <w:r>
        <w:rPr>
          <w:rFonts w:hint="eastAsia"/>
          <w:lang w:eastAsia="zh-CN"/>
        </w:rPr>
        <w:t>，</w:t>
      </w:r>
      <w:r>
        <w:rPr>
          <w:rFonts w:hint="eastAsia"/>
          <w:lang w:val="en-US" w:eastAsia="zh-CN"/>
        </w:rPr>
        <w:t>已开展地下水检测。</w:t>
      </w:r>
    </w:p>
    <w:p>
      <w:pPr>
        <w:pStyle w:val="104"/>
      </w:pPr>
      <w:r>
        <w:rPr>
          <w:rFonts w:hint="eastAsia"/>
        </w:rPr>
        <w:t>土壤环境影响分析</w:t>
      </w:r>
    </w:p>
    <w:p>
      <w:pPr>
        <w:pStyle w:val="99"/>
        <w:spacing w:before="72" w:beforeLines="30"/>
      </w:pPr>
      <w:r>
        <w:rPr>
          <w:rFonts w:hint="eastAsia"/>
        </w:rPr>
        <w:t>表</w:t>
      </w:r>
      <w:r>
        <w:rPr>
          <w:rFonts w:hint="eastAsia"/>
          <w:lang w:val="en-US" w:eastAsia="zh-CN"/>
        </w:rPr>
        <w:t>3.1.5-1</w:t>
      </w:r>
      <w:r>
        <w:rPr>
          <w:rFonts w:hint="eastAsia"/>
        </w:rPr>
        <w:t xml:space="preserve">  土壤环境影响评价等级分级表</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760"/>
        <w:gridCol w:w="774"/>
        <w:gridCol w:w="773"/>
        <w:gridCol w:w="799"/>
        <w:gridCol w:w="747"/>
        <w:gridCol w:w="724"/>
        <w:gridCol w:w="785"/>
        <w:gridCol w:w="786"/>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restart"/>
            <w:tcBorders>
              <w:top w:val="single" w:color="auto" w:sz="12" w:space="0"/>
              <w:bottom w:val="single" w:color="auto" w:sz="4" w:space="0"/>
              <w:tl2br w:val="single" w:color="auto" w:sz="4" w:space="0"/>
            </w:tcBorders>
            <w:vAlign w:val="center"/>
          </w:tcPr>
          <w:p>
            <w:pPr>
              <w:pStyle w:val="323"/>
              <w:widowControl w:val="0"/>
              <w:rPr>
                <w:color w:val="auto"/>
              </w:rPr>
            </w:pPr>
            <w:r>
              <w:rPr>
                <w:rFonts w:hint="eastAsia"/>
                <w:color w:val="auto"/>
              </w:rPr>
              <w:t>占地规模</w:t>
            </w:r>
          </w:p>
          <w:p>
            <w:pPr>
              <w:pStyle w:val="323"/>
              <w:widowControl w:val="0"/>
              <w:rPr>
                <w:color w:val="auto"/>
              </w:rPr>
            </w:pPr>
            <w:r>
              <w:rPr>
                <w:rFonts w:hint="eastAsia"/>
                <w:color w:val="auto"/>
              </w:rPr>
              <w:t>敏感程度</w:t>
            </w:r>
          </w:p>
        </w:tc>
        <w:tc>
          <w:tcPr>
            <w:tcW w:w="2307" w:type="dxa"/>
            <w:gridSpan w:val="3"/>
            <w:vAlign w:val="center"/>
          </w:tcPr>
          <w:p>
            <w:pPr>
              <w:pStyle w:val="323"/>
              <w:widowControl w:val="0"/>
              <w:rPr>
                <w:color w:val="auto"/>
              </w:rPr>
            </w:pPr>
            <w:r>
              <w:rPr>
                <w:color w:val="auto"/>
              </w:rPr>
              <w:t>Ⅰ</w:t>
            </w:r>
            <w:r>
              <w:rPr>
                <w:rFonts w:hint="eastAsia"/>
                <w:color w:val="auto"/>
              </w:rPr>
              <w:t>类项目</w:t>
            </w:r>
          </w:p>
        </w:tc>
        <w:tc>
          <w:tcPr>
            <w:tcW w:w="2270" w:type="dxa"/>
            <w:gridSpan w:val="3"/>
            <w:vAlign w:val="center"/>
          </w:tcPr>
          <w:p>
            <w:pPr>
              <w:pStyle w:val="323"/>
              <w:widowControl w:val="0"/>
              <w:rPr>
                <w:color w:val="auto"/>
              </w:rPr>
            </w:pPr>
            <w:r>
              <w:rPr>
                <w:color w:val="auto"/>
              </w:rPr>
              <w:t>Ⅱ</w:t>
            </w:r>
            <w:r>
              <w:rPr>
                <w:rFonts w:hint="eastAsia"/>
                <w:color w:val="auto"/>
              </w:rPr>
              <w:t>类项目</w:t>
            </w:r>
          </w:p>
        </w:tc>
        <w:tc>
          <w:tcPr>
            <w:tcW w:w="2317" w:type="dxa"/>
            <w:gridSpan w:val="3"/>
            <w:vAlign w:val="center"/>
          </w:tcPr>
          <w:p>
            <w:pPr>
              <w:pStyle w:val="323"/>
              <w:widowControl w:val="0"/>
              <w:rPr>
                <w:color w:val="auto"/>
              </w:rPr>
            </w:pPr>
            <w:r>
              <w:rPr>
                <w:color w:val="auto"/>
              </w:rPr>
              <w:t>Ⅲ</w:t>
            </w:r>
            <w:r>
              <w:rPr>
                <w:rFonts w:hint="eastAsia"/>
                <w:color w:val="auto"/>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Merge w:val="continue"/>
            <w:tcBorders>
              <w:top w:val="nil"/>
              <w:bottom w:val="single" w:color="auto" w:sz="4" w:space="0"/>
              <w:tl2br w:val="single" w:color="auto" w:sz="4" w:space="0"/>
            </w:tcBorders>
            <w:vAlign w:val="center"/>
          </w:tcPr>
          <w:p>
            <w:pPr>
              <w:pStyle w:val="323"/>
              <w:widowControl w:val="0"/>
              <w:rPr>
                <w:color w:val="auto"/>
              </w:rPr>
            </w:pPr>
          </w:p>
        </w:tc>
        <w:tc>
          <w:tcPr>
            <w:tcW w:w="760" w:type="dxa"/>
            <w:vAlign w:val="center"/>
          </w:tcPr>
          <w:p>
            <w:pPr>
              <w:pStyle w:val="323"/>
              <w:widowControl w:val="0"/>
              <w:rPr>
                <w:bCs/>
                <w:color w:val="auto"/>
              </w:rPr>
            </w:pPr>
            <w:r>
              <w:rPr>
                <w:rFonts w:hint="eastAsia"/>
                <w:bCs/>
                <w:color w:val="auto"/>
              </w:rPr>
              <w:t>大</w:t>
            </w:r>
          </w:p>
        </w:tc>
        <w:tc>
          <w:tcPr>
            <w:tcW w:w="774" w:type="dxa"/>
            <w:vAlign w:val="center"/>
          </w:tcPr>
          <w:p>
            <w:pPr>
              <w:pStyle w:val="323"/>
              <w:widowControl w:val="0"/>
              <w:rPr>
                <w:bCs/>
                <w:color w:val="auto"/>
              </w:rPr>
            </w:pPr>
            <w:r>
              <w:rPr>
                <w:rFonts w:hint="eastAsia"/>
                <w:bCs/>
                <w:color w:val="auto"/>
              </w:rPr>
              <w:t>中</w:t>
            </w:r>
          </w:p>
        </w:tc>
        <w:tc>
          <w:tcPr>
            <w:tcW w:w="773" w:type="dxa"/>
            <w:vAlign w:val="center"/>
          </w:tcPr>
          <w:p>
            <w:pPr>
              <w:pStyle w:val="323"/>
              <w:widowControl w:val="0"/>
              <w:rPr>
                <w:bCs/>
                <w:color w:val="auto"/>
              </w:rPr>
            </w:pPr>
            <w:r>
              <w:rPr>
                <w:rFonts w:hint="eastAsia"/>
                <w:bCs/>
                <w:color w:val="auto"/>
              </w:rPr>
              <w:t>小</w:t>
            </w:r>
          </w:p>
        </w:tc>
        <w:tc>
          <w:tcPr>
            <w:tcW w:w="799" w:type="dxa"/>
            <w:vAlign w:val="center"/>
          </w:tcPr>
          <w:p>
            <w:pPr>
              <w:pStyle w:val="323"/>
              <w:widowControl w:val="0"/>
              <w:rPr>
                <w:bCs/>
                <w:color w:val="auto"/>
              </w:rPr>
            </w:pPr>
            <w:r>
              <w:rPr>
                <w:rFonts w:hint="eastAsia"/>
                <w:bCs/>
                <w:color w:val="auto"/>
              </w:rPr>
              <w:t>大</w:t>
            </w:r>
          </w:p>
        </w:tc>
        <w:tc>
          <w:tcPr>
            <w:tcW w:w="747" w:type="dxa"/>
            <w:vAlign w:val="center"/>
          </w:tcPr>
          <w:p>
            <w:pPr>
              <w:pStyle w:val="323"/>
              <w:widowControl w:val="0"/>
              <w:rPr>
                <w:bCs/>
                <w:color w:val="auto"/>
              </w:rPr>
            </w:pPr>
            <w:r>
              <w:rPr>
                <w:rFonts w:hint="eastAsia"/>
                <w:bCs/>
                <w:color w:val="auto"/>
              </w:rPr>
              <w:t>中</w:t>
            </w:r>
          </w:p>
        </w:tc>
        <w:tc>
          <w:tcPr>
            <w:tcW w:w="724" w:type="dxa"/>
            <w:vAlign w:val="center"/>
          </w:tcPr>
          <w:p>
            <w:pPr>
              <w:pStyle w:val="323"/>
              <w:widowControl w:val="0"/>
              <w:rPr>
                <w:bCs/>
                <w:color w:val="auto"/>
              </w:rPr>
            </w:pPr>
            <w:r>
              <w:rPr>
                <w:rFonts w:hint="eastAsia"/>
                <w:bCs/>
                <w:color w:val="auto"/>
              </w:rPr>
              <w:t>小</w:t>
            </w:r>
          </w:p>
        </w:tc>
        <w:tc>
          <w:tcPr>
            <w:tcW w:w="785" w:type="dxa"/>
            <w:vAlign w:val="center"/>
          </w:tcPr>
          <w:p>
            <w:pPr>
              <w:pStyle w:val="323"/>
              <w:widowControl w:val="0"/>
              <w:rPr>
                <w:bCs/>
                <w:color w:val="auto"/>
              </w:rPr>
            </w:pPr>
            <w:r>
              <w:rPr>
                <w:rFonts w:hint="eastAsia"/>
                <w:bCs/>
                <w:color w:val="auto"/>
              </w:rPr>
              <w:t>大</w:t>
            </w:r>
          </w:p>
        </w:tc>
        <w:tc>
          <w:tcPr>
            <w:tcW w:w="786" w:type="dxa"/>
            <w:vAlign w:val="center"/>
          </w:tcPr>
          <w:p>
            <w:pPr>
              <w:pStyle w:val="323"/>
              <w:widowControl w:val="0"/>
              <w:rPr>
                <w:bCs/>
                <w:color w:val="auto"/>
              </w:rPr>
            </w:pPr>
            <w:r>
              <w:rPr>
                <w:rFonts w:hint="eastAsia"/>
                <w:bCs/>
                <w:color w:val="auto"/>
              </w:rPr>
              <w:t>中</w:t>
            </w:r>
          </w:p>
        </w:tc>
        <w:tc>
          <w:tcPr>
            <w:tcW w:w="746" w:type="dxa"/>
            <w:vAlign w:val="center"/>
          </w:tcPr>
          <w:p>
            <w:pPr>
              <w:pStyle w:val="323"/>
              <w:widowControl w:val="0"/>
              <w:rPr>
                <w:bCs/>
                <w:color w:val="auto"/>
              </w:rPr>
            </w:pPr>
            <w:r>
              <w:rPr>
                <w:rFonts w:hint="eastAsia"/>
                <w:bCs/>
                <w:color w:val="auto"/>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tcBorders>
              <w:top w:val="single" w:color="auto" w:sz="4" w:space="0"/>
            </w:tcBorders>
            <w:vAlign w:val="center"/>
          </w:tcPr>
          <w:p>
            <w:pPr>
              <w:pStyle w:val="323"/>
              <w:widowControl w:val="0"/>
              <w:rPr>
                <w:bCs/>
                <w:color w:val="auto"/>
              </w:rPr>
            </w:pPr>
            <w:r>
              <w:rPr>
                <w:rFonts w:hint="eastAsia"/>
                <w:bCs/>
                <w:color w:val="auto"/>
              </w:rPr>
              <w:t>敏感</w:t>
            </w:r>
          </w:p>
        </w:tc>
        <w:tc>
          <w:tcPr>
            <w:tcW w:w="760" w:type="dxa"/>
            <w:vAlign w:val="center"/>
          </w:tcPr>
          <w:p>
            <w:pPr>
              <w:pStyle w:val="323"/>
              <w:widowControl w:val="0"/>
              <w:rPr>
                <w:bCs/>
                <w:color w:val="auto"/>
              </w:rPr>
            </w:pPr>
            <w:r>
              <w:rPr>
                <w:rFonts w:hint="eastAsia"/>
                <w:bCs/>
                <w:color w:val="auto"/>
              </w:rPr>
              <w:t>一级</w:t>
            </w:r>
          </w:p>
        </w:tc>
        <w:tc>
          <w:tcPr>
            <w:tcW w:w="774" w:type="dxa"/>
            <w:vAlign w:val="center"/>
          </w:tcPr>
          <w:p>
            <w:pPr>
              <w:pStyle w:val="323"/>
              <w:widowControl w:val="0"/>
              <w:rPr>
                <w:bCs/>
                <w:color w:val="auto"/>
              </w:rPr>
            </w:pPr>
            <w:r>
              <w:rPr>
                <w:rFonts w:hint="eastAsia"/>
                <w:bCs/>
                <w:color w:val="auto"/>
              </w:rPr>
              <w:t>一级</w:t>
            </w:r>
          </w:p>
        </w:tc>
        <w:tc>
          <w:tcPr>
            <w:tcW w:w="773" w:type="dxa"/>
            <w:vAlign w:val="center"/>
          </w:tcPr>
          <w:p>
            <w:pPr>
              <w:pStyle w:val="323"/>
              <w:widowControl w:val="0"/>
              <w:rPr>
                <w:bCs/>
                <w:color w:val="auto"/>
              </w:rPr>
            </w:pPr>
            <w:r>
              <w:rPr>
                <w:rFonts w:hint="eastAsia"/>
                <w:bCs/>
                <w:color w:val="auto"/>
              </w:rPr>
              <w:t>一级</w:t>
            </w:r>
          </w:p>
        </w:tc>
        <w:tc>
          <w:tcPr>
            <w:tcW w:w="799" w:type="dxa"/>
            <w:vAlign w:val="center"/>
          </w:tcPr>
          <w:p>
            <w:pPr>
              <w:pStyle w:val="323"/>
              <w:widowControl w:val="0"/>
              <w:rPr>
                <w:bCs/>
                <w:color w:val="auto"/>
              </w:rPr>
            </w:pPr>
            <w:r>
              <w:rPr>
                <w:rFonts w:hint="eastAsia"/>
                <w:bCs/>
                <w:color w:val="auto"/>
              </w:rPr>
              <w:t>二级</w:t>
            </w:r>
          </w:p>
        </w:tc>
        <w:tc>
          <w:tcPr>
            <w:tcW w:w="747" w:type="dxa"/>
            <w:vAlign w:val="center"/>
          </w:tcPr>
          <w:p>
            <w:pPr>
              <w:pStyle w:val="323"/>
              <w:widowControl w:val="0"/>
              <w:rPr>
                <w:bCs/>
                <w:color w:val="auto"/>
              </w:rPr>
            </w:pPr>
            <w:r>
              <w:rPr>
                <w:rFonts w:hint="eastAsia"/>
                <w:bCs/>
                <w:color w:val="auto"/>
              </w:rPr>
              <w:t>二级</w:t>
            </w:r>
          </w:p>
        </w:tc>
        <w:tc>
          <w:tcPr>
            <w:tcW w:w="724" w:type="dxa"/>
            <w:vAlign w:val="center"/>
          </w:tcPr>
          <w:p>
            <w:pPr>
              <w:pStyle w:val="323"/>
              <w:widowControl w:val="0"/>
              <w:rPr>
                <w:bCs/>
                <w:color w:val="auto"/>
              </w:rPr>
            </w:pPr>
            <w:r>
              <w:rPr>
                <w:rFonts w:hint="eastAsia"/>
                <w:bCs/>
                <w:color w:val="auto"/>
              </w:rPr>
              <w:t>二级</w:t>
            </w:r>
          </w:p>
        </w:tc>
        <w:tc>
          <w:tcPr>
            <w:tcW w:w="785" w:type="dxa"/>
            <w:vAlign w:val="center"/>
          </w:tcPr>
          <w:p>
            <w:pPr>
              <w:pStyle w:val="323"/>
              <w:widowControl w:val="0"/>
              <w:rPr>
                <w:bCs/>
                <w:color w:val="auto"/>
              </w:rPr>
            </w:pPr>
            <w:r>
              <w:rPr>
                <w:rFonts w:hint="eastAsia"/>
                <w:bCs/>
                <w:color w:val="auto"/>
              </w:rPr>
              <w:t>三级</w:t>
            </w:r>
          </w:p>
        </w:tc>
        <w:tc>
          <w:tcPr>
            <w:tcW w:w="786" w:type="dxa"/>
            <w:vAlign w:val="center"/>
          </w:tcPr>
          <w:p>
            <w:pPr>
              <w:pStyle w:val="323"/>
              <w:widowControl w:val="0"/>
              <w:rPr>
                <w:bCs/>
                <w:color w:val="auto"/>
              </w:rPr>
            </w:pPr>
            <w:r>
              <w:rPr>
                <w:rFonts w:hint="eastAsia"/>
                <w:bCs/>
                <w:color w:val="auto"/>
              </w:rPr>
              <w:t>三级</w:t>
            </w:r>
          </w:p>
        </w:tc>
        <w:tc>
          <w:tcPr>
            <w:tcW w:w="746" w:type="dxa"/>
            <w:vAlign w:val="center"/>
          </w:tcPr>
          <w:p>
            <w:pPr>
              <w:pStyle w:val="323"/>
              <w:widowControl w:val="0"/>
              <w:rPr>
                <w:bCs/>
                <w:color w:val="auto"/>
              </w:rPr>
            </w:pPr>
            <w:r>
              <w:rPr>
                <w:rFonts w:hint="eastAsia"/>
                <w:bCs/>
                <w:color w:val="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Align w:val="center"/>
          </w:tcPr>
          <w:p>
            <w:pPr>
              <w:pStyle w:val="323"/>
              <w:widowControl w:val="0"/>
              <w:rPr>
                <w:bCs/>
                <w:color w:val="auto"/>
              </w:rPr>
            </w:pPr>
            <w:r>
              <w:rPr>
                <w:rFonts w:hint="eastAsia"/>
                <w:bCs/>
                <w:color w:val="auto"/>
              </w:rPr>
              <w:t>较敏感</w:t>
            </w:r>
          </w:p>
        </w:tc>
        <w:tc>
          <w:tcPr>
            <w:tcW w:w="760" w:type="dxa"/>
            <w:vAlign w:val="center"/>
          </w:tcPr>
          <w:p>
            <w:pPr>
              <w:pStyle w:val="323"/>
              <w:widowControl w:val="0"/>
              <w:rPr>
                <w:bCs/>
                <w:color w:val="auto"/>
              </w:rPr>
            </w:pPr>
            <w:r>
              <w:rPr>
                <w:rFonts w:hint="eastAsia"/>
                <w:bCs/>
                <w:color w:val="auto"/>
              </w:rPr>
              <w:t>一级</w:t>
            </w:r>
          </w:p>
        </w:tc>
        <w:tc>
          <w:tcPr>
            <w:tcW w:w="774" w:type="dxa"/>
            <w:vAlign w:val="center"/>
          </w:tcPr>
          <w:p>
            <w:pPr>
              <w:pStyle w:val="323"/>
              <w:widowControl w:val="0"/>
              <w:rPr>
                <w:bCs/>
                <w:color w:val="auto"/>
              </w:rPr>
            </w:pPr>
            <w:r>
              <w:rPr>
                <w:rFonts w:hint="eastAsia"/>
                <w:bCs/>
                <w:color w:val="auto"/>
              </w:rPr>
              <w:t>一级</w:t>
            </w:r>
          </w:p>
        </w:tc>
        <w:tc>
          <w:tcPr>
            <w:tcW w:w="773" w:type="dxa"/>
            <w:vAlign w:val="center"/>
          </w:tcPr>
          <w:p>
            <w:pPr>
              <w:pStyle w:val="323"/>
              <w:widowControl w:val="0"/>
              <w:rPr>
                <w:bCs/>
                <w:color w:val="auto"/>
              </w:rPr>
            </w:pPr>
            <w:r>
              <w:rPr>
                <w:rFonts w:hint="eastAsia"/>
                <w:bCs/>
                <w:color w:val="auto"/>
              </w:rPr>
              <w:t>一级</w:t>
            </w:r>
          </w:p>
        </w:tc>
        <w:tc>
          <w:tcPr>
            <w:tcW w:w="799" w:type="dxa"/>
            <w:vAlign w:val="center"/>
          </w:tcPr>
          <w:p>
            <w:pPr>
              <w:pStyle w:val="323"/>
              <w:widowControl w:val="0"/>
              <w:rPr>
                <w:bCs/>
                <w:color w:val="auto"/>
              </w:rPr>
            </w:pPr>
            <w:r>
              <w:rPr>
                <w:rFonts w:hint="eastAsia"/>
                <w:bCs/>
                <w:color w:val="auto"/>
              </w:rPr>
              <w:t>二级</w:t>
            </w:r>
          </w:p>
        </w:tc>
        <w:tc>
          <w:tcPr>
            <w:tcW w:w="747" w:type="dxa"/>
            <w:vAlign w:val="center"/>
          </w:tcPr>
          <w:p>
            <w:pPr>
              <w:pStyle w:val="323"/>
              <w:widowControl w:val="0"/>
              <w:rPr>
                <w:bCs/>
                <w:color w:val="auto"/>
              </w:rPr>
            </w:pPr>
            <w:r>
              <w:rPr>
                <w:rFonts w:hint="eastAsia"/>
                <w:bCs/>
                <w:color w:val="auto"/>
              </w:rPr>
              <w:t>二级</w:t>
            </w:r>
          </w:p>
        </w:tc>
        <w:tc>
          <w:tcPr>
            <w:tcW w:w="724" w:type="dxa"/>
            <w:vAlign w:val="center"/>
          </w:tcPr>
          <w:p>
            <w:pPr>
              <w:pStyle w:val="323"/>
              <w:widowControl w:val="0"/>
              <w:rPr>
                <w:bCs/>
                <w:color w:val="auto"/>
              </w:rPr>
            </w:pPr>
            <w:r>
              <w:rPr>
                <w:rFonts w:hint="eastAsia"/>
                <w:bCs/>
                <w:color w:val="auto"/>
              </w:rPr>
              <w:t>二级</w:t>
            </w:r>
          </w:p>
        </w:tc>
        <w:tc>
          <w:tcPr>
            <w:tcW w:w="785" w:type="dxa"/>
            <w:vAlign w:val="center"/>
          </w:tcPr>
          <w:p>
            <w:pPr>
              <w:pStyle w:val="323"/>
              <w:widowControl w:val="0"/>
              <w:rPr>
                <w:bCs/>
                <w:color w:val="auto"/>
              </w:rPr>
            </w:pPr>
            <w:r>
              <w:rPr>
                <w:rFonts w:hint="eastAsia"/>
                <w:bCs/>
                <w:color w:val="auto"/>
              </w:rPr>
              <w:t>三级</w:t>
            </w:r>
          </w:p>
        </w:tc>
        <w:tc>
          <w:tcPr>
            <w:tcW w:w="786" w:type="dxa"/>
            <w:vAlign w:val="center"/>
          </w:tcPr>
          <w:p>
            <w:pPr>
              <w:pStyle w:val="323"/>
              <w:widowControl w:val="0"/>
              <w:rPr>
                <w:bCs/>
                <w:color w:val="auto"/>
              </w:rPr>
            </w:pPr>
            <w:r>
              <w:rPr>
                <w:rFonts w:hint="eastAsia"/>
                <w:bCs/>
                <w:color w:val="auto"/>
              </w:rPr>
              <w:t>三级</w:t>
            </w:r>
          </w:p>
        </w:tc>
        <w:tc>
          <w:tcPr>
            <w:tcW w:w="746" w:type="dxa"/>
            <w:vAlign w:val="center"/>
          </w:tcPr>
          <w:p>
            <w:pPr>
              <w:pStyle w:val="323"/>
              <w:widowControl w:val="0"/>
              <w:rPr>
                <w:bCs/>
                <w:color w:val="auto"/>
              </w:rPr>
            </w:pPr>
            <w:r>
              <w:rPr>
                <w:rFonts w:hint="eastAsia"/>
                <w:bCs/>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vAlign w:val="center"/>
          </w:tcPr>
          <w:p>
            <w:pPr>
              <w:pStyle w:val="323"/>
              <w:widowControl w:val="0"/>
              <w:rPr>
                <w:bCs/>
                <w:color w:val="auto"/>
              </w:rPr>
            </w:pPr>
            <w:r>
              <w:rPr>
                <w:rFonts w:hint="eastAsia"/>
                <w:bCs/>
                <w:color w:val="auto"/>
              </w:rPr>
              <w:t>不敏感</w:t>
            </w:r>
          </w:p>
        </w:tc>
        <w:tc>
          <w:tcPr>
            <w:tcW w:w="760" w:type="dxa"/>
            <w:vAlign w:val="center"/>
          </w:tcPr>
          <w:p>
            <w:pPr>
              <w:pStyle w:val="323"/>
              <w:widowControl w:val="0"/>
              <w:rPr>
                <w:bCs/>
                <w:color w:val="auto"/>
              </w:rPr>
            </w:pPr>
            <w:r>
              <w:rPr>
                <w:rFonts w:hint="eastAsia"/>
                <w:bCs/>
                <w:color w:val="auto"/>
              </w:rPr>
              <w:t>一级</w:t>
            </w:r>
          </w:p>
        </w:tc>
        <w:tc>
          <w:tcPr>
            <w:tcW w:w="774" w:type="dxa"/>
            <w:vAlign w:val="center"/>
          </w:tcPr>
          <w:p>
            <w:pPr>
              <w:pStyle w:val="323"/>
              <w:widowControl w:val="0"/>
              <w:rPr>
                <w:bCs/>
                <w:color w:val="auto"/>
              </w:rPr>
            </w:pPr>
            <w:r>
              <w:rPr>
                <w:rFonts w:hint="eastAsia"/>
                <w:bCs/>
                <w:color w:val="auto"/>
              </w:rPr>
              <w:t>一级</w:t>
            </w:r>
          </w:p>
        </w:tc>
        <w:tc>
          <w:tcPr>
            <w:tcW w:w="773" w:type="dxa"/>
            <w:vAlign w:val="center"/>
          </w:tcPr>
          <w:p>
            <w:pPr>
              <w:pStyle w:val="323"/>
              <w:widowControl w:val="0"/>
              <w:rPr>
                <w:bCs/>
                <w:color w:val="auto"/>
              </w:rPr>
            </w:pPr>
            <w:r>
              <w:rPr>
                <w:rFonts w:hint="eastAsia"/>
                <w:bCs/>
                <w:color w:val="auto"/>
              </w:rPr>
              <w:t>一级</w:t>
            </w:r>
          </w:p>
        </w:tc>
        <w:tc>
          <w:tcPr>
            <w:tcW w:w="799" w:type="dxa"/>
            <w:vAlign w:val="center"/>
          </w:tcPr>
          <w:p>
            <w:pPr>
              <w:pStyle w:val="323"/>
              <w:widowControl w:val="0"/>
              <w:rPr>
                <w:bCs/>
                <w:color w:val="auto"/>
              </w:rPr>
            </w:pPr>
            <w:r>
              <w:rPr>
                <w:rFonts w:hint="eastAsia"/>
                <w:bCs/>
                <w:color w:val="auto"/>
              </w:rPr>
              <w:t>二级</w:t>
            </w:r>
          </w:p>
        </w:tc>
        <w:tc>
          <w:tcPr>
            <w:tcW w:w="747" w:type="dxa"/>
            <w:vAlign w:val="center"/>
          </w:tcPr>
          <w:p>
            <w:pPr>
              <w:pStyle w:val="323"/>
              <w:widowControl w:val="0"/>
              <w:rPr>
                <w:bCs/>
                <w:color w:val="auto"/>
              </w:rPr>
            </w:pPr>
            <w:r>
              <w:rPr>
                <w:rFonts w:hint="eastAsia"/>
                <w:bCs/>
                <w:color w:val="auto"/>
              </w:rPr>
              <w:t>二级</w:t>
            </w:r>
          </w:p>
        </w:tc>
        <w:tc>
          <w:tcPr>
            <w:tcW w:w="724" w:type="dxa"/>
            <w:vAlign w:val="center"/>
          </w:tcPr>
          <w:p>
            <w:pPr>
              <w:pStyle w:val="323"/>
              <w:widowControl w:val="0"/>
              <w:rPr>
                <w:bCs/>
                <w:color w:val="auto"/>
              </w:rPr>
            </w:pPr>
            <w:r>
              <w:rPr>
                <w:rFonts w:hint="eastAsia"/>
                <w:bCs/>
                <w:color w:val="auto"/>
              </w:rPr>
              <w:t>二级</w:t>
            </w:r>
          </w:p>
        </w:tc>
        <w:tc>
          <w:tcPr>
            <w:tcW w:w="785" w:type="dxa"/>
            <w:vAlign w:val="center"/>
          </w:tcPr>
          <w:p>
            <w:pPr>
              <w:pStyle w:val="323"/>
              <w:widowControl w:val="0"/>
              <w:rPr>
                <w:bCs/>
                <w:color w:val="auto"/>
              </w:rPr>
            </w:pPr>
            <w:r>
              <w:rPr>
                <w:rFonts w:hint="eastAsia"/>
                <w:bCs/>
                <w:color w:val="auto"/>
              </w:rPr>
              <w:t>三级</w:t>
            </w:r>
          </w:p>
        </w:tc>
        <w:tc>
          <w:tcPr>
            <w:tcW w:w="786" w:type="dxa"/>
            <w:vAlign w:val="center"/>
          </w:tcPr>
          <w:p>
            <w:pPr>
              <w:pStyle w:val="323"/>
              <w:widowControl w:val="0"/>
              <w:rPr>
                <w:bCs/>
                <w:color w:val="auto"/>
              </w:rPr>
            </w:pPr>
            <w:r>
              <w:rPr>
                <w:rFonts w:hint="eastAsia"/>
                <w:bCs/>
                <w:color w:val="auto"/>
              </w:rPr>
              <w:t>-</w:t>
            </w:r>
          </w:p>
        </w:tc>
        <w:tc>
          <w:tcPr>
            <w:tcW w:w="746" w:type="dxa"/>
            <w:vAlign w:val="center"/>
          </w:tcPr>
          <w:p>
            <w:pPr>
              <w:pStyle w:val="323"/>
              <w:widowControl w:val="0"/>
              <w:rPr>
                <w:bCs/>
                <w:color w:val="auto"/>
              </w:rPr>
            </w:pPr>
            <w:r>
              <w:rPr>
                <w:rFonts w:hint="eastAsia"/>
                <w:bCs/>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8" w:type="dxa"/>
            <w:gridSpan w:val="10"/>
            <w:vAlign w:val="center"/>
          </w:tcPr>
          <w:p>
            <w:pPr>
              <w:pStyle w:val="323"/>
              <w:widowControl w:val="0"/>
              <w:rPr>
                <w:bCs/>
                <w:color w:val="auto"/>
              </w:rPr>
            </w:pPr>
            <w:r>
              <w:rPr>
                <w:rFonts w:hint="eastAsia"/>
                <w:bCs/>
                <w:color w:val="auto"/>
              </w:rPr>
              <w:t>注：“-”表示可不开展土壤环境影响评价工作</w:t>
            </w:r>
          </w:p>
        </w:tc>
      </w:tr>
    </w:tbl>
    <w:p>
      <w:pPr>
        <w:pStyle w:val="295"/>
        <w:rPr>
          <w:rFonts w:hint="eastAsia"/>
          <w:lang w:val="en-US" w:eastAsia="zh-CN"/>
        </w:rPr>
      </w:pPr>
      <w:r>
        <w:rPr>
          <w:rFonts w:hint="eastAsia"/>
          <w:lang w:val="en-US" w:eastAsia="zh-CN"/>
        </w:rPr>
        <w:t>本项目为本项目为电子专用材料制造行业，主要影响为污染影响型。参考《环境影响评价技术导则 土壤环境（试行）》（HJ 964-2018）表A.1土壤环境影响评价项目类别，本项目属于制造业中“设备制造、金属制品、汽车制造及其他用品制造”行业，即项目类别为III类。本项目占地面积为平方2938m2,占地规模属于小型(≤5hm2)。项目周边最近环境敏感点距离1100m，敏感程度属于“不敏感”区域。根据HJ964-2018中土壤环境影响评价等级分级表中有关规定，III类建设项目、小占地规模、不敏感区域，可不开展土壤环境影响评价。</w:t>
      </w:r>
    </w:p>
    <w:p>
      <w:pPr>
        <w:pStyle w:val="104"/>
      </w:pPr>
      <w:r>
        <w:t>声环境质量</w:t>
      </w:r>
    </w:p>
    <w:p>
      <w:pPr>
        <w:pStyle w:val="105"/>
      </w:pPr>
      <w:r>
        <w:t>声环境质量现状监测</w:t>
      </w:r>
    </w:p>
    <w:p>
      <w:pPr>
        <w:pStyle w:val="103"/>
        <w:bidi w:val="0"/>
      </w:pPr>
      <w:r>
        <w:rPr>
          <w:rFonts w:hint="eastAsia"/>
        </w:rPr>
        <w:t>1、</w:t>
      </w:r>
      <w:r>
        <w:t>监测因子：连续等效A声级。</w:t>
      </w:r>
    </w:p>
    <w:p>
      <w:pPr>
        <w:pStyle w:val="103"/>
        <w:bidi w:val="0"/>
      </w:pPr>
      <w:r>
        <w:rPr>
          <w:rFonts w:hint="eastAsia"/>
        </w:rPr>
        <w:t>2、</w:t>
      </w:r>
      <w:r>
        <w:t>监测时间和频次：连续监测1天，每天昼、夜各监测一次。由</w:t>
      </w:r>
      <w:r>
        <w:rPr>
          <w:rFonts w:hint="eastAsia"/>
          <w:lang w:val="en-US" w:eastAsia="zh-CN"/>
        </w:rPr>
        <w:t>苏州昌禾环境检测有限公司</w:t>
      </w:r>
      <w:r>
        <w:t>实测。</w:t>
      </w:r>
    </w:p>
    <w:p>
      <w:pPr>
        <w:pStyle w:val="103"/>
        <w:bidi w:val="0"/>
      </w:pPr>
      <w:r>
        <w:rPr>
          <w:rFonts w:hint="eastAsia"/>
        </w:rPr>
        <w:t>3、</w:t>
      </w:r>
      <w:r>
        <w:t>监测方法：监测按《声环境质量标准》（GB3096-2008）要求执行，监测全过程按国家环境监测总站、江苏省环境监测中心有关技术规定进行，实施全过程质量控制。</w:t>
      </w:r>
    </w:p>
    <w:p>
      <w:pPr>
        <w:pStyle w:val="103"/>
        <w:bidi w:val="0"/>
      </w:pPr>
      <w:r>
        <w:rPr>
          <w:rFonts w:hint="eastAsia"/>
        </w:rPr>
        <w:t>4、</w:t>
      </w:r>
      <w:r>
        <w:t>监测点布设：</w:t>
      </w:r>
      <w:r>
        <w:rPr>
          <w:rFonts w:hint="eastAsia"/>
        </w:rPr>
        <w:t>项目四周厂界外1米进行了噪声监测</w:t>
      </w:r>
      <w:r>
        <w:t>（N1-N</w:t>
      </w:r>
      <w:r>
        <w:rPr>
          <w:rFonts w:hint="eastAsia"/>
        </w:rPr>
        <w:t>4</w:t>
      </w:r>
      <w:r>
        <w:t>），具体见</w:t>
      </w:r>
      <w:r>
        <w:rPr>
          <w:rFonts w:hint="eastAsia"/>
        </w:rPr>
        <w:t>附图</w:t>
      </w:r>
      <w:r>
        <w:t>。</w:t>
      </w:r>
    </w:p>
    <w:p>
      <w:pPr>
        <w:pStyle w:val="103"/>
        <w:bidi w:val="0"/>
      </w:pPr>
      <w:r>
        <w:t>为了解项目所在地声环境质量状况，</w:t>
      </w:r>
      <w:r>
        <w:rPr>
          <w:rFonts w:hint="eastAsia"/>
        </w:rPr>
        <w:t>江苏国测检测技术有限公司</w:t>
      </w:r>
      <w:r>
        <w:t>于</w:t>
      </w:r>
      <w:r>
        <w:rPr>
          <w:rFonts w:hint="eastAsia"/>
        </w:rPr>
        <w:t>2020年</w:t>
      </w:r>
      <w:r>
        <w:rPr>
          <w:rFonts w:hint="eastAsia"/>
          <w:lang w:val="en-US" w:eastAsia="zh-CN"/>
        </w:rPr>
        <w:t>12</w:t>
      </w:r>
      <w:r>
        <w:rPr>
          <w:rFonts w:hint="eastAsia"/>
        </w:rPr>
        <w:t>月1</w:t>
      </w:r>
      <w:r>
        <w:rPr>
          <w:rFonts w:hint="eastAsia"/>
          <w:lang w:val="en-US" w:eastAsia="zh-CN"/>
        </w:rPr>
        <w:t>5</w:t>
      </w:r>
      <w:r>
        <w:rPr>
          <w:rFonts w:hint="eastAsia"/>
        </w:rPr>
        <w:t>日</w:t>
      </w:r>
      <w:r>
        <w:t>在项目所在地进行监测，</w:t>
      </w:r>
      <w:r>
        <w:rPr>
          <w:rFonts w:hint="eastAsia"/>
        </w:rPr>
        <w:t>监测期间天气情况为</w:t>
      </w:r>
      <w:r>
        <w:rPr>
          <w:rFonts w:hint="eastAsia"/>
          <w:lang w:val="en-US" w:eastAsia="zh-CN"/>
        </w:rPr>
        <w:t>阴天</w:t>
      </w:r>
      <w:r>
        <w:rPr>
          <w:rFonts w:hint="eastAsia"/>
        </w:rPr>
        <w:t>，监测期间昼间最大风速2.</w:t>
      </w:r>
      <w:r>
        <w:rPr>
          <w:rFonts w:hint="eastAsia"/>
          <w:lang w:val="en-US" w:eastAsia="zh-CN"/>
        </w:rPr>
        <w:t>4</w:t>
      </w:r>
      <w:r>
        <w:rPr>
          <w:rFonts w:hint="eastAsia"/>
        </w:rPr>
        <w:t>m/s、夜间最大风速2.5m/s</w:t>
      </w:r>
      <w:r>
        <w:t>。监测结果见表 3-</w:t>
      </w:r>
      <w:r>
        <w:rPr>
          <w:rFonts w:hint="eastAsia"/>
          <w:lang w:val="en-US" w:eastAsia="zh-CN"/>
        </w:rPr>
        <w:t>5</w:t>
      </w:r>
      <w:r>
        <w:t>。</w:t>
      </w:r>
    </w:p>
    <w:p>
      <w:pPr>
        <w:pStyle w:val="273"/>
        <w:bidi w:val="0"/>
        <w:rPr>
          <w:rFonts w:hint="eastAsia"/>
        </w:rPr>
      </w:pPr>
      <w:r>
        <w:rPr>
          <w:rFonts w:hint="eastAsia"/>
        </w:rPr>
        <w:t>表3-</w:t>
      </w:r>
      <w:r>
        <w:rPr>
          <w:rFonts w:hint="eastAsia"/>
          <w:lang w:val="en-US" w:eastAsia="zh-CN"/>
        </w:rPr>
        <w:t>5</w:t>
      </w:r>
      <w:r>
        <w:rPr>
          <w:rFonts w:hint="eastAsia"/>
        </w:rPr>
        <w:t xml:space="preserve">  声环境现状监测结果    单位：dB（A）</w:t>
      </w:r>
    </w:p>
    <w:tbl>
      <w:tblPr>
        <w:tblStyle w:val="260"/>
        <w:tblW w:w="84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313"/>
        <w:gridCol w:w="1417"/>
        <w:gridCol w:w="1463"/>
        <w:gridCol w:w="1440"/>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47" w:type="dxa"/>
            <w:vAlign w:val="center"/>
          </w:tcPr>
          <w:p>
            <w:pPr>
              <w:pStyle w:val="100"/>
              <w:widowControl w:val="0"/>
              <w:bidi w:val="0"/>
              <w:adjustRightInd w:val="0"/>
              <w:snapToGrid w:val="0"/>
            </w:pPr>
            <w:r>
              <w:rPr>
                <w:rFonts w:hint="eastAsia"/>
              </w:rPr>
              <w:t>时间及气象参数</w:t>
            </w:r>
          </w:p>
        </w:tc>
        <w:tc>
          <w:tcPr>
            <w:tcW w:w="1313" w:type="dxa"/>
            <w:vAlign w:val="center"/>
          </w:tcPr>
          <w:p>
            <w:pPr>
              <w:pStyle w:val="100"/>
              <w:widowControl w:val="0"/>
              <w:bidi w:val="0"/>
              <w:adjustRightInd w:val="0"/>
              <w:snapToGrid w:val="0"/>
            </w:pPr>
            <w:r>
              <w:t>监测结果</w:t>
            </w:r>
          </w:p>
        </w:tc>
        <w:tc>
          <w:tcPr>
            <w:tcW w:w="1417" w:type="dxa"/>
            <w:vAlign w:val="center"/>
          </w:tcPr>
          <w:p>
            <w:pPr>
              <w:pStyle w:val="100"/>
              <w:widowControl w:val="0"/>
              <w:bidi w:val="0"/>
              <w:adjustRightInd w:val="0"/>
              <w:snapToGrid w:val="0"/>
            </w:pPr>
            <w:r>
              <w:t>N1</w:t>
            </w:r>
          </w:p>
        </w:tc>
        <w:tc>
          <w:tcPr>
            <w:tcW w:w="1463" w:type="dxa"/>
            <w:vAlign w:val="center"/>
          </w:tcPr>
          <w:p>
            <w:pPr>
              <w:pStyle w:val="100"/>
              <w:widowControl w:val="0"/>
              <w:bidi w:val="0"/>
              <w:adjustRightInd w:val="0"/>
              <w:snapToGrid w:val="0"/>
            </w:pPr>
            <w:r>
              <w:t>N2</w:t>
            </w:r>
          </w:p>
        </w:tc>
        <w:tc>
          <w:tcPr>
            <w:tcW w:w="1440" w:type="dxa"/>
            <w:vAlign w:val="center"/>
          </w:tcPr>
          <w:p>
            <w:pPr>
              <w:pStyle w:val="100"/>
              <w:widowControl w:val="0"/>
              <w:bidi w:val="0"/>
              <w:adjustRightInd w:val="0"/>
              <w:snapToGrid w:val="0"/>
            </w:pPr>
            <w:r>
              <w:t>N3</w:t>
            </w:r>
          </w:p>
        </w:tc>
        <w:tc>
          <w:tcPr>
            <w:tcW w:w="1503" w:type="dxa"/>
            <w:vAlign w:val="center"/>
          </w:tcPr>
          <w:p>
            <w:pPr>
              <w:pStyle w:val="100"/>
              <w:widowControl w:val="0"/>
              <w:bidi w:val="0"/>
              <w:adjustRightInd w:val="0"/>
              <w:snapToGrid w:val="0"/>
            </w:pPr>
            <w:r>
              <w:t>N4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47" w:type="dxa"/>
            <w:vMerge w:val="restart"/>
            <w:vAlign w:val="center"/>
          </w:tcPr>
          <w:p>
            <w:pPr>
              <w:pStyle w:val="100"/>
              <w:widowControl w:val="0"/>
              <w:bidi w:val="0"/>
              <w:adjustRightInd w:val="0"/>
              <w:snapToGrid w:val="0"/>
              <w:rPr>
                <w:rFonts w:hint="default"/>
                <w:lang w:val="en-US" w:eastAsia="zh-CN"/>
              </w:rPr>
            </w:pPr>
            <w:r>
              <w:rPr>
                <w:rFonts w:hint="eastAsia"/>
              </w:rPr>
              <w:t>20</w:t>
            </w:r>
            <w:r>
              <w:rPr>
                <w:rFonts w:hint="eastAsia"/>
                <w:lang w:val="en-US" w:eastAsia="zh-CN"/>
              </w:rPr>
              <w:t>20</w:t>
            </w:r>
            <w:r>
              <w:rPr>
                <w:rFonts w:hint="eastAsia"/>
              </w:rPr>
              <w:t>.</w:t>
            </w:r>
            <w:r>
              <w:rPr>
                <w:rFonts w:hint="eastAsia"/>
                <w:lang w:val="en-US" w:eastAsia="zh-CN"/>
              </w:rPr>
              <w:t>12</w:t>
            </w:r>
            <w:r>
              <w:rPr>
                <w:rFonts w:hint="eastAsia"/>
              </w:rPr>
              <w:t>.</w:t>
            </w:r>
            <w:r>
              <w:rPr>
                <w:rFonts w:hint="eastAsia"/>
                <w:lang w:val="en-US" w:eastAsia="zh-CN"/>
              </w:rPr>
              <w:t>15</w:t>
            </w:r>
          </w:p>
          <w:p>
            <w:pPr>
              <w:pStyle w:val="100"/>
              <w:widowControl w:val="0"/>
              <w:bidi w:val="0"/>
              <w:adjustRightInd w:val="0"/>
              <w:snapToGrid w:val="0"/>
              <w:rPr>
                <w:rFonts w:hint="default"/>
                <w:lang w:val="en-US" w:eastAsia="zh-CN"/>
              </w:rPr>
            </w:pPr>
            <w:r>
              <w:rPr>
                <w:rFonts w:hint="eastAsia"/>
              </w:rPr>
              <w:t>风速</w:t>
            </w:r>
            <w:r>
              <w:rPr>
                <w:rFonts w:hint="eastAsia"/>
                <w:lang w:val="en-US" w:eastAsia="zh-CN"/>
              </w:rPr>
              <w:t>2.4m/s</w:t>
            </w:r>
          </w:p>
        </w:tc>
        <w:tc>
          <w:tcPr>
            <w:tcW w:w="1313" w:type="dxa"/>
            <w:vAlign w:val="center"/>
          </w:tcPr>
          <w:p>
            <w:pPr>
              <w:pStyle w:val="100"/>
              <w:widowControl w:val="0"/>
              <w:bidi w:val="0"/>
              <w:adjustRightInd w:val="0"/>
              <w:snapToGrid w:val="0"/>
            </w:pPr>
            <w:r>
              <w:t>昼间</w:t>
            </w:r>
          </w:p>
        </w:tc>
        <w:tc>
          <w:tcPr>
            <w:tcW w:w="1417" w:type="dxa"/>
            <w:vAlign w:val="center"/>
          </w:tcPr>
          <w:p>
            <w:pPr>
              <w:pStyle w:val="100"/>
              <w:widowControl w:val="0"/>
              <w:bidi w:val="0"/>
              <w:adjustRightInd w:val="0"/>
              <w:snapToGrid w:val="0"/>
              <w:rPr>
                <w:rFonts w:hint="default"/>
                <w:lang w:val="en-US" w:eastAsia="zh-CN"/>
              </w:rPr>
            </w:pPr>
            <w:r>
              <w:rPr>
                <w:rFonts w:hint="eastAsia"/>
                <w:lang w:val="en-US" w:eastAsia="zh-CN"/>
              </w:rPr>
              <w:t>54</w:t>
            </w:r>
          </w:p>
        </w:tc>
        <w:tc>
          <w:tcPr>
            <w:tcW w:w="1463" w:type="dxa"/>
            <w:vAlign w:val="center"/>
          </w:tcPr>
          <w:p>
            <w:pPr>
              <w:pStyle w:val="100"/>
              <w:widowControl w:val="0"/>
              <w:bidi w:val="0"/>
              <w:adjustRightInd w:val="0"/>
              <w:snapToGrid w:val="0"/>
              <w:rPr>
                <w:rFonts w:hint="default"/>
                <w:lang w:val="en-US" w:eastAsia="zh-CN"/>
              </w:rPr>
            </w:pPr>
            <w:r>
              <w:rPr>
                <w:rFonts w:hint="eastAsia"/>
                <w:lang w:val="en-US" w:eastAsia="zh-CN"/>
              </w:rPr>
              <w:t>58</w:t>
            </w:r>
          </w:p>
        </w:tc>
        <w:tc>
          <w:tcPr>
            <w:tcW w:w="1440" w:type="dxa"/>
            <w:vAlign w:val="center"/>
          </w:tcPr>
          <w:p>
            <w:pPr>
              <w:pStyle w:val="100"/>
              <w:widowControl w:val="0"/>
              <w:bidi w:val="0"/>
              <w:adjustRightInd w:val="0"/>
              <w:snapToGrid w:val="0"/>
              <w:rPr>
                <w:rFonts w:hint="default"/>
                <w:lang w:val="en-US" w:eastAsia="zh-CN"/>
              </w:rPr>
            </w:pPr>
            <w:r>
              <w:rPr>
                <w:rFonts w:hint="eastAsia"/>
                <w:lang w:val="en-US" w:eastAsia="zh-CN"/>
              </w:rPr>
              <w:t>57</w:t>
            </w:r>
          </w:p>
        </w:tc>
        <w:tc>
          <w:tcPr>
            <w:tcW w:w="1503" w:type="dxa"/>
            <w:vAlign w:val="center"/>
          </w:tcPr>
          <w:p>
            <w:pPr>
              <w:pStyle w:val="100"/>
              <w:widowControl w:val="0"/>
              <w:bidi w:val="0"/>
              <w:adjustRightInd w:val="0"/>
              <w:snapToGrid w:val="0"/>
              <w:rPr>
                <w:rFonts w:hint="default"/>
                <w:lang w:val="en-US" w:eastAsia="zh-CN"/>
              </w:rPr>
            </w:pPr>
            <w:r>
              <w:rPr>
                <w:rFonts w:hint="eastAsia"/>
                <w:lang w:val="en-US" w:eastAsia="zh-CN"/>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47" w:type="dxa"/>
            <w:vMerge w:val="continue"/>
            <w:vAlign w:val="center"/>
          </w:tcPr>
          <w:p>
            <w:pPr>
              <w:pStyle w:val="100"/>
              <w:widowControl w:val="0"/>
              <w:bidi w:val="0"/>
              <w:adjustRightInd w:val="0"/>
              <w:snapToGrid w:val="0"/>
            </w:pPr>
          </w:p>
        </w:tc>
        <w:tc>
          <w:tcPr>
            <w:tcW w:w="1313" w:type="dxa"/>
            <w:vAlign w:val="center"/>
          </w:tcPr>
          <w:p>
            <w:pPr>
              <w:pStyle w:val="100"/>
              <w:widowControl w:val="0"/>
              <w:bidi w:val="0"/>
              <w:adjustRightInd w:val="0"/>
              <w:snapToGrid w:val="0"/>
            </w:pPr>
            <w:r>
              <w:t>标准值</w:t>
            </w:r>
          </w:p>
        </w:tc>
        <w:tc>
          <w:tcPr>
            <w:tcW w:w="1417" w:type="dxa"/>
            <w:vAlign w:val="center"/>
          </w:tcPr>
          <w:p>
            <w:pPr>
              <w:pStyle w:val="100"/>
              <w:widowControl w:val="0"/>
              <w:bidi w:val="0"/>
              <w:adjustRightInd w:val="0"/>
              <w:snapToGrid w:val="0"/>
              <w:rPr>
                <w:rFonts w:hint="default"/>
                <w:lang w:val="en-US" w:eastAsia="zh-CN"/>
              </w:rPr>
            </w:pPr>
            <w:r>
              <w:rPr>
                <w:rFonts w:hint="eastAsia"/>
                <w:lang w:val="en-US" w:eastAsia="zh-CN"/>
              </w:rPr>
              <w:t>70</w:t>
            </w:r>
          </w:p>
        </w:tc>
        <w:tc>
          <w:tcPr>
            <w:tcW w:w="1463" w:type="dxa"/>
            <w:vAlign w:val="center"/>
          </w:tcPr>
          <w:p>
            <w:pPr>
              <w:pStyle w:val="100"/>
              <w:widowControl w:val="0"/>
              <w:bidi w:val="0"/>
              <w:adjustRightInd w:val="0"/>
              <w:snapToGrid w:val="0"/>
            </w:pPr>
            <w:r>
              <w:t>65</w:t>
            </w:r>
          </w:p>
        </w:tc>
        <w:tc>
          <w:tcPr>
            <w:tcW w:w="1440" w:type="dxa"/>
            <w:vAlign w:val="center"/>
          </w:tcPr>
          <w:p>
            <w:pPr>
              <w:pStyle w:val="100"/>
              <w:widowControl w:val="0"/>
              <w:bidi w:val="0"/>
              <w:adjustRightInd w:val="0"/>
              <w:snapToGrid w:val="0"/>
            </w:pPr>
            <w:r>
              <w:t>65</w:t>
            </w:r>
          </w:p>
        </w:tc>
        <w:tc>
          <w:tcPr>
            <w:tcW w:w="1503" w:type="dxa"/>
            <w:vAlign w:val="center"/>
          </w:tcPr>
          <w:p>
            <w:pPr>
              <w:pStyle w:val="100"/>
              <w:widowControl w:val="0"/>
              <w:bidi w:val="0"/>
              <w:adjustRightInd w:val="0"/>
              <w:snapToGrid w:val="0"/>
              <w:rPr>
                <w:rFonts w:hint="default"/>
                <w:lang w:val="en-US" w:eastAsia="zh-CN"/>
              </w:rPr>
            </w:pPr>
            <w:r>
              <w:rPr>
                <w:rFonts w:hint="eastAsia"/>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47" w:type="dxa"/>
            <w:vMerge w:val="continue"/>
            <w:vAlign w:val="center"/>
          </w:tcPr>
          <w:p>
            <w:pPr>
              <w:pStyle w:val="100"/>
              <w:widowControl w:val="0"/>
              <w:bidi w:val="0"/>
              <w:adjustRightInd w:val="0"/>
              <w:snapToGrid w:val="0"/>
            </w:pPr>
          </w:p>
        </w:tc>
        <w:tc>
          <w:tcPr>
            <w:tcW w:w="1313" w:type="dxa"/>
            <w:vAlign w:val="center"/>
          </w:tcPr>
          <w:p>
            <w:pPr>
              <w:pStyle w:val="100"/>
              <w:widowControl w:val="0"/>
              <w:bidi w:val="0"/>
              <w:adjustRightInd w:val="0"/>
              <w:snapToGrid w:val="0"/>
            </w:pPr>
            <w:r>
              <w:t>是否达标</w:t>
            </w:r>
          </w:p>
        </w:tc>
        <w:tc>
          <w:tcPr>
            <w:tcW w:w="1417" w:type="dxa"/>
            <w:vAlign w:val="center"/>
          </w:tcPr>
          <w:p>
            <w:pPr>
              <w:pStyle w:val="100"/>
              <w:widowControl w:val="0"/>
              <w:bidi w:val="0"/>
              <w:adjustRightInd w:val="0"/>
              <w:snapToGrid w:val="0"/>
            </w:pPr>
            <w:r>
              <w:t>是</w:t>
            </w:r>
          </w:p>
        </w:tc>
        <w:tc>
          <w:tcPr>
            <w:tcW w:w="1463" w:type="dxa"/>
            <w:vAlign w:val="center"/>
          </w:tcPr>
          <w:p>
            <w:pPr>
              <w:pStyle w:val="100"/>
              <w:widowControl w:val="0"/>
              <w:bidi w:val="0"/>
              <w:adjustRightInd w:val="0"/>
              <w:snapToGrid w:val="0"/>
            </w:pPr>
            <w:r>
              <w:t>是</w:t>
            </w:r>
          </w:p>
        </w:tc>
        <w:tc>
          <w:tcPr>
            <w:tcW w:w="1440" w:type="dxa"/>
            <w:vAlign w:val="center"/>
          </w:tcPr>
          <w:p>
            <w:pPr>
              <w:pStyle w:val="100"/>
              <w:widowControl w:val="0"/>
              <w:bidi w:val="0"/>
              <w:adjustRightInd w:val="0"/>
              <w:snapToGrid w:val="0"/>
            </w:pPr>
            <w:r>
              <w:t>是</w:t>
            </w:r>
          </w:p>
        </w:tc>
        <w:tc>
          <w:tcPr>
            <w:tcW w:w="1503" w:type="dxa"/>
            <w:vAlign w:val="center"/>
          </w:tcPr>
          <w:p>
            <w:pPr>
              <w:pStyle w:val="100"/>
              <w:widowControl w:val="0"/>
              <w:bidi w:val="0"/>
              <w:adjustRightInd w:val="0"/>
              <w:snapToGrid w:val="0"/>
            </w:pPr>
            <w: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47" w:type="dxa"/>
            <w:vMerge w:val="restart"/>
            <w:vAlign w:val="center"/>
          </w:tcPr>
          <w:p>
            <w:pPr>
              <w:pStyle w:val="100"/>
              <w:widowControl w:val="0"/>
              <w:bidi w:val="0"/>
              <w:adjustRightInd w:val="0"/>
              <w:snapToGrid w:val="0"/>
              <w:rPr>
                <w:rFonts w:hint="default"/>
                <w:lang w:val="en-US" w:eastAsia="zh-CN"/>
              </w:rPr>
            </w:pPr>
            <w:r>
              <w:rPr>
                <w:rFonts w:hint="eastAsia"/>
              </w:rPr>
              <w:t>20</w:t>
            </w:r>
            <w:r>
              <w:rPr>
                <w:rFonts w:hint="eastAsia"/>
                <w:lang w:val="en-US" w:eastAsia="zh-CN"/>
              </w:rPr>
              <w:t>20</w:t>
            </w:r>
            <w:r>
              <w:rPr>
                <w:rFonts w:hint="eastAsia"/>
              </w:rPr>
              <w:t>.</w:t>
            </w:r>
            <w:r>
              <w:rPr>
                <w:rFonts w:hint="eastAsia"/>
                <w:lang w:val="en-US" w:eastAsia="zh-CN"/>
              </w:rPr>
              <w:t>12</w:t>
            </w:r>
            <w:r>
              <w:rPr>
                <w:rFonts w:hint="eastAsia"/>
              </w:rPr>
              <w:t>.</w:t>
            </w:r>
            <w:r>
              <w:rPr>
                <w:rFonts w:hint="eastAsia"/>
                <w:lang w:val="en-US" w:eastAsia="zh-CN"/>
              </w:rPr>
              <w:t>15</w:t>
            </w:r>
          </w:p>
          <w:p>
            <w:pPr>
              <w:pStyle w:val="100"/>
              <w:widowControl w:val="0"/>
              <w:bidi w:val="0"/>
              <w:adjustRightInd w:val="0"/>
              <w:snapToGrid w:val="0"/>
            </w:pPr>
            <w:r>
              <w:rPr>
                <w:rFonts w:hint="eastAsia"/>
              </w:rPr>
              <w:t>风速</w:t>
            </w:r>
            <w:r>
              <w:rPr>
                <w:rFonts w:hint="eastAsia"/>
                <w:lang w:val="en-US" w:eastAsia="zh-CN"/>
              </w:rPr>
              <w:t>2.5m/s</w:t>
            </w:r>
          </w:p>
        </w:tc>
        <w:tc>
          <w:tcPr>
            <w:tcW w:w="1313" w:type="dxa"/>
            <w:vAlign w:val="center"/>
          </w:tcPr>
          <w:p>
            <w:pPr>
              <w:pStyle w:val="100"/>
              <w:widowControl w:val="0"/>
              <w:bidi w:val="0"/>
              <w:adjustRightInd w:val="0"/>
              <w:snapToGrid w:val="0"/>
            </w:pPr>
            <w:r>
              <w:t>夜间</w:t>
            </w:r>
          </w:p>
        </w:tc>
        <w:tc>
          <w:tcPr>
            <w:tcW w:w="1417" w:type="dxa"/>
            <w:vAlign w:val="center"/>
          </w:tcPr>
          <w:p>
            <w:pPr>
              <w:pStyle w:val="100"/>
              <w:widowControl w:val="0"/>
              <w:bidi w:val="0"/>
              <w:adjustRightInd w:val="0"/>
              <w:snapToGrid w:val="0"/>
              <w:rPr>
                <w:rFonts w:hint="default"/>
                <w:lang w:val="en-US" w:eastAsia="zh-CN"/>
              </w:rPr>
            </w:pPr>
            <w:r>
              <w:rPr>
                <w:rFonts w:hint="eastAsia"/>
                <w:lang w:val="en-US" w:eastAsia="zh-CN"/>
              </w:rPr>
              <w:t>47</w:t>
            </w:r>
          </w:p>
        </w:tc>
        <w:tc>
          <w:tcPr>
            <w:tcW w:w="1463" w:type="dxa"/>
            <w:vAlign w:val="center"/>
          </w:tcPr>
          <w:p>
            <w:pPr>
              <w:pStyle w:val="100"/>
              <w:widowControl w:val="0"/>
              <w:bidi w:val="0"/>
              <w:adjustRightInd w:val="0"/>
              <w:snapToGrid w:val="0"/>
              <w:rPr>
                <w:rFonts w:hint="eastAsia"/>
                <w:lang w:val="en-US" w:eastAsia="zh-CN"/>
              </w:rPr>
            </w:pPr>
            <w:r>
              <w:rPr>
                <w:rFonts w:hint="eastAsia"/>
              </w:rPr>
              <w:t>4</w:t>
            </w:r>
            <w:r>
              <w:rPr>
                <w:rFonts w:hint="eastAsia"/>
                <w:lang w:val="en-US" w:eastAsia="zh-CN"/>
              </w:rPr>
              <w:t>8</w:t>
            </w:r>
          </w:p>
        </w:tc>
        <w:tc>
          <w:tcPr>
            <w:tcW w:w="1440" w:type="dxa"/>
            <w:vAlign w:val="center"/>
          </w:tcPr>
          <w:p>
            <w:pPr>
              <w:pStyle w:val="100"/>
              <w:widowControl w:val="0"/>
              <w:bidi w:val="0"/>
              <w:adjustRightInd w:val="0"/>
              <w:snapToGrid w:val="0"/>
              <w:rPr>
                <w:rFonts w:hint="eastAsia"/>
                <w:lang w:val="en-US" w:eastAsia="zh-CN"/>
              </w:rPr>
            </w:pPr>
            <w:r>
              <w:rPr>
                <w:rFonts w:hint="eastAsia"/>
              </w:rPr>
              <w:t>4</w:t>
            </w:r>
            <w:r>
              <w:rPr>
                <w:rFonts w:hint="eastAsia"/>
                <w:lang w:val="en-US" w:eastAsia="zh-CN"/>
              </w:rPr>
              <w:t>6</w:t>
            </w:r>
          </w:p>
        </w:tc>
        <w:tc>
          <w:tcPr>
            <w:tcW w:w="1503" w:type="dxa"/>
            <w:vAlign w:val="center"/>
          </w:tcPr>
          <w:p>
            <w:pPr>
              <w:pStyle w:val="100"/>
              <w:widowControl w:val="0"/>
              <w:bidi w:val="0"/>
              <w:adjustRightInd w:val="0"/>
              <w:snapToGrid w:val="0"/>
              <w:rPr>
                <w:rFonts w:hint="default"/>
                <w:lang w:val="en-US" w:eastAsia="zh-CN"/>
              </w:rPr>
            </w:pPr>
            <w:r>
              <w:rPr>
                <w:rFonts w:hint="eastAsia"/>
                <w:lang w:val="en-US" w:eastAsia="zh-C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47" w:type="dxa"/>
            <w:vMerge w:val="continue"/>
            <w:vAlign w:val="center"/>
          </w:tcPr>
          <w:p>
            <w:pPr>
              <w:pStyle w:val="100"/>
              <w:widowControl w:val="0"/>
              <w:bidi w:val="0"/>
              <w:adjustRightInd w:val="0"/>
              <w:snapToGrid w:val="0"/>
            </w:pPr>
          </w:p>
        </w:tc>
        <w:tc>
          <w:tcPr>
            <w:tcW w:w="1313" w:type="dxa"/>
            <w:vAlign w:val="center"/>
          </w:tcPr>
          <w:p>
            <w:pPr>
              <w:pStyle w:val="100"/>
              <w:widowControl w:val="0"/>
              <w:bidi w:val="0"/>
              <w:adjustRightInd w:val="0"/>
              <w:snapToGrid w:val="0"/>
            </w:pPr>
            <w:r>
              <w:t>标准值</w:t>
            </w:r>
          </w:p>
        </w:tc>
        <w:tc>
          <w:tcPr>
            <w:tcW w:w="1417" w:type="dxa"/>
            <w:vAlign w:val="center"/>
          </w:tcPr>
          <w:p>
            <w:pPr>
              <w:pStyle w:val="100"/>
              <w:widowControl w:val="0"/>
              <w:bidi w:val="0"/>
              <w:adjustRightInd w:val="0"/>
              <w:snapToGrid w:val="0"/>
            </w:pPr>
            <w:r>
              <w:t>55</w:t>
            </w:r>
          </w:p>
        </w:tc>
        <w:tc>
          <w:tcPr>
            <w:tcW w:w="1463" w:type="dxa"/>
            <w:vAlign w:val="center"/>
          </w:tcPr>
          <w:p>
            <w:pPr>
              <w:pStyle w:val="100"/>
              <w:widowControl w:val="0"/>
              <w:bidi w:val="0"/>
              <w:adjustRightInd w:val="0"/>
              <w:snapToGrid w:val="0"/>
            </w:pPr>
            <w:r>
              <w:t>55</w:t>
            </w:r>
          </w:p>
        </w:tc>
        <w:tc>
          <w:tcPr>
            <w:tcW w:w="1440" w:type="dxa"/>
            <w:vAlign w:val="center"/>
          </w:tcPr>
          <w:p>
            <w:pPr>
              <w:pStyle w:val="100"/>
              <w:widowControl w:val="0"/>
              <w:bidi w:val="0"/>
              <w:adjustRightInd w:val="0"/>
              <w:snapToGrid w:val="0"/>
            </w:pPr>
            <w:r>
              <w:t>55</w:t>
            </w:r>
          </w:p>
        </w:tc>
        <w:tc>
          <w:tcPr>
            <w:tcW w:w="1503" w:type="dxa"/>
            <w:vAlign w:val="center"/>
          </w:tcPr>
          <w:p>
            <w:pPr>
              <w:pStyle w:val="100"/>
              <w:widowControl w:val="0"/>
              <w:bidi w:val="0"/>
              <w:adjustRightInd w:val="0"/>
              <w:snapToGrid w:val="0"/>
            </w:pPr>
            <w: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47" w:type="dxa"/>
            <w:vMerge w:val="continue"/>
            <w:vAlign w:val="center"/>
          </w:tcPr>
          <w:p>
            <w:pPr>
              <w:pStyle w:val="100"/>
              <w:widowControl w:val="0"/>
              <w:bidi w:val="0"/>
              <w:adjustRightInd w:val="0"/>
              <w:snapToGrid w:val="0"/>
            </w:pPr>
          </w:p>
        </w:tc>
        <w:tc>
          <w:tcPr>
            <w:tcW w:w="1313" w:type="dxa"/>
            <w:vAlign w:val="center"/>
          </w:tcPr>
          <w:p>
            <w:pPr>
              <w:pStyle w:val="100"/>
              <w:widowControl w:val="0"/>
              <w:bidi w:val="0"/>
              <w:adjustRightInd w:val="0"/>
              <w:snapToGrid w:val="0"/>
            </w:pPr>
            <w:r>
              <w:t>是否达标</w:t>
            </w:r>
          </w:p>
        </w:tc>
        <w:tc>
          <w:tcPr>
            <w:tcW w:w="1417" w:type="dxa"/>
            <w:vAlign w:val="center"/>
          </w:tcPr>
          <w:p>
            <w:pPr>
              <w:pStyle w:val="100"/>
              <w:widowControl w:val="0"/>
              <w:bidi w:val="0"/>
              <w:adjustRightInd w:val="0"/>
              <w:snapToGrid w:val="0"/>
            </w:pPr>
            <w:r>
              <w:t>是</w:t>
            </w:r>
          </w:p>
        </w:tc>
        <w:tc>
          <w:tcPr>
            <w:tcW w:w="1463" w:type="dxa"/>
            <w:vAlign w:val="center"/>
          </w:tcPr>
          <w:p>
            <w:pPr>
              <w:pStyle w:val="100"/>
              <w:widowControl w:val="0"/>
              <w:bidi w:val="0"/>
              <w:adjustRightInd w:val="0"/>
              <w:snapToGrid w:val="0"/>
            </w:pPr>
            <w:r>
              <w:t>是</w:t>
            </w:r>
          </w:p>
        </w:tc>
        <w:tc>
          <w:tcPr>
            <w:tcW w:w="1440" w:type="dxa"/>
            <w:vAlign w:val="center"/>
          </w:tcPr>
          <w:p>
            <w:pPr>
              <w:pStyle w:val="100"/>
              <w:widowControl w:val="0"/>
              <w:bidi w:val="0"/>
              <w:adjustRightInd w:val="0"/>
              <w:snapToGrid w:val="0"/>
            </w:pPr>
            <w:r>
              <w:t>是</w:t>
            </w:r>
          </w:p>
        </w:tc>
        <w:tc>
          <w:tcPr>
            <w:tcW w:w="1503" w:type="dxa"/>
            <w:vAlign w:val="center"/>
          </w:tcPr>
          <w:p>
            <w:pPr>
              <w:pStyle w:val="100"/>
              <w:widowControl w:val="0"/>
              <w:bidi w:val="0"/>
              <w:adjustRightInd w:val="0"/>
              <w:snapToGrid w:val="0"/>
            </w:pPr>
            <w:r>
              <w:t>是</w:t>
            </w:r>
          </w:p>
        </w:tc>
      </w:tr>
    </w:tbl>
    <w:p>
      <w:pPr>
        <w:pStyle w:val="103"/>
        <w:bidi w:val="0"/>
      </w:pPr>
      <w:r>
        <w:t>由3-2表监测结果表明，监测期间内建设项目厂界</w:t>
      </w:r>
      <w:r>
        <w:rPr>
          <w:rFonts w:hint="eastAsia"/>
          <w:lang w:val="en-US" w:eastAsia="zh-CN"/>
        </w:rPr>
        <w:t>西侧、厂界南侧</w:t>
      </w:r>
      <w:r>
        <w:t>噪声达到《声环境质量标准》（GB3096-2008）表1中</w:t>
      </w:r>
      <w:r>
        <w:rPr>
          <w:rFonts w:hint="eastAsia"/>
          <w:lang w:val="en-US" w:eastAsia="zh-CN"/>
        </w:rPr>
        <w:t>3</w:t>
      </w:r>
      <w:r>
        <w:t>类标准，厂界</w:t>
      </w:r>
      <w:r>
        <w:rPr>
          <w:rFonts w:hint="eastAsia"/>
          <w:lang w:val="en-US" w:eastAsia="zh-CN"/>
        </w:rPr>
        <w:t>东侧、厂界北侧</w:t>
      </w:r>
      <w:r>
        <w:t>噪声达到《声环境质量标准》（GB3096-2008）表1中</w:t>
      </w:r>
      <w:r>
        <w:rPr>
          <w:rFonts w:hint="eastAsia"/>
          <w:lang w:val="en-US" w:eastAsia="zh-CN"/>
        </w:rPr>
        <w:t>4a</w:t>
      </w:r>
      <w:r>
        <w:t>类标准</w:t>
      </w:r>
      <w:r>
        <w:rPr>
          <w:rFonts w:hint="eastAsia"/>
          <w:lang w:eastAsia="zh-CN"/>
        </w:rPr>
        <w:t>，</w:t>
      </w:r>
      <w:r>
        <w:t>项目所在地声环境质量较好。</w:t>
      </w:r>
    </w:p>
    <w:p>
      <w:pPr>
        <w:pStyle w:val="102"/>
      </w:pPr>
      <w:bookmarkStart w:id="48" w:name="_Toc307515799"/>
      <w:r>
        <w:t>主要环境保护目标</w:t>
      </w:r>
      <w:bookmarkEnd w:id="48"/>
    </w:p>
    <w:p>
      <w:pPr>
        <w:pStyle w:val="103"/>
        <w:bidi w:val="0"/>
      </w:pPr>
      <w:bookmarkStart w:id="49" w:name="OLE_LINK8"/>
      <w:r>
        <w:t>本项目位于苏州市吴江</w:t>
      </w:r>
      <w:r>
        <w:rPr>
          <w:rFonts w:hint="eastAsia"/>
        </w:rPr>
        <w:t>经济技术开发区吉市东路217号</w:t>
      </w:r>
      <w:r>
        <w:t>，项目东侧为</w:t>
      </w:r>
      <w:r>
        <w:rPr>
          <w:rFonts w:hint="eastAsia"/>
        </w:rPr>
        <w:t>新浜路</w:t>
      </w:r>
      <w:r>
        <w:t>；项目南侧为</w:t>
      </w:r>
      <w:r>
        <w:rPr>
          <w:rFonts w:hint="eastAsia"/>
        </w:rPr>
        <w:t>星晖印刷厂</w:t>
      </w:r>
      <w:r>
        <w:t>；项目西侧为</w:t>
      </w:r>
      <w:r>
        <w:rPr>
          <w:rFonts w:hint="eastAsia"/>
        </w:rPr>
        <w:t>帏翔电子科技</w:t>
      </w:r>
      <w:r>
        <w:t>；项目北侧为</w:t>
      </w:r>
      <w:r>
        <w:rPr>
          <w:rFonts w:hint="eastAsia"/>
        </w:rPr>
        <w:t>吉市东路</w:t>
      </w:r>
      <w:r>
        <w:t>。项目距离最近居民为</w:t>
      </w:r>
      <w:r>
        <w:rPr>
          <w:rFonts w:hint="eastAsia"/>
        </w:rPr>
        <w:t>1100m。</w:t>
      </w:r>
    </w:p>
    <w:p>
      <w:pPr>
        <w:pStyle w:val="103"/>
        <w:bidi w:val="0"/>
      </w:pPr>
      <w:r>
        <w:t>项目西</w:t>
      </w:r>
      <w:r>
        <w:rPr>
          <w:rFonts w:hint="eastAsia"/>
          <w:lang w:val="en-US" w:eastAsia="zh-CN"/>
        </w:rPr>
        <w:t>侧</w:t>
      </w:r>
      <w:r>
        <w:t>距太湖约</w:t>
      </w:r>
      <w:r>
        <w:rPr>
          <w:rFonts w:hint="eastAsia"/>
          <w:lang w:val="en-US" w:eastAsia="zh-CN"/>
        </w:rPr>
        <w:t>7.1</w:t>
      </w:r>
      <w:r>
        <w:rPr>
          <w:rFonts w:hint="eastAsia"/>
        </w:rPr>
        <w:t>公里</w:t>
      </w:r>
      <w:r>
        <w:t>，属于太湖流域三级保护区。项目不属于</w:t>
      </w:r>
      <w:r>
        <w:rPr>
          <w:rFonts w:hint="eastAsia"/>
        </w:rPr>
        <w:t>《江苏省生态空间管控区域规划》</w:t>
      </w:r>
      <w:r>
        <w:t>中所规定的管控区内，距离最近的生态红线为东南面约2</w:t>
      </w:r>
      <w:r>
        <w:rPr>
          <w:rFonts w:hint="eastAsia"/>
        </w:rPr>
        <w:t>6</w:t>
      </w:r>
      <w:r>
        <w:t>00m处的</w:t>
      </w:r>
      <w:r>
        <w:rPr>
          <w:rFonts w:hint="eastAsia"/>
        </w:rPr>
        <w:t>同里湖</w:t>
      </w:r>
      <w:r>
        <w:t>。环境保护目标如表3-</w:t>
      </w:r>
      <w:r>
        <w:rPr>
          <w:rFonts w:hint="eastAsia"/>
        </w:rPr>
        <w:t>6</w:t>
      </w:r>
      <w:r>
        <w:t>所示。</w:t>
      </w:r>
    </w:p>
    <w:p>
      <w:pPr>
        <w:pStyle w:val="103"/>
        <w:bidi w:val="0"/>
      </w:pPr>
      <w:r>
        <w:t>本项目所在区域主要保护目标如下：</w:t>
      </w:r>
    </w:p>
    <w:p>
      <w:pPr>
        <w:pStyle w:val="103"/>
        <w:bidi w:val="0"/>
      </w:pPr>
      <w:r>
        <w:t>（1）环境空气：确保周围大气环境维持二类功能区要求。</w:t>
      </w:r>
    </w:p>
    <w:p>
      <w:pPr>
        <w:pStyle w:val="103"/>
        <w:bidi w:val="0"/>
      </w:pPr>
      <w:r>
        <w:t>（2）地表水：确保周围水体水质维持Ⅱ、Ⅳ类功能区要求。</w:t>
      </w:r>
    </w:p>
    <w:p>
      <w:pPr>
        <w:pStyle w:val="103"/>
        <w:bidi w:val="0"/>
      </w:pPr>
      <w:r>
        <w:t>（3）声环境：确保项目区域声环境维持</w:t>
      </w:r>
      <w:r>
        <w:rPr>
          <w:rFonts w:hint="eastAsia"/>
          <w:lang w:val="en-US" w:eastAsia="zh-CN"/>
        </w:rPr>
        <w:t>3</w:t>
      </w:r>
      <w:r>
        <w:t>类功能区要求。</w:t>
      </w:r>
    </w:p>
    <w:p>
      <w:pPr>
        <w:pStyle w:val="103"/>
        <w:bidi w:val="0"/>
      </w:pPr>
      <w:r>
        <w:t>（4）生态环境：项目所在范围的生态环境。</w:t>
      </w:r>
    </w:p>
    <w:p>
      <w:pPr>
        <w:pStyle w:val="273"/>
        <w:bidi w:val="0"/>
        <w:rPr>
          <w:rFonts w:hint="eastAsia"/>
        </w:rPr>
      </w:pPr>
      <w:r>
        <w:rPr>
          <w:rFonts w:hint="eastAsia"/>
        </w:rPr>
        <w:t>表3</w:t>
      </w:r>
      <w:r>
        <w:rPr>
          <w:rFonts w:hint="eastAsia"/>
          <w:lang w:val="en-US" w:eastAsia="zh-CN"/>
        </w:rPr>
        <w:t>-6</w:t>
      </w:r>
      <w:r>
        <w:rPr>
          <w:rFonts w:hint="eastAsia"/>
        </w:rPr>
        <w:t xml:space="preserve">  本项目环境空气环境保护目标</w:t>
      </w:r>
    </w:p>
    <w:tbl>
      <w:tblPr>
        <w:tblStyle w:val="260"/>
        <w:tblpPr w:leftFromText="180" w:rightFromText="180" w:vertAnchor="text" w:tblpXSpec="center" w:tblpY="1"/>
        <w:tblW w:w="84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714"/>
        <w:gridCol w:w="715"/>
        <w:gridCol w:w="1571"/>
        <w:gridCol w:w="1177"/>
        <w:gridCol w:w="1057"/>
        <w:gridCol w:w="897"/>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22" w:type="dxa"/>
            <w:vMerge w:val="restart"/>
            <w:vAlign w:val="center"/>
          </w:tcPr>
          <w:p>
            <w:pPr>
              <w:pStyle w:val="100"/>
              <w:widowControl w:val="0"/>
              <w:bidi w:val="0"/>
              <w:adjustRightInd w:val="0"/>
              <w:snapToGrid w:val="0"/>
            </w:pPr>
            <w:r>
              <w:rPr>
                <w:rFonts w:hint="eastAsia"/>
              </w:rPr>
              <w:t>名称</w:t>
            </w:r>
          </w:p>
        </w:tc>
        <w:tc>
          <w:tcPr>
            <w:tcW w:w="1429" w:type="dxa"/>
            <w:gridSpan w:val="2"/>
            <w:vAlign w:val="center"/>
          </w:tcPr>
          <w:p>
            <w:pPr>
              <w:pStyle w:val="100"/>
              <w:widowControl w:val="0"/>
              <w:bidi w:val="0"/>
              <w:adjustRightInd w:val="0"/>
              <w:snapToGrid w:val="0"/>
            </w:pPr>
            <w:r>
              <w:t>坐标/m</w:t>
            </w:r>
          </w:p>
        </w:tc>
        <w:tc>
          <w:tcPr>
            <w:tcW w:w="1571" w:type="dxa"/>
            <w:vMerge w:val="restart"/>
            <w:vAlign w:val="center"/>
          </w:tcPr>
          <w:p>
            <w:pPr>
              <w:pStyle w:val="100"/>
              <w:widowControl w:val="0"/>
              <w:bidi w:val="0"/>
              <w:adjustRightInd w:val="0"/>
              <w:snapToGrid w:val="0"/>
            </w:pPr>
            <w:r>
              <w:t>保护对象</w:t>
            </w:r>
          </w:p>
        </w:tc>
        <w:tc>
          <w:tcPr>
            <w:tcW w:w="1177" w:type="dxa"/>
            <w:vMerge w:val="restart"/>
            <w:vAlign w:val="center"/>
          </w:tcPr>
          <w:p>
            <w:pPr>
              <w:pStyle w:val="100"/>
              <w:widowControl w:val="0"/>
              <w:bidi w:val="0"/>
              <w:adjustRightInd w:val="0"/>
              <w:snapToGrid w:val="0"/>
            </w:pPr>
            <w:r>
              <w:rPr>
                <w:rFonts w:hint="eastAsia"/>
              </w:rPr>
              <w:t>保护内容</w:t>
            </w:r>
          </w:p>
        </w:tc>
        <w:tc>
          <w:tcPr>
            <w:tcW w:w="1057" w:type="dxa"/>
            <w:vMerge w:val="restart"/>
            <w:vAlign w:val="center"/>
          </w:tcPr>
          <w:p>
            <w:pPr>
              <w:pStyle w:val="100"/>
              <w:widowControl w:val="0"/>
              <w:bidi w:val="0"/>
              <w:adjustRightInd w:val="0"/>
              <w:snapToGrid w:val="0"/>
            </w:pPr>
            <w:r>
              <w:rPr>
                <w:rFonts w:hint="eastAsia"/>
              </w:rPr>
              <w:t>环境功能区</w:t>
            </w:r>
          </w:p>
        </w:tc>
        <w:tc>
          <w:tcPr>
            <w:tcW w:w="897" w:type="dxa"/>
            <w:vMerge w:val="restart"/>
            <w:vAlign w:val="center"/>
          </w:tcPr>
          <w:p>
            <w:pPr>
              <w:pStyle w:val="100"/>
              <w:widowControl w:val="0"/>
              <w:bidi w:val="0"/>
              <w:adjustRightInd w:val="0"/>
              <w:snapToGrid w:val="0"/>
            </w:pPr>
            <w:r>
              <w:rPr>
                <w:rFonts w:hint="eastAsia"/>
              </w:rPr>
              <w:t>相对厂址方位</w:t>
            </w:r>
          </w:p>
        </w:tc>
        <w:tc>
          <w:tcPr>
            <w:tcW w:w="1325" w:type="dxa"/>
            <w:vMerge w:val="restart"/>
            <w:vAlign w:val="center"/>
          </w:tcPr>
          <w:p>
            <w:pPr>
              <w:pStyle w:val="100"/>
              <w:widowControl w:val="0"/>
              <w:bidi w:val="0"/>
              <w:adjustRightInd w:val="0"/>
              <w:snapToGrid w:val="0"/>
            </w:pPr>
            <w:r>
              <w:rPr>
                <w:rFonts w:hint="eastAsia"/>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22" w:type="dxa"/>
            <w:vMerge w:val="continue"/>
            <w:vAlign w:val="center"/>
          </w:tcPr>
          <w:p>
            <w:pPr>
              <w:pStyle w:val="100"/>
              <w:widowControl w:val="0"/>
              <w:bidi w:val="0"/>
              <w:adjustRightInd w:val="0"/>
              <w:snapToGrid w:val="0"/>
            </w:pPr>
          </w:p>
        </w:tc>
        <w:tc>
          <w:tcPr>
            <w:tcW w:w="714" w:type="dxa"/>
            <w:vAlign w:val="center"/>
          </w:tcPr>
          <w:p>
            <w:pPr>
              <w:pStyle w:val="100"/>
              <w:widowControl w:val="0"/>
              <w:bidi w:val="0"/>
              <w:adjustRightInd w:val="0"/>
              <w:snapToGrid w:val="0"/>
            </w:pPr>
            <w:r>
              <w:t>X</w:t>
            </w:r>
          </w:p>
        </w:tc>
        <w:tc>
          <w:tcPr>
            <w:tcW w:w="715" w:type="dxa"/>
            <w:vAlign w:val="center"/>
          </w:tcPr>
          <w:p>
            <w:pPr>
              <w:pStyle w:val="100"/>
              <w:widowControl w:val="0"/>
              <w:bidi w:val="0"/>
              <w:adjustRightInd w:val="0"/>
              <w:snapToGrid w:val="0"/>
            </w:pPr>
            <w:r>
              <w:rPr>
                <w:rFonts w:hint="eastAsia"/>
              </w:rPr>
              <w:t>Y</w:t>
            </w:r>
          </w:p>
        </w:tc>
        <w:tc>
          <w:tcPr>
            <w:tcW w:w="1571" w:type="dxa"/>
            <w:vMerge w:val="continue"/>
            <w:vAlign w:val="center"/>
          </w:tcPr>
          <w:p>
            <w:pPr>
              <w:pStyle w:val="100"/>
              <w:widowControl w:val="0"/>
              <w:bidi w:val="0"/>
              <w:adjustRightInd w:val="0"/>
              <w:snapToGrid w:val="0"/>
            </w:pPr>
          </w:p>
        </w:tc>
        <w:tc>
          <w:tcPr>
            <w:tcW w:w="1177" w:type="dxa"/>
            <w:vMerge w:val="continue"/>
            <w:vAlign w:val="center"/>
          </w:tcPr>
          <w:p>
            <w:pPr>
              <w:pStyle w:val="100"/>
              <w:widowControl w:val="0"/>
              <w:bidi w:val="0"/>
              <w:adjustRightInd w:val="0"/>
              <w:snapToGrid w:val="0"/>
            </w:pPr>
          </w:p>
        </w:tc>
        <w:tc>
          <w:tcPr>
            <w:tcW w:w="1057" w:type="dxa"/>
            <w:vMerge w:val="continue"/>
            <w:vAlign w:val="center"/>
          </w:tcPr>
          <w:p>
            <w:pPr>
              <w:pStyle w:val="100"/>
              <w:widowControl w:val="0"/>
              <w:bidi w:val="0"/>
              <w:adjustRightInd w:val="0"/>
              <w:snapToGrid w:val="0"/>
            </w:pPr>
          </w:p>
        </w:tc>
        <w:tc>
          <w:tcPr>
            <w:tcW w:w="897" w:type="dxa"/>
            <w:vMerge w:val="continue"/>
            <w:vAlign w:val="center"/>
          </w:tcPr>
          <w:p>
            <w:pPr>
              <w:pStyle w:val="100"/>
              <w:widowControl w:val="0"/>
              <w:bidi w:val="0"/>
              <w:adjustRightInd w:val="0"/>
              <w:snapToGrid w:val="0"/>
            </w:pPr>
          </w:p>
        </w:tc>
        <w:tc>
          <w:tcPr>
            <w:tcW w:w="1325"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22" w:type="dxa"/>
            <w:vAlign w:val="center"/>
          </w:tcPr>
          <w:p>
            <w:pPr>
              <w:pStyle w:val="100"/>
              <w:widowControl w:val="0"/>
              <w:bidi w:val="0"/>
              <w:adjustRightInd w:val="0"/>
              <w:snapToGrid w:val="0"/>
            </w:pPr>
            <w:r>
              <w:rPr>
                <w:rFonts w:hint="eastAsia"/>
              </w:rPr>
              <w:t>华映花苑</w:t>
            </w:r>
          </w:p>
        </w:tc>
        <w:tc>
          <w:tcPr>
            <w:tcW w:w="714" w:type="dxa"/>
            <w:vAlign w:val="center"/>
          </w:tcPr>
          <w:p>
            <w:pPr>
              <w:pStyle w:val="100"/>
              <w:widowControl w:val="0"/>
              <w:bidi w:val="0"/>
              <w:adjustRightInd w:val="0"/>
              <w:snapToGrid w:val="0"/>
            </w:pPr>
            <w:r>
              <w:rPr>
                <w:rFonts w:hint="eastAsia"/>
              </w:rPr>
              <w:t>512</w:t>
            </w:r>
          </w:p>
        </w:tc>
        <w:tc>
          <w:tcPr>
            <w:tcW w:w="715" w:type="dxa"/>
            <w:vAlign w:val="center"/>
          </w:tcPr>
          <w:p>
            <w:pPr>
              <w:pStyle w:val="100"/>
              <w:widowControl w:val="0"/>
              <w:bidi w:val="0"/>
              <w:adjustRightInd w:val="0"/>
              <w:snapToGrid w:val="0"/>
            </w:pPr>
            <w:r>
              <w:rPr>
                <w:rFonts w:hint="eastAsia"/>
              </w:rPr>
              <w:t>975</w:t>
            </w:r>
          </w:p>
        </w:tc>
        <w:tc>
          <w:tcPr>
            <w:tcW w:w="1571" w:type="dxa"/>
            <w:vAlign w:val="center"/>
          </w:tcPr>
          <w:p>
            <w:pPr>
              <w:pStyle w:val="100"/>
              <w:widowControl w:val="0"/>
              <w:bidi w:val="0"/>
              <w:adjustRightInd w:val="0"/>
              <w:snapToGrid w:val="0"/>
            </w:pPr>
            <w:r>
              <w:rPr>
                <w:rFonts w:hint="eastAsia"/>
              </w:rPr>
              <w:t>居民区</w:t>
            </w:r>
          </w:p>
        </w:tc>
        <w:tc>
          <w:tcPr>
            <w:tcW w:w="1177" w:type="dxa"/>
            <w:vAlign w:val="center"/>
          </w:tcPr>
          <w:p>
            <w:pPr>
              <w:pStyle w:val="100"/>
              <w:widowControl w:val="0"/>
              <w:bidi w:val="0"/>
              <w:adjustRightInd w:val="0"/>
              <w:snapToGrid w:val="0"/>
            </w:pPr>
            <w:r>
              <w:rPr>
                <w:rFonts w:hint="eastAsia"/>
              </w:rPr>
              <w:t>约280户</w:t>
            </w:r>
          </w:p>
        </w:tc>
        <w:tc>
          <w:tcPr>
            <w:tcW w:w="1057" w:type="dxa"/>
            <w:vMerge w:val="restart"/>
            <w:vAlign w:val="center"/>
          </w:tcPr>
          <w:p>
            <w:pPr>
              <w:pStyle w:val="100"/>
              <w:widowControl w:val="0"/>
              <w:bidi w:val="0"/>
              <w:adjustRightInd w:val="0"/>
              <w:snapToGrid w:val="0"/>
            </w:pPr>
            <w:r>
              <w:rPr>
                <w:rFonts w:hint="eastAsia"/>
              </w:rPr>
              <w:t>GB3095-2012二级标准</w:t>
            </w:r>
          </w:p>
        </w:tc>
        <w:tc>
          <w:tcPr>
            <w:tcW w:w="897" w:type="dxa"/>
            <w:vAlign w:val="center"/>
          </w:tcPr>
          <w:p>
            <w:pPr>
              <w:pStyle w:val="100"/>
              <w:widowControl w:val="0"/>
              <w:bidi w:val="0"/>
              <w:adjustRightInd w:val="0"/>
              <w:snapToGrid w:val="0"/>
            </w:pPr>
            <w:r>
              <w:rPr>
                <w:rFonts w:hint="eastAsia"/>
              </w:rPr>
              <w:t>东南</w:t>
            </w:r>
          </w:p>
        </w:tc>
        <w:tc>
          <w:tcPr>
            <w:tcW w:w="1325" w:type="dxa"/>
            <w:vAlign w:val="center"/>
          </w:tcPr>
          <w:p>
            <w:pPr>
              <w:pStyle w:val="100"/>
              <w:widowControl w:val="0"/>
              <w:bidi w:val="0"/>
              <w:adjustRightInd w:val="0"/>
              <w:snapToGrid w:val="0"/>
            </w:pPr>
            <w:r>
              <w:rPr>
                <w:rFonts w:hint="eastAsia"/>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22" w:type="dxa"/>
            <w:vAlign w:val="center"/>
          </w:tcPr>
          <w:p>
            <w:pPr>
              <w:pStyle w:val="100"/>
              <w:widowControl w:val="0"/>
              <w:bidi w:val="0"/>
              <w:adjustRightInd w:val="0"/>
              <w:snapToGrid w:val="0"/>
            </w:pPr>
            <w:r>
              <w:rPr>
                <w:rFonts w:hint="eastAsia"/>
              </w:rPr>
              <w:t>渡船苑花苑</w:t>
            </w:r>
          </w:p>
        </w:tc>
        <w:tc>
          <w:tcPr>
            <w:tcW w:w="714" w:type="dxa"/>
            <w:vAlign w:val="center"/>
          </w:tcPr>
          <w:p>
            <w:pPr>
              <w:pStyle w:val="100"/>
              <w:widowControl w:val="0"/>
              <w:bidi w:val="0"/>
              <w:adjustRightInd w:val="0"/>
              <w:snapToGrid w:val="0"/>
            </w:pPr>
            <w:r>
              <w:rPr>
                <w:rFonts w:hint="eastAsia"/>
              </w:rPr>
              <w:t>578</w:t>
            </w:r>
          </w:p>
        </w:tc>
        <w:tc>
          <w:tcPr>
            <w:tcW w:w="715" w:type="dxa"/>
            <w:vAlign w:val="center"/>
          </w:tcPr>
          <w:p>
            <w:pPr>
              <w:pStyle w:val="100"/>
              <w:widowControl w:val="0"/>
              <w:bidi w:val="0"/>
              <w:adjustRightInd w:val="0"/>
              <w:snapToGrid w:val="0"/>
            </w:pPr>
            <w:r>
              <w:rPr>
                <w:rFonts w:hint="eastAsia"/>
              </w:rPr>
              <w:t>961</w:t>
            </w:r>
          </w:p>
        </w:tc>
        <w:tc>
          <w:tcPr>
            <w:tcW w:w="1571" w:type="dxa"/>
            <w:vAlign w:val="center"/>
          </w:tcPr>
          <w:p>
            <w:pPr>
              <w:pStyle w:val="100"/>
              <w:widowControl w:val="0"/>
              <w:bidi w:val="0"/>
              <w:adjustRightInd w:val="0"/>
              <w:snapToGrid w:val="0"/>
            </w:pPr>
            <w:r>
              <w:t>居民</w:t>
            </w:r>
            <w:r>
              <w:rPr>
                <w:rFonts w:hint="eastAsia"/>
              </w:rPr>
              <w:t>区</w:t>
            </w:r>
          </w:p>
        </w:tc>
        <w:tc>
          <w:tcPr>
            <w:tcW w:w="1177" w:type="dxa"/>
            <w:vAlign w:val="center"/>
          </w:tcPr>
          <w:p>
            <w:pPr>
              <w:pStyle w:val="100"/>
              <w:widowControl w:val="0"/>
              <w:bidi w:val="0"/>
              <w:adjustRightInd w:val="0"/>
              <w:snapToGrid w:val="0"/>
            </w:pPr>
            <w:r>
              <w:rPr>
                <w:rFonts w:hint="eastAsia"/>
              </w:rPr>
              <w:t>约3250户</w:t>
            </w:r>
          </w:p>
        </w:tc>
        <w:tc>
          <w:tcPr>
            <w:tcW w:w="1057" w:type="dxa"/>
            <w:vMerge w:val="continue"/>
            <w:vAlign w:val="center"/>
          </w:tcPr>
          <w:p>
            <w:pPr>
              <w:pStyle w:val="100"/>
              <w:widowControl w:val="0"/>
              <w:bidi w:val="0"/>
              <w:adjustRightInd w:val="0"/>
              <w:snapToGrid w:val="0"/>
            </w:pPr>
          </w:p>
        </w:tc>
        <w:tc>
          <w:tcPr>
            <w:tcW w:w="897" w:type="dxa"/>
            <w:vAlign w:val="center"/>
          </w:tcPr>
          <w:p>
            <w:pPr>
              <w:pStyle w:val="100"/>
              <w:widowControl w:val="0"/>
              <w:bidi w:val="0"/>
              <w:adjustRightInd w:val="0"/>
              <w:snapToGrid w:val="0"/>
            </w:pPr>
            <w:r>
              <w:rPr>
                <w:rFonts w:hint="eastAsia"/>
              </w:rPr>
              <w:t>东南</w:t>
            </w:r>
          </w:p>
        </w:tc>
        <w:tc>
          <w:tcPr>
            <w:tcW w:w="1325" w:type="dxa"/>
            <w:vAlign w:val="center"/>
          </w:tcPr>
          <w:p>
            <w:pPr>
              <w:pStyle w:val="100"/>
              <w:widowControl w:val="0"/>
              <w:bidi w:val="0"/>
              <w:adjustRightInd w:val="0"/>
              <w:snapToGrid w:val="0"/>
            </w:pPr>
            <w:r>
              <w:t>1</w:t>
            </w:r>
            <w:r>
              <w:rPr>
                <w:rFonts w:hint="eastAsia"/>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22" w:type="dxa"/>
            <w:vAlign w:val="center"/>
          </w:tcPr>
          <w:p>
            <w:pPr>
              <w:pStyle w:val="100"/>
              <w:widowControl w:val="0"/>
              <w:bidi w:val="0"/>
              <w:adjustRightInd w:val="0"/>
              <w:snapToGrid w:val="0"/>
            </w:pPr>
            <w:r>
              <w:rPr>
                <w:rFonts w:hint="eastAsia"/>
              </w:rPr>
              <w:t>西南湾居民点</w:t>
            </w:r>
          </w:p>
        </w:tc>
        <w:tc>
          <w:tcPr>
            <w:tcW w:w="714" w:type="dxa"/>
            <w:vAlign w:val="center"/>
          </w:tcPr>
          <w:p>
            <w:pPr>
              <w:pStyle w:val="100"/>
              <w:widowControl w:val="0"/>
              <w:bidi w:val="0"/>
              <w:adjustRightInd w:val="0"/>
              <w:snapToGrid w:val="0"/>
            </w:pPr>
            <w:r>
              <w:rPr>
                <w:rFonts w:hint="eastAsia"/>
              </w:rPr>
              <w:t>645</w:t>
            </w:r>
          </w:p>
        </w:tc>
        <w:tc>
          <w:tcPr>
            <w:tcW w:w="715" w:type="dxa"/>
            <w:vAlign w:val="center"/>
          </w:tcPr>
          <w:p>
            <w:pPr>
              <w:pStyle w:val="100"/>
              <w:widowControl w:val="0"/>
              <w:bidi w:val="0"/>
              <w:adjustRightInd w:val="0"/>
              <w:snapToGrid w:val="0"/>
            </w:pPr>
            <w:r>
              <w:rPr>
                <w:rFonts w:hint="eastAsia"/>
              </w:rPr>
              <w:t>1600</w:t>
            </w:r>
          </w:p>
        </w:tc>
        <w:tc>
          <w:tcPr>
            <w:tcW w:w="1571" w:type="dxa"/>
            <w:vAlign w:val="center"/>
          </w:tcPr>
          <w:p>
            <w:pPr>
              <w:pStyle w:val="100"/>
              <w:widowControl w:val="0"/>
              <w:bidi w:val="0"/>
              <w:adjustRightInd w:val="0"/>
              <w:snapToGrid w:val="0"/>
            </w:pPr>
            <w:r>
              <w:t>居民</w:t>
            </w:r>
            <w:r>
              <w:rPr>
                <w:rFonts w:hint="eastAsia"/>
              </w:rPr>
              <w:t>区</w:t>
            </w:r>
          </w:p>
        </w:tc>
        <w:tc>
          <w:tcPr>
            <w:tcW w:w="1177" w:type="dxa"/>
            <w:vAlign w:val="center"/>
          </w:tcPr>
          <w:p>
            <w:pPr>
              <w:pStyle w:val="100"/>
              <w:widowControl w:val="0"/>
              <w:bidi w:val="0"/>
              <w:adjustRightInd w:val="0"/>
              <w:snapToGrid w:val="0"/>
            </w:pPr>
            <w:r>
              <w:rPr>
                <w:rFonts w:hint="eastAsia"/>
              </w:rPr>
              <w:t>约40户</w:t>
            </w:r>
          </w:p>
        </w:tc>
        <w:tc>
          <w:tcPr>
            <w:tcW w:w="1057" w:type="dxa"/>
            <w:vMerge w:val="continue"/>
            <w:vAlign w:val="center"/>
          </w:tcPr>
          <w:p>
            <w:pPr>
              <w:pStyle w:val="100"/>
              <w:widowControl w:val="0"/>
              <w:bidi w:val="0"/>
              <w:adjustRightInd w:val="0"/>
              <w:snapToGrid w:val="0"/>
            </w:pPr>
          </w:p>
        </w:tc>
        <w:tc>
          <w:tcPr>
            <w:tcW w:w="897" w:type="dxa"/>
            <w:vAlign w:val="center"/>
          </w:tcPr>
          <w:p>
            <w:pPr>
              <w:pStyle w:val="100"/>
              <w:widowControl w:val="0"/>
              <w:bidi w:val="0"/>
              <w:adjustRightInd w:val="0"/>
              <w:snapToGrid w:val="0"/>
            </w:pPr>
            <w:r>
              <w:rPr>
                <w:rFonts w:hint="eastAsia"/>
              </w:rPr>
              <w:t>东北</w:t>
            </w:r>
          </w:p>
        </w:tc>
        <w:tc>
          <w:tcPr>
            <w:tcW w:w="1325" w:type="dxa"/>
            <w:vAlign w:val="center"/>
          </w:tcPr>
          <w:p>
            <w:pPr>
              <w:pStyle w:val="100"/>
              <w:widowControl w:val="0"/>
              <w:bidi w:val="0"/>
              <w:adjustRightInd w:val="0"/>
              <w:snapToGrid w:val="0"/>
            </w:pPr>
            <w:r>
              <w:t>1</w:t>
            </w:r>
            <w:r>
              <w:rPr>
                <w:rFonts w:hint="eastAsia"/>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22" w:type="dxa"/>
            <w:vAlign w:val="center"/>
          </w:tcPr>
          <w:p>
            <w:pPr>
              <w:pStyle w:val="100"/>
              <w:widowControl w:val="0"/>
              <w:bidi w:val="0"/>
              <w:adjustRightInd w:val="0"/>
              <w:snapToGrid w:val="0"/>
            </w:pPr>
            <w:r>
              <w:rPr>
                <w:rFonts w:hint="eastAsia"/>
              </w:rPr>
              <w:t>天誉花园</w:t>
            </w:r>
          </w:p>
        </w:tc>
        <w:tc>
          <w:tcPr>
            <w:tcW w:w="714" w:type="dxa"/>
            <w:vAlign w:val="center"/>
          </w:tcPr>
          <w:p>
            <w:pPr>
              <w:pStyle w:val="100"/>
              <w:widowControl w:val="0"/>
              <w:bidi w:val="0"/>
              <w:adjustRightInd w:val="0"/>
              <w:snapToGrid w:val="0"/>
            </w:pPr>
            <w:r>
              <w:rPr>
                <w:rFonts w:hint="eastAsia"/>
              </w:rPr>
              <w:t>-2100</w:t>
            </w:r>
          </w:p>
        </w:tc>
        <w:tc>
          <w:tcPr>
            <w:tcW w:w="715" w:type="dxa"/>
            <w:vAlign w:val="center"/>
          </w:tcPr>
          <w:p>
            <w:pPr>
              <w:pStyle w:val="100"/>
              <w:widowControl w:val="0"/>
              <w:bidi w:val="0"/>
              <w:adjustRightInd w:val="0"/>
              <w:snapToGrid w:val="0"/>
            </w:pPr>
            <w:r>
              <w:rPr>
                <w:rFonts w:hint="eastAsia"/>
              </w:rPr>
              <w:t>868</w:t>
            </w:r>
          </w:p>
        </w:tc>
        <w:tc>
          <w:tcPr>
            <w:tcW w:w="1571" w:type="dxa"/>
            <w:vAlign w:val="center"/>
          </w:tcPr>
          <w:p>
            <w:pPr>
              <w:pStyle w:val="100"/>
              <w:widowControl w:val="0"/>
              <w:bidi w:val="0"/>
              <w:adjustRightInd w:val="0"/>
              <w:snapToGrid w:val="0"/>
            </w:pPr>
            <w:r>
              <w:t>居民</w:t>
            </w:r>
            <w:r>
              <w:rPr>
                <w:rFonts w:hint="eastAsia"/>
              </w:rPr>
              <w:t>区</w:t>
            </w:r>
          </w:p>
        </w:tc>
        <w:tc>
          <w:tcPr>
            <w:tcW w:w="1177" w:type="dxa"/>
            <w:vAlign w:val="center"/>
          </w:tcPr>
          <w:p>
            <w:pPr>
              <w:pStyle w:val="100"/>
              <w:widowControl w:val="0"/>
              <w:bidi w:val="0"/>
              <w:adjustRightInd w:val="0"/>
              <w:snapToGrid w:val="0"/>
            </w:pPr>
            <w:r>
              <w:rPr>
                <w:rFonts w:hint="eastAsia"/>
              </w:rPr>
              <w:t>约500户</w:t>
            </w:r>
          </w:p>
        </w:tc>
        <w:tc>
          <w:tcPr>
            <w:tcW w:w="1057" w:type="dxa"/>
            <w:vMerge w:val="continue"/>
            <w:vAlign w:val="center"/>
          </w:tcPr>
          <w:p>
            <w:pPr>
              <w:pStyle w:val="100"/>
              <w:widowControl w:val="0"/>
              <w:bidi w:val="0"/>
              <w:adjustRightInd w:val="0"/>
              <w:snapToGrid w:val="0"/>
            </w:pPr>
          </w:p>
        </w:tc>
        <w:tc>
          <w:tcPr>
            <w:tcW w:w="897" w:type="dxa"/>
            <w:vAlign w:val="center"/>
          </w:tcPr>
          <w:p>
            <w:pPr>
              <w:pStyle w:val="100"/>
              <w:widowControl w:val="0"/>
              <w:bidi w:val="0"/>
              <w:adjustRightInd w:val="0"/>
              <w:snapToGrid w:val="0"/>
            </w:pPr>
            <w:r>
              <w:rPr>
                <w:rFonts w:hint="eastAsia"/>
              </w:rPr>
              <w:t>西南</w:t>
            </w:r>
          </w:p>
        </w:tc>
        <w:tc>
          <w:tcPr>
            <w:tcW w:w="1325" w:type="dxa"/>
            <w:vAlign w:val="center"/>
          </w:tcPr>
          <w:p>
            <w:pPr>
              <w:pStyle w:val="100"/>
              <w:widowControl w:val="0"/>
              <w:bidi w:val="0"/>
              <w:adjustRightInd w:val="0"/>
              <w:snapToGrid w:val="0"/>
            </w:pPr>
            <w:r>
              <w:rPr>
                <w:rFonts w:hint="eastAsia"/>
              </w:rPr>
              <w:t>1500</w:t>
            </w:r>
          </w:p>
        </w:tc>
      </w:tr>
    </w:tbl>
    <w:p>
      <w:pPr>
        <w:pStyle w:val="103"/>
        <w:bidi w:val="0"/>
      </w:pPr>
      <w:r>
        <w:rPr>
          <w:rFonts w:hint="eastAsia"/>
        </w:rPr>
        <w:t>注：坐标原点为厂区几何中心，东西方向为X轴、南北方向为Y轴。</w:t>
      </w:r>
    </w:p>
    <w:p>
      <w:pPr>
        <w:pStyle w:val="273"/>
        <w:bidi w:val="0"/>
        <w:rPr>
          <w:rFonts w:hint="eastAsia"/>
        </w:rPr>
      </w:pPr>
      <w:r>
        <w:rPr>
          <w:rFonts w:hint="eastAsia"/>
        </w:rPr>
        <w:t>表3</w:t>
      </w:r>
      <w:r>
        <w:rPr>
          <w:rFonts w:hint="eastAsia"/>
          <w:lang w:val="en-US" w:eastAsia="zh-CN"/>
        </w:rPr>
        <w:t>-7</w:t>
      </w:r>
      <w:r>
        <w:rPr>
          <w:rFonts w:hint="eastAsia"/>
        </w:rPr>
        <w:t xml:space="preserve">  本项目地表水环境保护目标</w:t>
      </w:r>
    </w:p>
    <w:tbl>
      <w:tblPr>
        <w:tblStyle w:val="260"/>
        <w:tblW w:w="49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811"/>
        <w:gridCol w:w="368"/>
        <w:gridCol w:w="426"/>
        <w:gridCol w:w="426"/>
        <w:gridCol w:w="742"/>
        <w:gridCol w:w="811"/>
        <w:gridCol w:w="632"/>
        <w:gridCol w:w="426"/>
        <w:gridCol w:w="742"/>
        <w:gridCol w:w="1628"/>
        <w:gridCol w:w="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50" w:type="pct"/>
            <w:vMerge w:val="restart"/>
            <w:vAlign w:val="center"/>
          </w:tcPr>
          <w:p>
            <w:pPr>
              <w:pStyle w:val="100"/>
              <w:widowControl w:val="0"/>
              <w:bidi w:val="0"/>
              <w:adjustRightInd w:val="0"/>
              <w:snapToGrid w:val="0"/>
            </w:pPr>
            <w:r>
              <w:rPr>
                <w:rFonts w:hint="eastAsia"/>
              </w:rPr>
              <w:t>保护对象</w:t>
            </w:r>
          </w:p>
        </w:tc>
        <w:tc>
          <w:tcPr>
            <w:tcW w:w="250" w:type="pct"/>
            <w:vMerge w:val="restart"/>
            <w:vAlign w:val="center"/>
          </w:tcPr>
          <w:p>
            <w:pPr>
              <w:pStyle w:val="100"/>
              <w:widowControl w:val="0"/>
              <w:bidi w:val="0"/>
              <w:adjustRightInd w:val="0"/>
              <w:snapToGrid w:val="0"/>
            </w:pPr>
            <w:r>
              <w:rPr>
                <w:rFonts w:hint="eastAsia"/>
              </w:rPr>
              <w:t>保护内容</w:t>
            </w:r>
          </w:p>
        </w:tc>
        <w:tc>
          <w:tcPr>
            <w:tcW w:w="1630" w:type="pct"/>
            <w:gridSpan w:val="5"/>
            <w:vAlign w:val="center"/>
          </w:tcPr>
          <w:p>
            <w:pPr>
              <w:pStyle w:val="100"/>
              <w:widowControl w:val="0"/>
              <w:bidi w:val="0"/>
              <w:adjustRightInd w:val="0"/>
              <w:snapToGrid w:val="0"/>
            </w:pPr>
            <w:r>
              <w:rPr>
                <w:rFonts w:hint="eastAsia"/>
              </w:rPr>
              <w:t>相对厂</w:t>
            </w:r>
          </w:p>
        </w:tc>
        <w:tc>
          <w:tcPr>
            <w:tcW w:w="1536" w:type="pct"/>
            <w:gridSpan w:val="4"/>
            <w:vAlign w:val="center"/>
          </w:tcPr>
          <w:p>
            <w:pPr>
              <w:pStyle w:val="100"/>
              <w:widowControl w:val="0"/>
              <w:bidi w:val="0"/>
              <w:adjustRightInd w:val="0"/>
              <w:snapToGrid w:val="0"/>
            </w:pPr>
            <w:r>
              <w:rPr>
                <w:rFonts w:hint="eastAsia"/>
              </w:rPr>
              <w:t>相对排放口</w:t>
            </w:r>
          </w:p>
        </w:tc>
        <w:tc>
          <w:tcPr>
            <w:tcW w:w="958" w:type="pct"/>
            <w:vMerge w:val="restart"/>
            <w:vAlign w:val="center"/>
          </w:tcPr>
          <w:p>
            <w:pPr>
              <w:pStyle w:val="100"/>
              <w:widowControl w:val="0"/>
              <w:bidi w:val="0"/>
              <w:adjustRightInd w:val="0"/>
              <w:snapToGrid w:val="0"/>
            </w:pPr>
            <w:r>
              <w:rPr>
                <w:rFonts w:hint="eastAsia"/>
              </w:rPr>
              <w:t>环境功能区</w:t>
            </w:r>
          </w:p>
        </w:tc>
        <w:tc>
          <w:tcPr>
            <w:tcW w:w="374" w:type="pct"/>
            <w:vMerge w:val="restart"/>
            <w:vAlign w:val="center"/>
          </w:tcPr>
          <w:p>
            <w:pPr>
              <w:pStyle w:val="100"/>
              <w:widowControl w:val="0"/>
              <w:bidi w:val="0"/>
              <w:adjustRightInd w:val="0"/>
              <w:snapToGrid w:val="0"/>
            </w:pPr>
            <w:r>
              <w:rPr>
                <w:rFonts w:hint="eastAsia"/>
              </w:rPr>
              <w:t>与本项目的水利联系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50" w:type="pct"/>
            <w:vMerge w:val="continue"/>
            <w:vAlign w:val="center"/>
          </w:tcPr>
          <w:p>
            <w:pPr>
              <w:pStyle w:val="100"/>
              <w:widowControl w:val="0"/>
              <w:bidi w:val="0"/>
              <w:adjustRightInd w:val="0"/>
              <w:snapToGrid w:val="0"/>
            </w:pPr>
          </w:p>
        </w:tc>
        <w:tc>
          <w:tcPr>
            <w:tcW w:w="250" w:type="pct"/>
            <w:vMerge w:val="continue"/>
            <w:vAlign w:val="center"/>
          </w:tcPr>
          <w:p>
            <w:pPr>
              <w:pStyle w:val="100"/>
              <w:widowControl w:val="0"/>
              <w:bidi w:val="0"/>
              <w:adjustRightInd w:val="0"/>
              <w:snapToGrid w:val="0"/>
            </w:pPr>
          </w:p>
        </w:tc>
        <w:tc>
          <w:tcPr>
            <w:tcW w:w="693" w:type="pct"/>
            <w:gridSpan w:val="2"/>
            <w:vAlign w:val="center"/>
          </w:tcPr>
          <w:p>
            <w:pPr>
              <w:pStyle w:val="100"/>
              <w:widowControl w:val="0"/>
              <w:bidi w:val="0"/>
              <w:adjustRightInd w:val="0"/>
              <w:snapToGrid w:val="0"/>
            </w:pPr>
            <w:r>
              <w:rPr>
                <w:rFonts w:hint="eastAsia"/>
              </w:rPr>
              <w:t>坐标/m</w:t>
            </w:r>
          </w:p>
        </w:tc>
        <w:tc>
          <w:tcPr>
            <w:tcW w:w="250" w:type="pct"/>
            <w:vMerge w:val="restart"/>
            <w:vAlign w:val="center"/>
          </w:tcPr>
          <w:p>
            <w:pPr>
              <w:pStyle w:val="100"/>
              <w:widowControl w:val="0"/>
              <w:bidi w:val="0"/>
              <w:adjustRightInd w:val="0"/>
              <w:snapToGrid w:val="0"/>
            </w:pPr>
            <w:r>
              <w:rPr>
                <w:rFonts w:hint="eastAsia"/>
              </w:rPr>
              <w:t>高差</w:t>
            </w:r>
          </w:p>
        </w:tc>
        <w:tc>
          <w:tcPr>
            <w:tcW w:w="250" w:type="pct"/>
            <w:vMerge w:val="restart"/>
            <w:vAlign w:val="center"/>
          </w:tcPr>
          <w:p>
            <w:pPr>
              <w:pStyle w:val="100"/>
              <w:widowControl w:val="0"/>
              <w:bidi w:val="0"/>
              <w:adjustRightInd w:val="0"/>
              <w:snapToGrid w:val="0"/>
            </w:pPr>
            <w:r>
              <w:rPr>
                <w:rFonts w:hint="eastAsia"/>
              </w:rPr>
              <w:t>方位</w:t>
            </w:r>
          </w:p>
        </w:tc>
        <w:tc>
          <w:tcPr>
            <w:tcW w:w="435" w:type="pct"/>
            <w:vMerge w:val="restart"/>
            <w:vAlign w:val="center"/>
          </w:tcPr>
          <w:p>
            <w:pPr>
              <w:pStyle w:val="100"/>
              <w:widowControl w:val="0"/>
              <w:bidi w:val="0"/>
              <w:adjustRightInd w:val="0"/>
              <w:snapToGrid w:val="0"/>
            </w:pPr>
            <w:r>
              <w:rPr>
                <w:rFonts w:hint="eastAsia"/>
              </w:rPr>
              <w:t>距离</w:t>
            </w:r>
          </w:p>
        </w:tc>
        <w:tc>
          <w:tcPr>
            <w:tcW w:w="848" w:type="pct"/>
            <w:gridSpan w:val="2"/>
            <w:vAlign w:val="center"/>
          </w:tcPr>
          <w:p>
            <w:pPr>
              <w:pStyle w:val="100"/>
              <w:widowControl w:val="0"/>
              <w:bidi w:val="0"/>
              <w:adjustRightInd w:val="0"/>
              <w:snapToGrid w:val="0"/>
            </w:pPr>
            <w:r>
              <w:rPr>
                <w:rFonts w:hint="eastAsia"/>
              </w:rPr>
              <w:t>坐标/m</w:t>
            </w:r>
          </w:p>
        </w:tc>
        <w:tc>
          <w:tcPr>
            <w:tcW w:w="251" w:type="pct"/>
            <w:vMerge w:val="restart"/>
            <w:vAlign w:val="center"/>
          </w:tcPr>
          <w:p>
            <w:pPr>
              <w:pStyle w:val="100"/>
              <w:widowControl w:val="0"/>
              <w:bidi w:val="0"/>
              <w:adjustRightInd w:val="0"/>
              <w:snapToGrid w:val="0"/>
            </w:pPr>
            <w:r>
              <w:rPr>
                <w:rFonts w:hint="eastAsia"/>
              </w:rPr>
              <w:t>方位</w:t>
            </w:r>
          </w:p>
        </w:tc>
        <w:tc>
          <w:tcPr>
            <w:tcW w:w="436" w:type="pct"/>
            <w:vMerge w:val="restart"/>
            <w:vAlign w:val="center"/>
          </w:tcPr>
          <w:p>
            <w:pPr>
              <w:pStyle w:val="100"/>
              <w:widowControl w:val="0"/>
              <w:bidi w:val="0"/>
              <w:adjustRightInd w:val="0"/>
              <w:snapToGrid w:val="0"/>
            </w:pPr>
            <w:r>
              <w:rPr>
                <w:rFonts w:hint="eastAsia"/>
              </w:rPr>
              <w:t>距离</w:t>
            </w:r>
          </w:p>
        </w:tc>
        <w:tc>
          <w:tcPr>
            <w:tcW w:w="958" w:type="pct"/>
            <w:vMerge w:val="continue"/>
            <w:vAlign w:val="center"/>
          </w:tcPr>
          <w:p>
            <w:pPr>
              <w:pStyle w:val="100"/>
              <w:widowControl w:val="0"/>
              <w:bidi w:val="0"/>
              <w:adjustRightInd w:val="0"/>
              <w:snapToGrid w:val="0"/>
            </w:pPr>
          </w:p>
        </w:tc>
        <w:tc>
          <w:tcPr>
            <w:tcW w:w="374"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50" w:type="pct"/>
            <w:vMerge w:val="continue"/>
            <w:vAlign w:val="center"/>
          </w:tcPr>
          <w:p>
            <w:pPr>
              <w:pStyle w:val="100"/>
              <w:widowControl w:val="0"/>
              <w:bidi w:val="0"/>
              <w:adjustRightInd w:val="0"/>
              <w:snapToGrid w:val="0"/>
            </w:pPr>
          </w:p>
        </w:tc>
        <w:tc>
          <w:tcPr>
            <w:tcW w:w="250" w:type="pct"/>
            <w:vMerge w:val="continue"/>
            <w:vAlign w:val="center"/>
          </w:tcPr>
          <w:p>
            <w:pPr>
              <w:pStyle w:val="100"/>
              <w:widowControl w:val="0"/>
              <w:bidi w:val="0"/>
              <w:adjustRightInd w:val="0"/>
              <w:snapToGrid w:val="0"/>
            </w:pPr>
          </w:p>
        </w:tc>
        <w:tc>
          <w:tcPr>
            <w:tcW w:w="476" w:type="pct"/>
            <w:vAlign w:val="center"/>
          </w:tcPr>
          <w:p>
            <w:pPr>
              <w:pStyle w:val="100"/>
              <w:widowControl w:val="0"/>
              <w:bidi w:val="0"/>
              <w:adjustRightInd w:val="0"/>
              <w:snapToGrid w:val="0"/>
            </w:pPr>
            <w:r>
              <w:rPr>
                <w:rFonts w:hint="eastAsia"/>
              </w:rPr>
              <w:t>X</w:t>
            </w:r>
          </w:p>
        </w:tc>
        <w:tc>
          <w:tcPr>
            <w:tcW w:w="216" w:type="pct"/>
            <w:vAlign w:val="center"/>
          </w:tcPr>
          <w:p>
            <w:pPr>
              <w:pStyle w:val="100"/>
              <w:widowControl w:val="0"/>
              <w:bidi w:val="0"/>
              <w:adjustRightInd w:val="0"/>
              <w:snapToGrid w:val="0"/>
            </w:pPr>
            <w:r>
              <w:rPr>
                <w:rFonts w:hint="eastAsia"/>
              </w:rPr>
              <w:t>Y</w:t>
            </w:r>
          </w:p>
        </w:tc>
        <w:tc>
          <w:tcPr>
            <w:tcW w:w="250" w:type="pct"/>
            <w:vMerge w:val="continue"/>
            <w:vAlign w:val="center"/>
          </w:tcPr>
          <w:p>
            <w:pPr>
              <w:pStyle w:val="100"/>
              <w:widowControl w:val="0"/>
              <w:bidi w:val="0"/>
              <w:adjustRightInd w:val="0"/>
              <w:snapToGrid w:val="0"/>
            </w:pPr>
          </w:p>
        </w:tc>
        <w:tc>
          <w:tcPr>
            <w:tcW w:w="250" w:type="pct"/>
            <w:vMerge w:val="continue"/>
            <w:vAlign w:val="center"/>
          </w:tcPr>
          <w:p>
            <w:pPr>
              <w:pStyle w:val="100"/>
              <w:widowControl w:val="0"/>
              <w:bidi w:val="0"/>
              <w:adjustRightInd w:val="0"/>
              <w:snapToGrid w:val="0"/>
            </w:pPr>
          </w:p>
        </w:tc>
        <w:tc>
          <w:tcPr>
            <w:tcW w:w="435" w:type="pct"/>
            <w:vMerge w:val="continue"/>
            <w:vAlign w:val="center"/>
          </w:tcPr>
          <w:p>
            <w:pPr>
              <w:pStyle w:val="100"/>
              <w:widowControl w:val="0"/>
              <w:bidi w:val="0"/>
              <w:adjustRightInd w:val="0"/>
              <w:snapToGrid w:val="0"/>
            </w:pPr>
          </w:p>
        </w:tc>
        <w:tc>
          <w:tcPr>
            <w:tcW w:w="476" w:type="pct"/>
            <w:vAlign w:val="center"/>
          </w:tcPr>
          <w:p>
            <w:pPr>
              <w:pStyle w:val="100"/>
              <w:widowControl w:val="0"/>
              <w:bidi w:val="0"/>
              <w:adjustRightInd w:val="0"/>
              <w:snapToGrid w:val="0"/>
            </w:pPr>
            <w:r>
              <w:rPr>
                <w:rFonts w:hint="eastAsia"/>
              </w:rPr>
              <w:t>X</w:t>
            </w:r>
          </w:p>
        </w:tc>
        <w:tc>
          <w:tcPr>
            <w:tcW w:w="371" w:type="pct"/>
            <w:vAlign w:val="center"/>
          </w:tcPr>
          <w:p>
            <w:pPr>
              <w:pStyle w:val="100"/>
              <w:widowControl w:val="0"/>
              <w:bidi w:val="0"/>
              <w:adjustRightInd w:val="0"/>
              <w:snapToGrid w:val="0"/>
            </w:pPr>
            <w:r>
              <w:rPr>
                <w:rFonts w:hint="eastAsia"/>
              </w:rPr>
              <w:t>Y</w:t>
            </w:r>
          </w:p>
        </w:tc>
        <w:tc>
          <w:tcPr>
            <w:tcW w:w="251" w:type="pct"/>
            <w:vMerge w:val="continue"/>
            <w:vAlign w:val="center"/>
          </w:tcPr>
          <w:p>
            <w:pPr>
              <w:pStyle w:val="100"/>
              <w:widowControl w:val="0"/>
              <w:bidi w:val="0"/>
              <w:adjustRightInd w:val="0"/>
              <w:snapToGrid w:val="0"/>
            </w:pPr>
          </w:p>
        </w:tc>
        <w:tc>
          <w:tcPr>
            <w:tcW w:w="436" w:type="pct"/>
            <w:vMerge w:val="continue"/>
            <w:vAlign w:val="center"/>
          </w:tcPr>
          <w:p>
            <w:pPr>
              <w:pStyle w:val="100"/>
              <w:widowControl w:val="0"/>
              <w:bidi w:val="0"/>
              <w:adjustRightInd w:val="0"/>
              <w:snapToGrid w:val="0"/>
            </w:pPr>
          </w:p>
        </w:tc>
        <w:tc>
          <w:tcPr>
            <w:tcW w:w="958" w:type="pct"/>
            <w:vMerge w:val="continue"/>
            <w:vAlign w:val="center"/>
          </w:tcPr>
          <w:p>
            <w:pPr>
              <w:pStyle w:val="100"/>
              <w:widowControl w:val="0"/>
              <w:bidi w:val="0"/>
              <w:adjustRightInd w:val="0"/>
              <w:snapToGrid w:val="0"/>
            </w:pPr>
          </w:p>
        </w:tc>
        <w:tc>
          <w:tcPr>
            <w:tcW w:w="374"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250" w:type="pct"/>
            <w:vAlign w:val="center"/>
          </w:tcPr>
          <w:p>
            <w:pPr>
              <w:pStyle w:val="100"/>
              <w:widowControl w:val="0"/>
              <w:bidi w:val="0"/>
              <w:adjustRightInd w:val="0"/>
              <w:snapToGrid w:val="0"/>
            </w:pPr>
            <w:bookmarkStart w:id="50" w:name="_Hlk534631388"/>
            <w:r>
              <w:t>太湖</w:t>
            </w:r>
          </w:p>
        </w:tc>
        <w:tc>
          <w:tcPr>
            <w:tcW w:w="250" w:type="pct"/>
            <w:vAlign w:val="center"/>
          </w:tcPr>
          <w:p>
            <w:pPr>
              <w:pStyle w:val="100"/>
              <w:widowControl w:val="0"/>
              <w:bidi w:val="0"/>
              <w:adjustRightInd w:val="0"/>
              <w:snapToGrid w:val="0"/>
            </w:pPr>
            <w:r>
              <w:rPr>
                <w:rFonts w:hint="eastAsia"/>
              </w:rPr>
              <w:t>饮用水源</w:t>
            </w:r>
          </w:p>
        </w:tc>
        <w:tc>
          <w:tcPr>
            <w:tcW w:w="476" w:type="pct"/>
            <w:vAlign w:val="center"/>
          </w:tcPr>
          <w:p>
            <w:pPr>
              <w:pStyle w:val="100"/>
              <w:widowControl w:val="0"/>
              <w:bidi w:val="0"/>
              <w:adjustRightInd w:val="0"/>
              <w:snapToGrid w:val="0"/>
            </w:pPr>
            <w:r>
              <w:rPr>
                <w:rFonts w:hint="eastAsia"/>
              </w:rPr>
              <w:t>-10000</w:t>
            </w:r>
          </w:p>
        </w:tc>
        <w:tc>
          <w:tcPr>
            <w:tcW w:w="216" w:type="pct"/>
            <w:vAlign w:val="center"/>
          </w:tcPr>
          <w:p>
            <w:pPr>
              <w:pStyle w:val="100"/>
              <w:widowControl w:val="0"/>
              <w:bidi w:val="0"/>
              <w:adjustRightInd w:val="0"/>
              <w:snapToGrid w:val="0"/>
            </w:pPr>
            <w:r>
              <w:rPr>
                <w:rFonts w:hint="eastAsia"/>
              </w:rPr>
              <w:t>0</w:t>
            </w:r>
          </w:p>
        </w:tc>
        <w:tc>
          <w:tcPr>
            <w:tcW w:w="250" w:type="pct"/>
            <w:vAlign w:val="center"/>
          </w:tcPr>
          <w:p>
            <w:pPr>
              <w:pStyle w:val="100"/>
              <w:widowControl w:val="0"/>
              <w:bidi w:val="0"/>
              <w:adjustRightInd w:val="0"/>
              <w:snapToGrid w:val="0"/>
            </w:pPr>
            <w:r>
              <w:rPr>
                <w:rFonts w:hint="eastAsia"/>
              </w:rPr>
              <w:t>0</w:t>
            </w:r>
          </w:p>
        </w:tc>
        <w:tc>
          <w:tcPr>
            <w:tcW w:w="250" w:type="pct"/>
            <w:vAlign w:val="center"/>
          </w:tcPr>
          <w:p>
            <w:pPr>
              <w:pStyle w:val="100"/>
              <w:widowControl w:val="0"/>
              <w:bidi w:val="0"/>
              <w:adjustRightInd w:val="0"/>
              <w:snapToGrid w:val="0"/>
            </w:pPr>
            <w:r>
              <w:rPr>
                <w:rFonts w:hint="eastAsia"/>
              </w:rPr>
              <w:t>西北</w:t>
            </w:r>
          </w:p>
        </w:tc>
        <w:tc>
          <w:tcPr>
            <w:tcW w:w="435" w:type="pct"/>
            <w:vAlign w:val="center"/>
          </w:tcPr>
          <w:p>
            <w:pPr>
              <w:pStyle w:val="100"/>
              <w:widowControl w:val="0"/>
              <w:bidi w:val="0"/>
              <w:adjustRightInd w:val="0"/>
              <w:snapToGrid w:val="0"/>
            </w:pPr>
            <w:r>
              <w:rPr>
                <w:rFonts w:hint="eastAsia"/>
              </w:rPr>
              <w:t>10000</w:t>
            </w:r>
          </w:p>
        </w:tc>
        <w:tc>
          <w:tcPr>
            <w:tcW w:w="476" w:type="pct"/>
            <w:vAlign w:val="center"/>
          </w:tcPr>
          <w:p>
            <w:pPr>
              <w:pStyle w:val="100"/>
              <w:widowControl w:val="0"/>
              <w:bidi w:val="0"/>
              <w:adjustRightInd w:val="0"/>
              <w:snapToGrid w:val="0"/>
            </w:pPr>
            <w:r>
              <w:rPr>
                <w:rFonts w:hint="eastAsia"/>
              </w:rPr>
              <w:t>-10034</w:t>
            </w:r>
          </w:p>
        </w:tc>
        <w:tc>
          <w:tcPr>
            <w:tcW w:w="371" w:type="pct"/>
            <w:vAlign w:val="center"/>
          </w:tcPr>
          <w:p>
            <w:pPr>
              <w:pStyle w:val="100"/>
              <w:widowControl w:val="0"/>
              <w:bidi w:val="0"/>
              <w:adjustRightInd w:val="0"/>
              <w:snapToGrid w:val="0"/>
            </w:pPr>
            <w:r>
              <w:rPr>
                <w:rFonts w:hint="eastAsia"/>
              </w:rPr>
              <w:t>0</w:t>
            </w:r>
          </w:p>
        </w:tc>
        <w:tc>
          <w:tcPr>
            <w:tcW w:w="251" w:type="pct"/>
            <w:vAlign w:val="center"/>
          </w:tcPr>
          <w:p>
            <w:pPr>
              <w:pStyle w:val="100"/>
              <w:widowControl w:val="0"/>
              <w:bidi w:val="0"/>
              <w:adjustRightInd w:val="0"/>
              <w:snapToGrid w:val="0"/>
            </w:pPr>
            <w:r>
              <w:rPr>
                <w:rFonts w:hint="eastAsia"/>
              </w:rPr>
              <w:t>西</w:t>
            </w:r>
          </w:p>
        </w:tc>
        <w:tc>
          <w:tcPr>
            <w:tcW w:w="436" w:type="pct"/>
            <w:vAlign w:val="center"/>
          </w:tcPr>
          <w:p>
            <w:pPr>
              <w:pStyle w:val="100"/>
              <w:widowControl w:val="0"/>
              <w:bidi w:val="0"/>
              <w:adjustRightInd w:val="0"/>
              <w:snapToGrid w:val="0"/>
            </w:pPr>
            <w:r>
              <w:rPr>
                <w:rFonts w:hint="eastAsia"/>
              </w:rPr>
              <w:t>10034</w:t>
            </w:r>
          </w:p>
        </w:tc>
        <w:tc>
          <w:tcPr>
            <w:tcW w:w="958" w:type="pct"/>
            <w:vAlign w:val="center"/>
          </w:tcPr>
          <w:p>
            <w:pPr>
              <w:pStyle w:val="100"/>
              <w:widowControl w:val="0"/>
              <w:bidi w:val="0"/>
              <w:adjustRightInd w:val="0"/>
              <w:snapToGrid w:val="0"/>
            </w:pPr>
            <w:r>
              <w:t>GB3838-2002</w:t>
            </w:r>
            <w:r>
              <w:rPr>
                <w:rFonts w:hint="eastAsia"/>
              </w:rPr>
              <w:t>Ⅱ类</w:t>
            </w:r>
          </w:p>
        </w:tc>
        <w:tc>
          <w:tcPr>
            <w:tcW w:w="374" w:type="pct"/>
            <w:vAlign w:val="center"/>
          </w:tcPr>
          <w:p>
            <w:pPr>
              <w:pStyle w:val="100"/>
              <w:widowControl w:val="0"/>
              <w:bidi w:val="0"/>
              <w:adjustRightInd w:val="0"/>
              <w:snapToGrid w:val="0"/>
            </w:pPr>
            <w:r>
              <w:rPr>
                <w:rFonts w:hint="eastAsia"/>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250" w:type="pct"/>
            <w:vAlign w:val="center"/>
          </w:tcPr>
          <w:p>
            <w:pPr>
              <w:pStyle w:val="100"/>
              <w:widowControl w:val="0"/>
              <w:bidi w:val="0"/>
              <w:adjustRightInd w:val="0"/>
              <w:snapToGrid w:val="0"/>
            </w:pPr>
            <w:r>
              <w:rPr>
                <w:rFonts w:hint="eastAsia"/>
              </w:rPr>
              <w:t>吴淞江</w:t>
            </w:r>
          </w:p>
        </w:tc>
        <w:tc>
          <w:tcPr>
            <w:tcW w:w="250" w:type="pct"/>
            <w:vAlign w:val="center"/>
          </w:tcPr>
          <w:p>
            <w:pPr>
              <w:pStyle w:val="100"/>
              <w:widowControl w:val="0"/>
              <w:bidi w:val="0"/>
              <w:adjustRightInd w:val="0"/>
              <w:snapToGrid w:val="0"/>
            </w:pPr>
            <w:r>
              <w:rPr>
                <w:rFonts w:hint="eastAsia"/>
              </w:rPr>
              <w:t>水质</w:t>
            </w:r>
          </w:p>
        </w:tc>
        <w:tc>
          <w:tcPr>
            <w:tcW w:w="476" w:type="pct"/>
            <w:vAlign w:val="center"/>
          </w:tcPr>
          <w:p>
            <w:pPr>
              <w:pStyle w:val="100"/>
              <w:widowControl w:val="0"/>
              <w:bidi w:val="0"/>
              <w:adjustRightInd w:val="0"/>
              <w:snapToGrid w:val="0"/>
            </w:pPr>
            <w:r>
              <w:rPr>
                <w:rFonts w:hint="eastAsia"/>
              </w:rPr>
              <w:t>600</w:t>
            </w:r>
          </w:p>
        </w:tc>
        <w:tc>
          <w:tcPr>
            <w:tcW w:w="216" w:type="pct"/>
            <w:vAlign w:val="center"/>
          </w:tcPr>
          <w:p>
            <w:pPr>
              <w:pStyle w:val="100"/>
              <w:widowControl w:val="0"/>
              <w:bidi w:val="0"/>
              <w:adjustRightInd w:val="0"/>
              <w:snapToGrid w:val="0"/>
            </w:pPr>
            <w:r>
              <w:rPr>
                <w:rFonts w:hint="eastAsia"/>
              </w:rPr>
              <w:t>0</w:t>
            </w:r>
          </w:p>
        </w:tc>
        <w:tc>
          <w:tcPr>
            <w:tcW w:w="250" w:type="pct"/>
            <w:vAlign w:val="center"/>
          </w:tcPr>
          <w:p>
            <w:pPr>
              <w:pStyle w:val="100"/>
              <w:widowControl w:val="0"/>
              <w:bidi w:val="0"/>
              <w:adjustRightInd w:val="0"/>
              <w:snapToGrid w:val="0"/>
            </w:pPr>
            <w:r>
              <w:rPr>
                <w:rFonts w:hint="eastAsia"/>
              </w:rPr>
              <w:t>0</w:t>
            </w:r>
          </w:p>
        </w:tc>
        <w:tc>
          <w:tcPr>
            <w:tcW w:w="250" w:type="pct"/>
            <w:vAlign w:val="center"/>
          </w:tcPr>
          <w:p>
            <w:pPr>
              <w:pStyle w:val="100"/>
              <w:widowControl w:val="0"/>
              <w:bidi w:val="0"/>
              <w:adjustRightInd w:val="0"/>
              <w:snapToGrid w:val="0"/>
            </w:pPr>
            <w:r>
              <w:rPr>
                <w:rFonts w:hint="eastAsia"/>
              </w:rPr>
              <w:t>北</w:t>
            </w:r>
          </w:p>
        </w:tc>
        <w:tc>
          <w:tcPr>
            <w:tcW w:w="435" w:type="pct"/>
            <w:vAlign w:val="center"/>
          </w:tcPr>
          <w:p>
            <w:pPr>
              <w:pStyle w:val="100"/>
              <w:widowControl w:val="0"/>
              <w:bidi w:val="0"/>
              <w:adjustRightInd w:val="0"/>
              <w:snapToGrid w:val="0"/>
            </w:pPr>
            <w:r>
              <w:rPr>
                <w:rFonts w:hint="eastAsia"/>
              </w:rPr>
              <w:t>600</w:t>
            </w:r>
          </w:p>
        </w:tc>
        <w:tc>
          <w:tcPr>
            <w:tcW w:w="476" w:type="pct"/>
            <w:vAlign w:val="center"/>
          </w:tcPr>
          <w:p>
            <w:pPr>
              <w:pStyle w:val="100"/>
              <w:widowControl w:val="0"/>
              <w:bidi w:val="0"/>
              <w:adjustRightInd w:val="0"/>
              <w:snapToGrid w:val="0"/>
            </w:pPr>
            <w:r>
              <w:rPr>
                <w:rFonts w:hint="eastAsia"/>
              </w:rPr>
              <w:t>612</w:t>
            </w:r>
          </w:p>
        </w:tc>
        <w:tc>
          <w:tcPr>
            <w:tcW w:w="371" w:type="pct"/>
            <w:vAlign w:val="center"/>
          </w:tcPr>
          <w:p>
            <w:pPr>
              <w:pStyle w:val="100"/>
              <w:widowControl w:val="0"/>
              <w:bidi w:val="0"/>
              <w:adjustRightInd w:val="0"/>
              <w:snapToGrid w:val="0"/>
            </w:pPr>
            <w:r>
              <w:rPr>
                <w:rFonts w:hint="eastAsia"/>
              </w:rPr>
              <w:t>0</w:t>
            </w:r>
          </w:p>
        </w:tc>
        <w:tc>
          <w:tcPr>
            <w:tcW w:w="251" w:type="pct"/>
            <w:vAlign w:val="center"/>
          </w:tcPr>
          <w:p>
            <w:pPr>
              <w:pStyle w:val="100"/>
              <w:widowControl w:val="0"/>
              <w:bidi w:val="0"/>
              <w:adjustRightInd w:val="0"/>
              <w:snapToGrid w:val="0"/>
            </w:pPr>
            <w:r>
              <w:rPr>
                <w:rFonts w:hint="eastAsia"/>
              </w:rPr>
              <w:t>东</w:t>
            </w:r>
          </w:p>
        </w:tc>
        <w:tc>
          <w:tcPr>
            <w:tcW w:w="436" w:type="pct"/>
            <w:vAlign w:val="center"/>
          </w:tcPr>
          <w:p>
            <w:pPr>
              <w:pStyle w:val="100"/>
              <w:widowControl w:val="0"/>
              <w:bidi w:val="0"/>
              <w:adjustRightInd w:val="0"/>
              <w:snapToGrid w:val="0"/>
            </w:pPr>
            <w:r>
              <w:rPr>
                <w:rFonts w:hint="eastAsia"/>
              </w:rPr>
              <w:t>612</w:t>
            </w:r>
          </w:p>
        </w:tc>
        <w:tc>
          <w:tcPr>
            <w:tcW w:w="958" w:type="pct"/>
            <w:vAlign w:val="center"/>
          </w:tcPr>
          <w:p>
            <w:pPr>
              <w:pStyle w:val="100"/>
              <w:widowControl w:val="0"/>
              <w:bidi w:val="0"/>
              <w:adjustRightInd w:val="0"/>
              <w:snapToGrid w:val="0"/>
            </w:pPr>
            <w:r>
              <w:t>GB3838-2002</w:t>
            </w:r>
            <w:r>
              <w:rPr>
                <w:rFonts w:hint="eastAsia"/>
              </w:rPr>
              <w:t>Ⅳ类</w:t>
            </w:r>
          </w:p>
        </w:tc>
        <w:tc>
          <w:tcPr>
            <w:tcW w:w="374" w:type="pct"/>
            <w:vAlign w:val="center"/>
          </w:tcPr>
          <w:p>
            <w:pPr>
              <w:pStyle w:val="100"/>
              <w:widowControl w:val="0"/>
              <w:bidi w:val="0"/>
              <w:adjustRightInd w:val="0"/>
              <w:snapToGrid w:val="0"/>
            </w:pPr>
            <w:r>
              <w:rPr>
                <w:rFonts w:hint="eastAsia"/>
              </w:rPr>
              <w:t>有，本项目纳污水体</w:t>
            </w:r>
          </w:p>
        </w:tc>
      </w:tr>
      <w:bookmarkEnd w:id="50"/>
    </w:tbl>
    <w:p>
      <w:pPr>
        <w:pStyle w:val="103"/>
        <w:bidi w:val="0"/>
      </w:pPr>
      <w:bookmarkStart w:id="51" w:name="_Hlk49154927"/>
      <w:r>
        <w:rPr>
          <w:rFonts w:hint="eastAsia"/>
        </w:rPr>
        <w:t>注：相对厂坐标原点厂区几何中心，东西方向为X轴、南北方向为Y轴；相对排放口坐标原点为排放口，东西方向为X轴、南北方向为Y轴</w:t>
      </w:r>
    </w:p>
    <w:bookmarkEnd w:id="51"/>
    <w:p>
      <w:pPr>
        <w:pStyle w:val="273"/>
        <w:bidi w:val="0"/>
        <w:rPr>
          <w:rFonts w:hint="eastAsia"/>
        </w:rPr>
      </w:pPr>
      <w:bookmarkStart w:id="52" w:name="_Hlk49155033"/>
      <w:r>
        <w:rPr>
          <w:rFonts w:hint="eastAsia"/>
        </w:rPr>
        <w:t>表3</w:t>
      </w:r>
      <w:r>
        <w:rPr>
          <w:rFonts w:hint="eastAsia"/>
          <w:lang w:val="en-US" w:eastAsia="zh-CN"/>
        </w:rPr>
        <w:t>-8</w:t>
      </w:r>
      <w:r>
        <w:rPr>
          <w:rFonts w:hint="eastAsia"/>
        </w:rPr>
        <w:t xml:space="preserve">  本项目声环境保护目标</w:t>
      </w:r>
    </w:p>
    <w:tbl>
      <w:tblPr>
        <w:tblStyle w:val="260"/>
        <w:tblW w:w="49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82"/>
        <w:gridCol w:w="1459"/>
        <w:gridCol w:w="1405"/>
        <w:gridCol w:w="1361"/>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pct"/>
            <w:noWrap/>
            <w:vAlign w:val="center"/>
          </w:tcPr>
          <w:p>
            <w:pPr>
              <w:pStyle w:val="100"/>
              <w:widowControl w:val="0"/>
              <w:bidi w:val="0"/>
              <w:adjustRightInd w:val="0"/>
              <w:snapToGrid w:val="0"/>
            </w:pPr>
            <w:r>
              <w:rPr>
                <w:rFonts w:hint="eastAsia"/>
              </w:rPr>
              <w:t>环境保护对象名称</w:t>
            </w:r>
          </w:p>
        </w:tc>
        <w:tc>
          <w:tcPr>
            <w:tcW w:w="864" w:type="pct"/>
            <w:noWrap/>
            <w:vAlign w:val="center"/>
          </w:tcPr>
          <w:p>
            <w:pPr>
              <w:pStyle w:val="100"/>
              <w:widowControl w:val="0"/>
              <w:bidi w:val="0"/>
              <w:adjustRightInd w:val="0"/>
              <w:snapToGrid w:val="0"/>
            </w:pPr>
            <w:r>
              <w:rPr>
                <w:rFonts w:hint="eastAsia"/>
              </w:rPr>
              <w:t>方位</w:t>
            </w:r>
          </w:p>
        </w:tc>
        <w:tc>
          <w:tcPr>
            <w:tcW w:w="832" w:type="pct"/>
            <w:noWrap/>
            <w:vAlign w:val="center"/>
          </w:tcPr>
          <w:p>
            <w:pPr>
              <w:pStyle w:val="100"/>
              <w:widowControl w:val="0"/>
              <w:bidi w:val="0"/>
              <w:adjustRightInd w:val="0"/>
              <w:snapToGrid w:val="0"/>
            </w:pPr>
            <w:r>
              <w:rPr>
                <w:rFonts w:hint="eastAsia"/>
              </w:rPr>
              <w:t>距离（m）</w:t>
            </w:r>
          </w:p>
        </w:tc>
        <w:tc>
          <w:tcPr>
            <w:tcW w:w="806" w:type="pct"/>
            <w:noWrap/>
            <w:vAlign w:val="center"/>
          </w:tcPr>
          <w:p>
            <w:pPr>
              <w:pStyle w:val="100"/>
              <w:widowControl w:val="0"/>
              <w:bidi w:val="0"/>
              <w:adjustRightInd w:val="0"/>
              <w:snapToGrid w:val="0"/>
            </w:pPr>
            <w:r>
              <w:rPr>
                <w:rFonts w:hint="eastAsia"/>
              </w:rPr>
              <w:t>规模</w:t>
            </w:r>
          </w:p>
        </w:tc>
        <w:tc>
          <w:tcPr>
            <w:tcW w:w="966" w:type="pct"/>
            <w:noWrap/>
            <w:vAlign w:val="center"/>
          </w:tcPr>
          <w:p>
            <w:pPr>
              <w:pStyle w:val="100"/>
              <w:widowControl w:val="0"/>
              <w:bidi w:val="0"/>
              <w:adjustRightInd w:val="0"/>
              <w:snapToGrid w:val="0"/>
            </w:pPr>
            <w:r>
              <w:rPr>
                <w:rFonts w:hint="eastAsia"/>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pct"/>
            <w:noWrap/>
            <w:vAlign w:val="center"/>
          </w:tcPr>
          <w:p>
            <w:pPr>
              <w:pStyle w:val="100"/>
              <w:widowControl w:val="0"/>
              <w:bidi w:val="0"/>
              <w:adjustRightInd w:val="0"/>
              <w:snapToGrid w:val="0"/>
            </w:pPr>
            <w:r>
              <w:t>厂界</w:t>
            </w:r>
          </w:p>
        </w:tc>
        <w:tc>
          <w:tcPr>
            <w:tcW w:w="864" w:type="pct"/>
            <w:noWrap/>
            <w:vAlign w:val="center"/>
          </w:tcPr>
          <w:p>
            <w:pPr>
              <w:pStyle w:val="100"/>
              <w:widowControl w:val="0"/>
              <w:bidi w:val="0"/>
              <w:adjustRightInd w:val="0"/>
              <w:snapToGrid w:val="0"/>
            </w:pPr>
            <w:r>
              <w:rPr>
                <w:rFonts w:hint="eastAsia"/>
              </w:rPr>
              <w:t>厂界四周</w:t>
            </w:r>
          </w:p>
        </w:tc>
        <w:tc>
          <w:tcPr>
            <w:tcW w:w="832" w:type="pct"/>
            <w:noWrap/>
            <w:vAlign w:val="center"/>
          </w:tcPr>
          <w:p>
            <w:pPr>
              <w:pStyle w:val="100"/>
              <w:widowControl w:val="0"/>
              <w:bidi w:val="0"/>
              <w:adjustRightInd w:val="0"/>
              <w:snapToGrid w:val="0"/>
            </w:pPr>
            <w:r>
              <w:t>1-200</w:t>
            </w:r>
          </w:p>
        </w:tc>
        <w:tc>
          <w:tcPr>
            <w:tcW w:w="806" w:type="pct"/>
            <w:noWrap/>
            <w:vAlign w:val="center"/>
          </w:tcPr>
          <w:p>
            <w:pPr>
              <w:pStyle w:val="100"/>
              <w:widowControl w:val="0"/>
              <w:bidi w:val="0"/>
              <w:adjustRightInd w:val="0"/>
              <w:snapToGrid w:val="0"/>
            </w:pPr>
            <w:r>
              <w:rPr>
                <w:rFonts w:hint="eastAsia"/>
              </w:rPr>
              <w:t>/</w:t>
            </w:r>
          </w:p>
        </w:tc>
        <w:tc>
          <w:tcPr>
            <w:tcW w:w="966" w:type="pct"/>
            <w:noWrap/>
            <w:vAlign w:val="center"/>
          </w:tcPr>
          <w:p>
            <w:pPr>
              <w:pStyle w:val="100"/>
              <w:widowControl w:val="0"/>
              <w:bidi w:val="0"/>
              <w:adjustRightInd w:val="0"/>
              <w:snapToGrid w:val="0"/>
            </w:pPr>
            <w:r>
              <w:t>GB3096-2008</w:t>
            </w:r>
          </w:p>
          <w:p>
            <w:pPr>
              <w:pStyle w:val="100"/>
              <w:widowControl w:val="0"/>
              <w:bidi w:val="0"/>
              <w:adjustRightInd w:val="0"/>
              <w:snapToGrid w:val="0"/>
            </w:pPr>
            <w:r>
              <w:t>3类标准</w:t>
            </w:r>
          </w:p>
        </w:tc>
      </w:tr>
      <w:bookmarkEnd w:id="52"/>
    </w:tbl>
    <w:p>
      <w:pPr>
        <w:pStyle w:val="273"/>
        <w:bidi w:val="0"/>
        <w:rPr>
          <w:rFonts w:hint="eastAsia"/>
        </w:rPr>
      </w:pPr>
      <w:r>
        <w:rPr>
          <w:rFonts w:hint="eastAsia"/>
        </w:rPr>
        <w:t>表3-</w:t>
      </w:r>
      <w:r>
        <w:rPr>
          <w:rFonts w:hint="eastAsia"/>
          <w:lang w:val="en-US" w:eastAsia="zh-CN"/>
        </w:rPr>
        <w:t>9</w:t>
      </w:r>
      <w:r>
        <w:rPr>
          <w:rFonts w:hint="eastAsia"/>
        </w:rPr>
        <w:t xml:space="preserve">  本项目生态环境保护目标</w:t>
      </w:r>
    </w:p>
    <w:tbl>
      <w:tblPr>
        <w:tblStyle w:val="2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341"/>
        <w:gridCol w:w="776"/>
        <w:gridCol w:w="2604"/>
        <w:gridCol w:w="1176"/>
        <w:gridCol w:w="888"/>
        <w:gridCol w:w="725"/>
        <w:gridCol w:w="6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40" w:type="pct"/>
            <w:vMerge w:val="restart"/>
            <w:noWrap/>
            <w:vAlign w:val="center"/>
          </w:tcPr>
          <w:p>
            <w:pPr>
              <w:pStyle w:val="100"/>
              <w:widowControl w:val="0"/>
              <w:bidi w:val="0"/>
              <w:adjustRightInd w:val="0"/>
              <w:snapToGrid w:val="0"/>
            </w:pPr>
            <w:r>
              <w:rPr>
                <w:rFonts w:hint="eastAsia"/>
              </w:rPr>
              <w:t>环境要素</w:t>
            </w:r>
          </w:p>
        </w:tc>
        <w:tc>
          <w:tcPr>
            <w:tcW w:w="786" w:type="pct"/>
            <w:vMerge w:val="restart"/>
            <w:noWrap/>
            <w:vAlign w:val="center"/>
          </w:tcPr>
          <w:p>
            <w:pPr>
              <w:pStyle w:val="100"/>
              <w:widowControl w:val="0"/>
              <w:bidi w:val="0"/>
              <w:adjustRightInd w:val="0"/>
              <w:snapToGrid w:val="0"/>
            </w:pPr>
            <w:r>
              <w:rPr>
                <w:rFonts w:hint="eastAsia"/>
              </w:rPr>
              <w:t>环境保护对象名称</w:t>
            </w:r>
          </w:p>
        </w:tc>
        <w:tc>
          <w:tcPr>
            <w:tcW w:w="1981" w:type="pct"/>
            <w:gridSpan w:val="2"/>
            <w:noWrap/>
            <w:vAlign w:val="center"/>
          </w:tcPr>
          <w:p>
            <w:pPr>
              <w:pStyle w:val="100"/>
              <w:widowControl w:val="0"/>
              <w:bidi w:val="0"/>
              <w:adjustRightInd w:val="0"/>
              <w:snapToGrid w:val="0"/>
            </w:pPr>
            <w:r>
              <w:rPr>
                <w:rFonts w:hint="eastAsia"/>
              </w:rPr>
              <w:t>方位、距离（km）</w:t>
            </w:r>
          </w:p>
        </w:tc>
        <w:tc>
          <w:tcPr>
            <w:tcW w:w="1635" w:type="pct"/>
            <w:gridSpan w:val="3"/>
            <w:noWrap/>
            <w:vAlign w:val="center"/>
          </w:tcPr>
          <w:p>
            <w:pPr>
              <w:pStyle w:val="100"/>
              <w:widowControl w:val="0"/>
              <w:bidi w:val="0"/>
              <w:adjustRightInd w:val="0"/>
              <w:snapToGrid w:val="0"/>
            </w:pPr>
            <w:r>
              <w:rPr>
                <w:rFonts w:hint="eastAsia"/>
              </w:rPr>
              <w:t>面积（km2）</w:t>
            </w:r>
          </w:p>
        </w:tc>
        <w:tc>
          <w:tcPr>
            <w:tcW w:w="355" w:type="pct"/>
            <w:vMerge w:val="restart"/>
            <w:noWrap/>
            <w:vAlign w:val="center"/>
          </w:tcPr>
          <w:p>
            <w:pPr>
              <w:pStyle w:val="100"/>
              <w:widowControl w:val="0"/>
              <w:bidi w:val="0"/>
              <w:adjustRightInd w:val="0"/>
              <w:snapToGrid w:val="0"/>
            </w:pPr>
            <w:r>
              <w:rPr>
                <w:rFonts w:hint="eastAsia"/>
              </w:rPr>
              <w:t>主导生态功能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240" w:type="pct"/>
            <w:vMerge w:val="continue"/>
            <w:vAlign w:val="center"/>
          </w:tcPr>
          <w:p>
            <w:pPr>
              <w:pStyle w:val="100"/>
              <w:widowControl w:val="0"/>
              <w:bidi w:val="0"/>
              <w:adjustRightInd w:val="0"/>
              <w:snapToGrid w:val="0"/>
            </w:pPr>
          </w:p>
        </w:tc>
        <w:tc>
          <w:tcPr>
            <w:tcW w:w="786" w:type="pct"/>
            <w:vMerge w:val="continue"/>
            <w:vAlign w:val="center"/>
          </w:tcPr>
          <w:p>
            <w:pPr>
              <w:pStyle w:val="100"/>
              <w:widowControl w:val="0"/>
              <w:bidi w:val="0"/>
              <w:adjustRightInd w:val="0"/>
              <w:snapToGrid w:val="0"/>
            </w:pPr>
          </w:p>
        </w:tc>
        <w:tc>
          <w:tcPr>
            <w:tcW w:w="454" w:type="pct"/>
            <w:noWrap/>
            <w:vAlign w:val="center"/>
          </w:tcPr>
          <w:p>
            <w:pPr>
              <w:pStyle w:val="100"/>
              <w:widowControl w:val="0"/>
              <w:bidi w:val="0"/>
              <w:adjustRightInd w:val="0"/>
              <w:snapToGrid w:val="0"/>
            </w:pPr>
            <w:r>
              <w:rPr>
                <w:rFonts w:hint="eastAsia"/>
              </w:rPr>
              <w:t>国家级生态保护红线范围</w:t>
            </w:r>
          </w:p>
        </w:tc>
        <w:tc>
          <w:tcPr>
            <w:tcW w:w="1526" w:type="pct"/>
            <w:noWrap/>
            <w:vAlign w:val="center"/>
          </w:tcPr>
          <w:p>
            <w:pPr>
              <w:pStyle w:val="100"/>
              <w:widowControl w:val="0"/>
              <w:bidi w:val="0"/>
              <w:adjustRightInd w:val="0"/>
              <w:snapToGrid w:val="0"/>
            </w:pPr>
            <w:r>
              <w:rPr>
                <w:rFonts w:hint="eastAsia"/>
              </w:rPr>
              <w:t>生态空间管控区域范围</w:t>
            </w:r>
          </w:p>
        </w:tc>
        <w:tc>
          <w:tcPr>
            <w:tcW w:w="689" w:type="pct"/>
            <w:noWrap/>
            <w:vAlign w:val="center"/>
          </w:tcPr>
          <w:p>
            <w:pPr>
              <w:pStyle w:val="100"/>
              <w:widowControl w:val="0"/>
              <w:bidi w:val="0"/>
              <w:adjustRightInd w:val="0"/>
              <w:snapToGrid w:val="0"/>
            </w:pPr>
            <w:r>
              <w:rPr>
                <w:rFonts w:hint="eastAsia"/>
              </w:rPr>
              <w:t>国家级生态保护红线面积</w:t>
            </w:r>
          </w:p>
        </w:tc>
        <w:tc>
          <w:tcPr>
            <w:tcW w:w="520" w:type="pct"/>
            <w:noWrap/>
            <w:vAlign w:val="center"/>
          </w:tcPr>
          <w:p>
            <w:pPr>
              <w:pStyle w:val="100"/>
              <w:widowControl w:val="0"/>
              <w:bidi w:val="0"/>
              <w:adjustRightInd w:val="0"/>
              <w:snapToGrid w:val="0"/>
            </w:pPr>
            <w:r>
              <w:rPr>
                <w:rFonts w:hint="eastAsia"/>
              </w:rPr>
              <w:t>生态空间管控区域面积</w:t>
            </w:r>
          </w:p>
        </w:tc>
        <w:tc>
          <w:tcPr>
            <w:tcW w:w="425" w:type="pct"/>
            <w:noWrap/>
            <w:vAlign w:val="center"/>
          </w:tcPr>
          <w:p>
            <w:pPr>
              <w:pStyle w:val="100"/>
              <w:widowControl w:val="0"/>
              <w:bidi w:val="0"/>
              <w:adjustRightInd w:val="0"/>
              <w:snapToGrid w:val="0"/>
            </w:pPr>
            <w:r>
              <w:rPr>
                <w:rFonts w:hint="eastAsia"/>
              </w:rPr>
              <w:t>总面积</w:t>
            </w:r>
          </w:p>
        </w:tc>
        <w:tc>
          <w:tcPr>
            <w:tcW w:w="355"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40" w:type="pct"/>
            <w:noWrap/>
            <w:vAlign w:val="center"/>
          </w:tcPr>
          <w:p>
            <w:pPr>
              <w:pStyle w:val="100"/>
              <w:widowControl w:val="0"/>
              <w:bidi w:val="0"/>
              <w:adjustRightInd w:val="0"/>
              <w:snapToGrid w:val="0"/>
            </w:pPr>
            <w:r>
              <w:t>生态</w:t>
            </w:r>
            <w:r>
              <w:rPr>
                <w:rFonts w:hint="eastAsia"/>
              </w:rPr>
              <w:t>环境</w:t>
            </w:r>
          </w:p>
        </w:tc>
        <w:tc>
          <w:tcPr>
            <w:tcW w:w="786" w:type="pct"/>
            <w:noWrap/>
            <w:vAlign w:val="center"/>
          </w:tcPr>
          <w:p>
            <w:pPr>
              <w:pStyle w:val="100"/>
              <w:widowControl w:val="0"/>
              <w:bidi w:val="0"/>
              <w:adjustRightInd w:val="0"/>
              <w:snapToGrid w:val="0"/>
            </w:pPr>
            <w:r>
              <w:rPr>
                <w:rFonts w:hint="eastAsia"/>
                <w:lang w:val="en-US" w:eastAsia="zh-CN"/>
              </w:rPr>
              <w:t>太湖国家级风景名胜区同里（吴江区、吴中区）景区</w:t>
            </w:r>
          </w:p>
        </w:tc>
        <w:tc>
          <w:tcPr>
            <w:tcW w:w="454" w:type="pct"/>
            <w:noWrap/>
            <w:vAlign w:val="center"/>
          </w:tcPr>
          <w:p>
            <w:pPr>
              <w:pStyle w:val="100"/>
              <w:widowControl w:val="0"/>
              <w:bidi w:val="0"/>
              <w:adjustRightInd w:val="0"/>
              <w:snapToGrid w:val="0"/>
            </w:pPr>
            <w:r>
              <w:rPr>
                <w:rFonts w:hint="eastAsia"/>
              </w:rPr>
              <w:t>/</w:t>
            </w:r>
          </w:p>
        </w:tc>
        <w:tc>
          <w:tcPr>
            <w:tcW w:w="1526" w:type="pct"/>
            <w:noWrap/>
            <w:vAlign w:val="center"/>
          </w:tcPr>
          <w:p>
            <w:pPr>
              <w:pStyle w:val="100"/>
              <w:widowControl w:val="0"/>
              <w:bidi w:val="0"/>
              <w:adjustRightInd w:val="0"/>
              <w:snapToGrid w:val="0"/>
            </w:pPr>
            <w:r>
              <w:rPr>
                <w:rFonts w:hint="eastAsia"/>
              </w:rPr>
              <w:t>东面以苏同黎公路、屯浦塘为界，南面以松厍公路为界，西面以云梨路、上元港、大庙路、未名一路为界，北面以未名三路、洋湖西侧200米、洋湖北侧为界</w:t>
            </w:r>
          </w:p>
        </w:tc>
        <w:tc>
          <w:tcPr>
            <w:tcW w:w="689" w:type="pct"/>
            <w:noWrap/>
            <w:vAlign w:val="center"/>
          </w:tcPr>
          <w:p>
            <w:pPr>
              <w:pStyle w:val="100"/>
              <w:widowControl w:val="0"/>
              <w:bidi w:val="0"/>
              <w:adjustRightInd w:val="0"/>
              <w:snapToGrid w:val="0"/>
            </w:pPr>
            <w:r>
              <w:rPr>
                <w:rFonts w:hint="eastAsia"/>
              </w:rPr>
              <w:t>/</w:t>
            </w:r>
          </w:p>
        </w:tc>
        <w:tc>
          <w:tcPr>
            <w:tcW w:w="520" w:type="pct"/>
            <w:noWrap/>
            <w:vAlign w:val="center"/>
          </w:tcPr>
          <w:p>
            <w:pPr>
              <w:pStyle w:val="100"/>
              <w:widowControl w:val="0"/>
              <w:bidi w:val="0"/>
              <w:adjustRightInd w:val="0"/>
              <w:snapToGrid w:val="0"/>
              <w:rPr>
                <w:rFonts w:hint="default"/>
                <w:lang w:val="en-US" w:eastAsia="zh-CN"/>
              </w:rPr>
            </w:pPr>
            <w:r>
              <w:rPr>
                <w:rFonts w:hint="eastAsia"/>
              </w:rPr>
              <w:t>1</w:t>
            </w:r>
            <w:r>
              <w:rPr>
                <w:rFonts w:hint="eastAsia"/>
                <w:lang w:val="en-US" w:eastAsia="zh-CN"/>
              </w:rPr>
              <w:t>8.96</w:t>
            </w:r>
          </w:p>
        </w:tc>
        <w:tc>
          <w:tcPr>
            <w:tcW w:w="425" w:type="pct"/>
            <w:noWrap/>
            <w:vAlign w:val="center"/>
          </w:tcPr>
          <w:p>
            <w:pPr>
              <w:pStyle w:val="100"/>
              <w:widowControl w:val="0"/>
              <w:bidi w:val="0"/>
              <w:adjustRightInd w:val="0"/>
              <w:snapToGrid w:val="0"/>
              <w:rPr>
                <w:rFonts w:hint="default"/>
                <w:lang w:val="en-US" w:eastAsia="zh-CN"/>
              </w:rPr>
            </w:pPr>
            <w:r>
              <w:rPr>
                <w:rFonts w:hint="eastAsia"/>
                <w:lang w:val="en-US" w:eastAsia="zh-CN"/>
              </w:rPr>
              <w:t>18.96</w:t>
            </w:r>
          </w:p>
        </w:tc>
        <w:tc>
          <w:tcPr>
            <w:tcW w:w="355" w:type="pct"/>
            <w:noWrap/>
            <w:vAlign w:val="center"/>
          </w:tcPr>
          <w:p>
            <w:pPr>
              <w:pStyle w:val="100"/>
              <w:widowControl w:val="0"/>
              <w:bidi w:val="0"/>
              <w:adjustRightInd w:val="0"/>
              <w:snapToGrid w:val="0"/>
            </w:pPr>
            <w:r>
              <w:rPr>
                <w:rFonts w:hint="eastAsia"/>
              </w:rPr>
              <w:t>自然与人文景观保护</w:t>
            </w:r>
          </w:p>
        </w:tc>
      </w:tr>
    </w:tbl>
    <w:p>
      <w:pPr>
        <w:pStyle w:val="103"/>
        <w:bidi w:val="0"/>
      </w:pPr>
      <w:r>
        <w:rPr>
          <w:rFonts w:hint="eastAsia"/>
        </w:rPr>
        <w:t>以厂区几何中心作为坐标原点（坐标：0，0），东西方向为X轴、南北方向为Y轴</w:t>
      </w:r>
    </w:p>
    <w:p>
      <w:pPr>
        <w:pStyle w:val="103"/>
      </w:pPr>
    </w:p>
    <w:bookmarkEnd w:id="49"/>
    <w:p>
      <w:pPr>
        <w:pStyle w:val="103"/>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p>
      <w:pPr>
        <w:pStyle w:val="4"/>
      </w:pPr>
      <w:bookmarkStart w:id="53" w:name="_Toc27017"/>
      <w:bookmarkStart w:id="54" w:name="_Toc307515801"/>
      <w:r>
        <w:rPr>
          <w:rFonts w:hint="eastAsia"/>
        </w:rPr>
        <w:t>评价适用标准</w:t>
      </w: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-387350</wp:posOffset>
                </wp:positionV>
                <wp:extent cx="2057400" cy="344805"/>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2057400" cy="345053"/>
                        </a:xfrm>
                        <a:prstGeom prst="rect">
                          <a:avLst/>
                        </a:prstGeom>
                        <a:solidFill>
                          <a:srgbClr val="FFFFFF">
                            <a:alpha val="0"/>
                          </a:srgbClr>
                        </a:solidFill>
                        <a:ln>
                          <a:noFill/>
                        </a:ln>
                      </wps:spPr>
                      <wps:txbx>
                        <w:txbxContent>
                          <w:p>
                            <w:pPr>
                              <w:pStyle w:val="345"/>
                            </w:pPr>
                            <w:bookmarkStart w:id="98" w:name="_Toc307515800"/>
                            <w:r>
                              <w:rPr>
                                <w:rFonts w:hint="eastAsia"/>
                              </w:rPr>
                              <w:t>四、评价适用标准</w:t>
                            </w:r>
                            <w:bookmarkEnd w:id="98"/>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30.5pt;height:27.15pt;width:162pt;z-index:251661312;mso-width-relative:page;mso-height-relative:page;" fillcolor="#FFFFFF" filled="t" stroked="f" coordsize="21600,21600" o:gfxdata="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G0Li9gAAAAKAQAADwAAAAAAAAABACAAAAAiAAAAZHJzL2Rvd25y&#10;ZXYueG1sUEsBAhQAFAAAAAgAh07iQO0e1CA3AgAAXQQAAA4AAAAAAAAAAQAgAAAAJwEAAGRycy9l&#10;Mm9Eb2MueG1sUEsFBgAAAAAGAAYAWQEAANAFAAAAAA==&#10;">
                <v:fill on="t" opacity="0f" focussize="0,0"/>
                <v:stroke on="f"/>
                <v:imagedata o:title=""/>
                <o:lock v:ext="edit" aspectratio="f"/>
                <v:textbox>
                  <w:txbxContent>
                    <w:p>
                      <w:pPr>
                        <w:pStyle w:val="345"/>
                      </w:pPr>
                      <w:bookmarkStart w:id="98" w:name="_Toc307515800"/>
                      <w:r>
                        <w:rPr>
                          <w:rFonts w:hint="eastAsia"/>
                        </w:rPr>
                        <w:t>四、评价适用标准</w:t>
                      </w:r>
                      <w:bookmarkEnd w:id="98"/>
                    </w:p>
                  </w:txbxContent>
                </v:textbox>
              </v:shape>
            </w:pict>
          </mc:Fallback>
        </mc:AlternateContent>
      </w:r>
      <w:bookmarkEnd w:id="53"/>
    </w:p>
    <w:p>
      <w:pPr>
        <w:pStyle w:val="102"/>
      </w:pPr>
      <w:r>
        <w:t>环境质量标准</w:t>
      </w:r>
      <w:bookmarkEnd w:id="54"/>
    </w:p>
    <w:p>
      <w:pPr>
        <w:pStyle w:val="104"/>
      </w:pPr>
      <w:bookmarkStart w:id="55" w:name="_Toc307515802"/>
      <w:r>
        <w:t>环境空气</w:t>
      </w:r>
      <w:r>
        <w:rPr>
          <w:rFonts w:hint="eastAsia"/>
        </w:rPr>
        <w:t>质量</w:t>
      </w:r>
    </w:p>
    <w:p>
      <w:pPr>
        <w:pStyle w:val="103"/>
        <w:bidi w:val="0"/>
      </w:pPr>
      <w:r>
        <w:rPr>
          <w:rFonts w:hint="eastAsia"/>
        </w:rPr>
        <w:t>根据吴江区环境空气质量功能区划，吴江区大气环境要达到二类功能区要求，因此本项目所在区域大气环境质量执行《环境空气质量标准》（GB3095-2012）中的二级标准。项目特征因子非甲烷总烃参照《大气污染物综合排放标准详解》说明标准，特征污染物</w:t>
      </w:r>
      <w:r>
        <w:rPr>
          <w:rFonts w:hint="eastAsia"/>
          <w:lang w:val="en-US" w:eastAsia="zh-CN"/>
        </w:rPr>
        <w:t>非甲烷总烃</w:t>
      </w:r>
      <w:r>
        <w:rPr>
          <w:rFonts w:hint="eastAsia"/>
        </w:rPr>
        <w:t>参照《环境影响评价技术导则大气环境》（HJ2.2-2018）附录D，</w:t>
      </w:r>
      <w:r>
        <w:t>相关标准值摘录见表4-1。</w:t>
      </w:r>
    </w:p>
    <w:p>
      <w:pPr>
        <w:pStyle w:val="273"/>
        <w:bidi w:val="0"/>
        <w:rPr>
          <w:rFonts w:hint="eastAsia"/>
        </w:rPr>
      </w:pPr>
      <w:r>
        <w:rPr>
          <w:rFonts w:hint="eastAsia"/>
        </w:rPr>
        <w:t>表4-1  环境空气质量标准</w:t>
      </w:r>
    </w:p>
    <w:tbl>
      <w:tblPr>
        <w:tblStyle w:val="260"/>
        <w:tblW w:w="83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660"/>
        <w:gridCol w:w="1962"/>
        <w:gridCol w:w="1757"/>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58" w:type="dxa"/>
            <w:vAlign w:val="center"/>
          </w:tcPr>
          <w:p>
            <w:pPr>
              <w:pStyle w:val="100"/>
              <w:widowControl w:val="0"/>
              <w:bidi w:val="0"/>
              <w:adjustRightInd w:val="0"/>
              <w:snapToGrid w:val="0"/>
            </w:pPr>
            <w:r>
              <w:rPr>
                <w:rFonts w:hint="eastAsia"/>
              </w:rPr>
              <w:t>序号</w:t>
            </w:r>
          </w:p>
        </w:tc>
        <w:tc>
          <w:tcPr>
            <w:tcW w:w="1660" w:type="dxa"/>
            <w:vAlign w:val="center"/>
          </w:tcPr>
          <w:p>
            <w:pPr>
              <w:pStyle w:val="100"/>
              <w:widowControl w:val="0"/>
              <w:bidi w:val="0"/>
              <w:adjustRightInd w:val="0"/>
              <w:snapToGrid w:val="0"/>
            </w:pPr>
            <w:r>
              <w:rPr>
                <w:rFonts w:hint="eastAsia"/>
              </w:rPr>
              <w:t>污染物项目</w:t>
            </w:r>
          </w:p>
        </w:tc>
        <w:tc>
          <w:tcPr>
            <w:tcW w:w="1962" w:type="dxa"/>
            <w:vAlign w:val="center"/>
          </w:tcPr>
          <w:p>
            <w:pPr>
              <w:pStyle w:val="100"/>
              <w:widowControl w:val="0"/>
              <w:bidi w:val="0"/>
              <w:adjustRightInd w:val="0"/>
              <w:snapToGrid w:val="0"/>
            </w:pPr>
            <w:r>
              <w:rPr>
                <w:rFonts w:hint="eastAsia"/>
              </w:rPr>
              <w:t>平均时间</w:t>
            </w:r>
          </w:p>
        </w:tc>
        <w:tc>
          <w:tcPr>
            <w:tcW w:w="1757" w:type="dxa"/>
            <w:vAlign w:val="center"/>
          </w:tcPr>
          <w:p>
            <w:pPr>
              <w:pStyle w:val="100"/>
              <w:widowControl w:val="0"/>
              <w:bidi w:val="0"/>
              <w:adjustRightInd w:val="0"/>
              <w:snapToGrid w:val="0"/>
            </w:pPr>
            <w:r>
              <w:rPr>
                <w:rFonts w:hint="eastAsia"/>
              </w:rPr>
              <w:t>浓度限值mg/m3</w:t>
            </w:r>
          </w:p>
        </w:tc>
        <w:tc>
          <w:tcPr>
            <w:tcW w:w="2127" w:type="dxa"/>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858" w:type="dxa"/>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1660" w:type="dxa"/>
            <w:vAlign w:val="center"/>
          </w:tcPr>
          <w:p>
            <w:pPr>
              <w:pStyle w:val="100"/>
              <w:widowControl w:val="0"/>
              <w:bidi w:val="0"/>
              <w:adjustRightInd w:val="0"/>
              <w:snapToGrid w:val="0"/>
            </w:pPr>
            <w:r>
              <w:rPr>
                <w:rFonts w:hint="eastAsia"/>
              </w:rPr>
              <w:t>非甲烷总烃</w:t>
            </w:r>
          </w:p>
        </w:tc>
        <w:tc>
          <w:tcPr>
            <w:tcW w:w="1962" w:type="dxa"/>
            <w:vAlign w:val="center"/>
          </w:tcPr>
          <w:p>
            <w:pPr>
              <w:pStyle w:val="100"/>
              <w:widowControl w:val="0"/>
              <w:bidi w:val="0"/>
              <w:adjustRightInd w:val="0"/>
              <w:snapToGrid w:val="0"/>
            </w:pPr>
            <w:r>
              <w:rPr>
                <w:rFonts w:hint="eastAsia"/>
              </w:rPr>
              <w:t>一次</w:t>
            </w:r>
          </w:p>
        </w:tc>
        <w:tc>
          <w:tcPr>
            <w:tcW w:w="1757" w:type="dxa"/>
            <w:vAlign w:val="center"/>
          </w:tcPr>
          <w:p>
            <w:pPr>
              <w:pStyle w:val="100"/>
              <w:widowControl w:val="0"/>
              <w:bidi w:val="0"/>
              <w:adjustRightInd w:val="0"/>
              <w:snapToGrid w:val="0"/>
            </w:pPr>
            <w:r>
              <w:rPr>
                <w:rFonts w:hint="eastAsia"/>
              </w:rPr>
              <w:t>2.0</w:t>
            </w:r>
          </w:p>
        </w:tc>
        <w:tc>
          <w:tcPr>
            <w:tcW w:w="2127" w:type="dxa"/>
            <w:vAlign w:val="center"/>
          </w:tcPr>
          <w:p>
            <w:pPr>
              <w:pStyle w:val="100"/>
              <w:widowControl w:val="0"/>
              <w:bidi w:val="0"/>
              <w:adjustRightInd w:val="0"/>
              <w:snapToGrid w:val="0"/>
            </w:pPr>
            <w:r>
              <w:rPr>
                <w:rFonts w:hint="eastAsia"/>
              </w:rPr>
              <w:t>《大气污染物综合排放标准详解》</w:t>
            </w:r>
          </w:p>
        </w:tc>
      </w:tr>
    </w:tbl>
    <w:p>
      <w:pPr>
        <w:pStyle w:val="104"/>
      </w:pPr>
      <w:r>
        <w:rPr>
          <w:rFonts w:hint="eastAsia"/>
        </w:rPr>
        <w:t>水环境质量</w:t>
      </w:r>
    </w:p>
    <w:p>
      <w:pPr>
        <w:pStyle w:val="103"/>
        <w:bidi w:val="0"/>
      </w:pPr>
      <w:r>
        <w:rPr>
          <w:rFonts w:hint="eastAsia"/>
        </w:rPr>
        <w:t>根据《江苏省地表水（环境）功能区划》（苏政复[2016]106 号），</w:t>
      </w:r>
      <w:r>
        <w:t>项目纳污河道吴淞江水质执行《地表水环境质量标准》（GB3838-2002）Ⅳ类标准</w:t>
      </w:r>
      <w:r>
        <w:rPr>
          <w:rFonts w:hint="eastAsia"/>
        </w:rPr>
        <w:t>，悬浮物执行《地表水资源质量标准》（</w:t>
      </w:r>
      <w:r>
        <w:t>SL63-94</w:t>
      </w:r>
      <w:r>
        <w:rPr>
          <w:rFonts w:hint="eastAsia"/>
        </w:rPr>
        <w:t>）</w:t>
      </w:r>
      <w:r>
        <w:t>。相关标准</w:t>
      </w:r>
      <w:r>
        <w:rPr>
          <w:rFonts w:hint="eastAsia"/>
        </w:rPr>
        <w:t>限制摘录</w:t>
      </w:r>
      <w:r>
        <w:t>见表4-2。</w:t>
      </w:r>
    </w:p>
    <w:p>
      <w:pPr>
        <w:pStyle w:val="273"/>
        <w:bidi w:val="0"/>
        <w:rPr>
          <w:rFonts w:hint="eastAsia"/>
        </w:rPr>
      </w:pPr>
      <w:r>
        <w:rPr>
          <w:rFonts w:hint="eastAsia"/>
        </w:rPr>
        <w:t xml:space="preserve">表4-2  地表水环境质量标准 </w:t>
      </w:r>
    </w:p>
    <w:tbl>
      <w:tblPr>
        <w:tblStyle w:val="260"/>
        <w:tblW w:w="84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2301"/>
        <w:gridCol w:w="1685"/>
        <w:gridCol w:w="1685"/>
        <w:gridCol w:w="2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25" w:type="dxa"/>
            <w:vMerge w:val="restart"/>
            <w:vAlign w:val="center"/>
          </w:tcPr>
          <w:p>
            <w:pPr>
              <w:pStyle w:val="100"/>
              <w:widowControl w:val="0"/>
              <w:bidi w:val="0"/>
              <w:adjustRightInd w:val="0"/>
              <w:snapToGrid w:val="0"/>
            </w:pPr>
            <w:r>
              <w:rPr>
                <w:rFonts w:hint="eastAsia"/>
              </w:rPr>
              <w:t>序号</w:t>
            </w:r>
          </w:p>
        </w:tc>
        <w:tc>
          <w:tcPr>
            <w:tcW w:w="2301" w:type="dxa"/>
            <w:vMerge w:val="restart"/>
            <w:vAlign w:val="center"/>
          </w:tcPr>
          <w:p>
            <w:pPr>
              <w:pStyle w:val="100"/>
              <w:widowControl w:val="0"/>
              <w:bidi w:val="0"/>
              <w:adjustRightInd w:val="0"/>
              <w:snapToGrid w:val="0"/>
            </w:pPr>
            <w:r>
              <w:rPr>
                <w:rFonts w:hint="eastAsia"/>
              </w:rPr>
              <w:t>污染物项目</w:t>
            </w:r>
          </w:p>
        </w:tc>
        <w:tc>
          <w:tcPr>
            <w:tcW w:w="3370" w:type="dxa"/>
            <w:gridSpan w:val="2"/>
            <w:vAlign w:val="center"/>
          </w:tcPr>
          <w:p>
            <w:pPr>
              <w:pStyle w:val="100"/>
              <w:widowControl w:val="0"/>
              <w:bidi w:val="0"/>
              <w:adjustRightInd w:val="0"/>
              <w:snapToGrid w:val="0"/>
            </w:pPr>
            <w:r>
              <w:rPr>
                <w:rFonts w:hint="eastAsia"/>
              </w:rPr>
              <w:t>标准限值</w:t>
            </w:r>
            <w:r>
              <w:t>mg/L（pH除外）</w:t>
            </w:r>
          </w:p>
        </w:tc>
        <w:tc>
          <w:tcPr>
            <w:tcW w:w="2278" w:type="dxa"/>
            <w:vMerge w:val="restart"/>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25" w:type="dxa"/>
            <w:vMerge w:val="continue"/>
            <w:vAlign w:val="center"/>
          </w:tcPr>
          <w:p>
            <w:pPr>
              <w:pStyle w:val="100"/>
              <w:widowControl w:val="0"/>
              <w:bidi w:val="0"/>
              <w:adjustRightInd w:val="0"/>
              <w:snapToGrid w:val="0"/>
            </w:pPr>
          </w:p>
        </w:tc>
        <w:tc>
          <w:tcPr>
            <w:tcW w:w="2301" w:type="dxa"/>
            <w:vMerge w:val="continue"/>
            <w:vAlign w:val="center"/>
          </w:tcPr>
          <w:p>
            <w:pPr>
              <w:pStyle w:val="100"/>
              <w:widowControl w:val="0"/>
              <w:bidi w:val="0"/>
              <w:adjustRightInd w:val="0"/>
              <w:snapToGrid w:val="0"/>
            </w:pPr>
          </w:p>
        </w:tc>
        <w:tc>
          <w:tcPr>
            <w:tcW w:w="1685" w:type="dxa"/>
            <w:vAlign w:val="center"/>
          </w:tcPr>
          <w:p>
            <w:pPr>
              <w:pStyle w:val="100"/>
              <w:widowControl w:val="0"/>
              <w:bidi w:val="0"/>
              <w:adjustRightInd w:val="0"/>
              <w:snapToGrid w:val="0"/>
            </w:pPr>
            <w:r>
              <w:t>Ⅱ</w:t>
            </w:r>
            <w:r>
              <w:rPr>
                <w:rFonts w:hint="eastAsia"/>
              </w:rPr>
              <w:t>类</w:t>
            </w:r>
          </w:p>
        </w:tc>
        <w:tc>
          <w:tcPr>
            <w:tcW w:w="1685" w:type="dxa"/>
            <w:vAlign w:val="center"/>
          </w:tcPr>
          <w:p>
            <w:pPr>
              <w:pStyle w:val="100"/>
              <w:widowControl w:val="0"/>
              <w:bidi w:val="0"/>
              <w:adjustRightInd w:val="0"/>
              <w:snapToGrid w:val="0"/>
            </w:pPr>
            <w:r>
              <w:t>Ⅳ类</w:t>
            </w:r>
          </w:p>
        </w:tc>
        <w:tc>
          <w:tcPr>
            <w:tcW w:w="227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vAlign w:val="center"/>
          </w:tcPr>
          <w:p>
            <w:pPr>
              <w:pStyle w:val="100"/>
              <w:widowControl w:val="0"/>
              <w:bidi w:val="0"/>
              <w:adjustRightInd w:val="0"/>
              <w:snapToGrid w:val="0"/>
            </w:pPr>
            <w:r>
              <w:rPr>
                <w:rFonts w:hint="eastAsia"/>
              </w:rPr>
              <w:t>1</w:t>
            </w:r>
          </w:p>
        </w:tc>
        <w:tc>
          <w:tcPr>
            <w:tcW w:w="2301" w:type="dxa"/>
            <w:vAlign w:val="center"/>
          </w:tcPr>
          <w:p>
            <w:pPr>
              <w:pStyle w:val="100"/>
              <w:widowControl w:val="0"/>
              <w:bidi w:val="0"/>
              <w:adjustRightInd w:val="0"/>
              <w:snapToGrid w:val="0"/>
            </w:pPr>
            <w:r>
              <w:t>pH值</w:t>
            </w:r>
          </w:p>
        </w:tc>
        <w:tc>
          <w:tcPr>
            <w:tcW w:w="1685" w:type="dxa"/>
            <w:vAlign w:val="center"/>
          </w:tcPr>
          <w:p>
            <w:pPr>
              <w:pStyle w:val="100"/>
              <w:widowControl w:val="0"/>
              <w:bidi w:val="0"/>
              <w:adjustRightInd w:val="0"/>
              <w:snapToGrid w:val="0"/>
            </w:pPr>
            <w:r>
              <w:t>6~9（无量纲）</w:t>
            </w:r>
          </w:p>
        </w:tc>
        <w:tc>
          <w:tcPr>
            <w:tcW w:w="1685" w:type="dxa"/>
            <w:vAlign w:val="center"/>
          </w:tcPr>
          <w:p>
            <w:pPr>
              <w:pStyle w:val="100"/>
              <w:widowControl w:val="0"/>
              <w:bidi w:val="0"/>
              <w:adjustRightInd w:val="0"/>
              <w:snapToGrid w:val="0"/>
            </w:pPr>
            <w:r>
              <w:t>6~9（无量纲）</w:t>
            </w:r>
          </w:p>
        </w:tc>
        <w:tc>
          <w:tcPr>
            <w:tcW w:w="2278" w:type="dxa"/>
            <w:vMerge w:val="restart"/>
            <w:vAlign w:val="center"/>
          </w:tcPr>
          <w:p>
            <w:pPr>
              <w:pStyle w:val="100"/>
              <w:widowControl w:val="0"/>
              <w:bidi w:val="0"/>
              <w:adjustRightInd w:val="0"/>
              <w:snapToGrid w:val="0"/>
            </w:pPr>
            <w:r>
              <w:t>《地表水环境质量标准》（GB3838-2002）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vAlign w:val="center"/>
          </w:tcPr>
          <w:p>
            <w:pPr>
              <w:pStyle w:val="100"/>
              <w:widowControl w:val="0"/>
              <w:bidi w:val="0"/>
              <w:adjustRightInd w:val="0"/>
              <w:snapToGrid w:val="0"/>
            </w:pPr>
            <w:r>
              <w:rPr>
                <w:rFonts w:hint="eastAsia"/>
              </w:rPr>
              <w:t>2</w:t>
            </w:r>
          </w:p>
        </w:tc>
        <w:tc>
          <w:tcPr>
            <w:tcW w:w="2301" w:type="dxa"/>
            <w:vAlign w:val="center"/>
          </w:tcPr>
          <w:p>
            <w:pPr>
              <w:pStyle w:val="100"/>
              <w:widowControl w:val="0"/>
              <w:bidi w:val="0"/>
              <w:adjustRightInd w:val="0"/>
              <w:snapToGrid w:val="0"/>
            </w:pPr>
            <w:r>
              <w:t>化学需氧量（COD）≤</w:t>
            </w:r>
          </w:p>
        </w:tc>
        <w:tc>
          <w:tcPr>
            <w:tcW w:w="1685" w:type="dxa"/>
            <w:vAlign w:val="center"/>
          </w:tcPr>
          <w:p>
            <w:pPr>
              <w:pStyle w:val="100"/>
              <w:widowControl w:val="0"/>
              <w:bidi w:val="0"/>
              <w:adjustRightInd w:val="0"/>
              <w:snapToGrid w:val="0"/>
            </w:pPr>
            <w:r>
              <w:rPr>
                <w:rFonts w:hint="eastAsia"/>
              </w:rPr>
              <w:t>15</w:t>
            </w:r>
          </w:p>
        </w:tc>
        <w:tc>
          <w:tcPr>
            <w:tcW w:w="1685" w:type="dxa"/>
            <w:vAlign w:val="center"/>
          </w:tcPr>
          <w:p>
            <w:pPr>
              <w:pStyle w:val="100"/>
              <w:widowControl w:val="0"/>
              <w:bidi w:val="0"/>
              <w:adjustRightInd w:val="0"/>
              <w:snapToGrid w:val="0"/>
            </w:pPr>
            <w:r>
              <w:t>30</w:t>
            </w:r>
          </w:p>
        </w:tc>
        <w:tc>
          <w:tcPr>
            <w:tcW w:w="227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vAlign w:val="center"/>
          </w:tcPr>
          <w:p>
            <w:pPr>
              <w:pStyle w:val="100"/>
              <w:widowControl w:val="0"/>
              <w:bidi w:val="0"/>
              <w:adjustRightInd w:val="0"/>
              <w:snapToGrid w:val="0"/>
            </w:pPr>
            <w:r>
              <w:rPr>
                <w:rFonts w:hint="eastAsia"/>
              </w:rPr>
              <w:t>3</w:t>
            </w:r>
          </w:p>
        </w:tc>
        <w:tc>
          <w:tcPr>
            <w:tcW w:w="2301" w:type="dxa"/>
            <w:vAlign w:val="center"/>
          </w:tcPr>
          <w:p>
            <w:pPr>
              <w:pStyle w:val="100"/>
              <w:widowControl w:val="0"/>
              <w:bidi w:val="0"/>
              <w:adjustRightInd w:val="0"/>
              <w:snapToGrid w:val="0"/>
            </w:pPr>
            <w:r>
              <w:t>氨氮≤</w:t>
            </w:r>
          </w:p>
        </w:tc>
        <w:tc>
          <w:tcPr>
            <w:tcW w:w="1685" w:type="dxa"/>
            <w:vAlign w:val="center"/>
          </w:tcPr>
          <w:p>
            <w:pPr>
              <w:pStyle w:val="100"/>
              <w:widowControl w:val="0"/>
              <w:bidi w:val="0"/>
              <w:adjustRightInd w:val="0"/>
              <w:snapToGrid w:val="0"/>
            </w:pPr>
            <w:r>
              <w:rPr>
                <w:rFonts w:hint="eastAsia"/>
              </w:rPr>
              <w:t>0.5</w:t>
            </w:r>
          </w:p>
        </w:tc>
        <w:tc>
          <w:tcPr>
            <w:tcW w:w="1685" w:type="dxa"/>
            <w:vAlign w:val="center"/>
          </w:tcPr>
          <w:p>
            <w:pPr>
              <w:pStyle w:val="100"/>
              <w:widowControl w:val="0"/>
              <w:bidi w:val="0"/>
              <w:adjustRightInd w:val="0"/>
              <w:snapToGrid w:val="0"/>
            </w:pPr>
            <w:r>
              <w:t>1.5</w:t>
            </w:r>
          </w:p>
        </w:tc>
        <w:tc>
          <w:tcPr>
            <w:tcW w:w="227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vAlign w:val="center"/>
          </w:tcPr>
          <w:p>
            <w:pPr>
              <w:pStyle w:val="100"/>
              <w:widowControl w:val="0"/>
              <w:bidi w:val="0"/>
              <w:adjustRightInd w:val="0"/>
              <w:snapToGrid w:val="0"/>
            </w:pPr>
            <w:r>
              <w:rPr>
                <w:rFonts w:hint="eastAsia"/>
              </w:rPr>
              <w:t>4</w:t>
            </w:r>
          </w:p>
        </w:tc>
        <w:tc>
          <w:tcPr>
            <w:tcW w:w="2301" w:type="dxa"/>
            <w:vAlign w:val="center"/>
          </w:tcPr>
          <w:p>
            <w:pPr>
              <w:pStyle w:val="100"/>
              <w:widowControl w:val="0"/>
              <w:bidi w:val="0"/>
              <w:adjustRightInd w:val="0"/>
              <w:snapToGrid w:val="0"/>
            </w:pPr>
            <w:r>
              <w:t>总磷（以P计）≤</w:t>
            </w:r>
          </w:p>
        </w:tc>
        <w:tc>
          <w:tcPr>
            <w:tcW w:w="1685" w:type="dxa"/>
            <w:vAlign w:val="center"/>
          </w:tcPr>
          <w:p>
            <w:pPr>
              <w:pStyle w:val="100"/>
              <w:widowControl w:val="0"/>
              <w:bidi w:val="0"/>
              <w:adjustRightInd w:val="0"/>
              <w:snapToGrid w:val="0"/>
            </w:pPr>
            <w:r>
              <w:t>0.</w:t>
            </w:r>
            <w:r>
              <w:rPr>
                <w:rFonts w:hint="eastAsia"/>
              </w:rPr>
              <w:t>1</w:t>
            </w:r>
          </w:p>
          <w:p>
            <w:pPr>
              <w:pStyle w:val="100"/>
              <w:widowControl w:val="0"/>
              <w:bidi w:val="0"/>
              <w:adjustRightInd w:val="0"/>
              <w:snapToGrid w:val="0"/>
            </w:pPr>
            <w:r>
              <w:t>（湖、库0.</w:t>
            </w:r>
            <w:r>
              <w:rPr>
                <w:rFonts w:hint="eastAsia"/>
              </w:rPr>
              <w:t>025</w:t>
            </w:r>
            <w:r>
              <w:t>）</w:t>
            </w:r>
          </w:p>
        </w:tc>
        <w:tc>
          <w:tcPr>
            <w:tcW w:w="1685" w:type="dxa"/>
            <w:vAlign w:val="center"/>
          </w:tcPr>
          <w:p>
            <w:pPr>
              <w:pStyle w:val="100"/>
              <w:widowControl w:val="0"/>
              <w:bidi w:val="0"/>
              <w:adjustRightInd w:val="0"/>
              <w:snapToGrid w:val="0"/>
            </w:pPr>
            <w:r>
              <w:t>0.3</w:t>
            </w:r>
          </w:p>
          <w:p>
            <w:pPr>
              <w:pStyle w:val="100"/>
              <w:widowControl w:val="0"/>
              <w:bidi w:val="0"/>
              <w:adjustRightInd w:val="0"/>
              <w:snapToGrid w:val="0"/>
            </w:pPr>
            <w:r>
              <w:t>（湖、库0.1）</w:t>
            </w:r>
          </w:p>
        </w:tc>
        <w:tc>
          <w:tcPr>
            <w:tcW w:w="227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5" w:type="dxa"/>
            <w:vAlign w:val="center"/>
          </w:tcPr>
          <w:p>
            <w:pPr>
              <w:pStyle w:val="100"/>
              <w:widowControl w:val="0"/>
              <w:bidi w:val="0"/>
              <w:adjustRightInd w:val="0"/>
              <w:snapToGrid w:val="0"/>
            </w:pPr>
            <w:r>
              <w:rPr>
                <w:rFonts w:hint="eastAsia"/>
              </w:rPr>
              <w:t>5</w:t>
            </w:r>
          </w:p>
        </w:tc>
        <w:tc>
          <w:tcPr>
            <w:tcW w:w="2301" w:type="dxa"/>
            <w:vAlign w:val="center"/>
          </w:tcPr>
          <w:p>
            <w:pPr>
              <w:pStyle w:val="100"/>
              <w:widowControl w:val="0"/>
              <w:bidi w:val="0"/>
              <w:adjustRightInd w:val="0"/>
              <w:snapToGrid w:val="0"/>
            </w:pPr>
            <w:r>
              <w:t>悬浮物≤</w:t>
            </w:r>
          </w:p>
        </w:tc>
        <w:tc>
          <w:tcPr>
            <w:tcW w:w="1685" w:type="dxa"/>
            <w:vAlign w:val="center"/>
          </w:tcPr>
          <w:p>
            <w:pPr>
              <w:pStyle w:val="100"/>
              <w:widowControl w:val="0"/>
              <w:bidi w:val="0"/>
              <w:adjustRightInd w:val="0"/>
              <w:snapToGrid w:val="0"/>
            </w:pPr>
            <w:r>
              <w:rPr>
                <w:rFonts w:hint="eastAsia"/>
              </w:rPr>
              <w:t>25</w:t>
            </w:r>
          </w:p>
        </w:tc>
        <w:tc>
          <w:tcPr>
            <w:tcW w:w="1685" w:type="dxa"/>
            <w:vAlign w:val="center"/>
          </w:tcPr>
          <w:p>
            <w:pPr>
              <w:pStyle w:val="100"/>
              <w:widowControl w:val="0"/>
              <w:bidi w:val="0"/>
              <w:adjustRightInd w:val="0"/>
              <w:snapToGrid w:val="0"/>
            </w:pPr>
            <w:r>
              <w:t>60</w:t>
            </w:r>
          </w:p>
        </w:tc>
        <w:tc>
          <w:tcPr>
            <w:tcW w:w="2278" w:type="dxa"/>
            <w:vAlign w:val="center"/>
          </w:tcPr>
          <w:p>
            <w:pPr>
              <w:pStyle w:val="100"/>
              <w:widowControl w:val="0"/>
              <w:bidi w:val="0"/>
              <w:adjustRightInd w:val="0"/>
              <w:snapToGrid w:val="0"/>
            </w:pPr>
            <w:r>
              <w:rPr>
                <w:rFonts w:hint="eastAsia"/>
              </w:rPr>
              <w:t>《地表水资源质量标准》（</w:t>
            </w:r>
            <w:r>
              <w:t>SL63-94</w:t>
            </w:r>
            <w:r>
              <w:rPr>
                <w:rFonts w:hint="eastAsia"/>
              </w:rPr>
              <w:t>）</w:t>
            </w:r>
          </w:p>
        </w:tc>
      </w:tr>
    </w:tbl>
    <w:p>
      <w:pPr>
        <w:pStyle w:val="104"/>
      </w:pPr>
      <w:r>
        <w:t>声环境</w:t>
      </w:r>
    </w:p>
    <w:p>
      <w:pPr>
        <w:pStyle w:val="103"/>
        <w:bidi w:val="0"/>
      </w:pPr>
      <w:r>
        <w:t>项目所在地</w:t>
      </w:r>
      <w:r>
        <w:rPr>
          <w:rFonts w:hint="eastAsia"/>
        </w:rPr>
        <w:t>属于工业区。</w:t>
      </w:r>
      <w:r>
        <w:rPr>
          <w:rFonts w:hint="eastAsia"/>
          <w:lang w:val="en-US" w:eastAsia="zh-CN"/>
        </w:rPr>
        <w:t>东厂界、</w:t>
      </w:r>
      <w:r>
        <w:rPr>
          <w:rFonts w:hint="eastAsia"/>
        </w:rPr>
        <w:t>北厂界</w:t>
      </w:r>
      <w:r>
        <w:t>噪声执行《声环境质量标准》（GB3096-2008）</w:t>
      </w:r>
      <w:r>
        <w:rPr>
          <w:rFonts w:hint="eastAsia"/>
        </w:rPr>
        <w:t>4a</w:t>
      </w:r>
      <w:r>
        <w:t>类标准</w:t>
      </w:r>
      <w:r>
        <w:rPr>
          <w:rFonts w:hint="eastAsia"/>
        </w:rPr>
        <w:t>、其余厂界执行3类标准</w:t>
      </w:r>
      <w:r>
        <w:t>，相关标准</w:t>
      </w:r>
      <w:r>
        <w:rPr>
          <w:rFonts w:hint="eastAsia"/>
        </w:rPr>
        <w:t>限制摘录</w:t>
      </w:r>
      <w:r>
        <w:t>见表4-3。</w:t>
      </w:r>
    </w:p>
    <w:p>
      <w:pPr>
        <w:pStyle w:val="273"/>
        <w:bidi w:val="0"/>
        <w:rPr>
          <w:rFonts w:hint="eastAsia"/>
        </w:rPr>
      </w:pPr>
    </w:p>
    <w:p>
      <w:pPr>
        <w:pStyle w:val="273"/>
        <w:bidi w:val="0"/>
        <w:rPr>
          <w:rFonts w:hint="eastAsia"/>
        </w:rPr>
      </w:pPr>
      <w:r>
        <w:rPr>
          <w:rFonts w:hint="eastAsia"/>
        </w:rPr>
        <w:t>表4-3  声环境质量标准</w:t>
      </w:r>
    </w:p>
    <w:tbl>
      <w:tblPr>
        <w:tblStyle w:val="260"/>
        <w:tblW w:w="84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518"/>
        <w:gridCol w:w="912"/>
        <w:gridCol w:w="1420"/>
        <w:gridCol w:w="1603"/>
        <w:gridCol w:w="2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51" w:type="dxa"/>
            <w:vMerge w:val="restart"/>
            <w:vAlign w:val="center"/>
          </w:tcPr>
          <w:p>
            <w:pPr>
              <w:pStyle w:val="100"/>
              <w:widowControl w:val="0"/>
              <w:bidi w:val="0"/>
              <w:adjustRightInd w:val="0"/>
              <w:snapToGrid w:val="0"/>
            </w:pPr>
            <w:r>
              <w:rPr>
                <w:rFonts w:hint="eastAsia"/>
              </w:rPr>
              <w:t>序号</w:t>
            </w:r>
          </w:p>
        </w:tc>
        <w:tc>
          <w:tcPr>
            <w:tcW w:w="1518" w:type="dxa"/>
            <w:vMerge w:val="restart"/>
            <w:vAlign w:val="center"/>
          </w:tcPr>
          <w:p>
            <w:pPr>
              <w:pStyle w:val="100"/>
              <w:widowControl w:val="0"/>
              <w:bidi w:val="0"/>
              <w:adjustRightInd w:val="0"/>
              <w:snapToGrid w:val="0"/>
            </w:pPr>
            <w:r>
              <w:rPr>
                <w:rFonts w:hint="eastAsia"/>
              </w:rPr>
              <w:t>适用区域</w:t>
            </w:r>
          </w:p>
        </w:tc>
        <w:tc>
          <w:tcPr>
            <w:tcW w:w="912" w:type="dxa"/>
            <w:vMerge w:val="restart"/>
            <w:vAlign w:val="center"/>
          </w:tcPr>
          <w:p>
            <w:pPr>
              <w:pStyle w:val="100"/>
              <w:widowControl w:val="0"/>
              <w:bidi w:val="0"/>
              <w:adjustRightInd w:val="0"/>
              <w:snapToGrid w:val="0"/>
            </w:pPr>
            <w:r>
              <w:rPr>
                <w:rFonts w:hint="eastAsia"/>
              </w:rPr>
              <w:t>类别</w:t>
            </w:r>
          </w:p>
        </w:tc>
        <w:tc>
          <w:tcPr>
            <w:tcW w:w="3023" w:type="dxa"/>
            <w:gridSpan w:val="2"/>
            <w:vAlign w:val="center"/>
          </w:tcPr>
          <w:p>
            <w:pPr>
              <w:pStyle w:val="100"/>
              <w:widowControl w:val="0"/>
              <w:bidi w:val="0"/>
              <w:adjustRightInd w:val="0"/>
              <w:snapToGrid w:val="0"/>
            </w:pPr>
            <w:r>
              <w:rPr>
                <w:rFonts w:hint="eastAsia"/>
              </w:rPr>
              <w:t>标准限值</w:t>
            </w:r>
            <w:r>
              <w:t>dB（A）</w:t>
            </w:r>
          </w:p>
        </w:tc>
        <w:tc>
          <w:tcPr>
            <w:tcW w:w="2384" w:type="dxa"/>
            <w:vMerge w:val="restart"/>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51" w:type="dxa"/>
            <w:vMerge w:val="continue"/>
            <w:vAlign w:val="center"/>
          </w:tcPr>
          <w:p>
            <w:pPr>
              <w:pStyle w:val="100"/>
              <w:widowControl w:val="0"/>
              <w:bidi w:val="0"/>
              <w:adjustRightInd w:val="0"/>
              <w:snapToGrid w:val="0"/>
            </w:pPr>
          </w:p>
        </w:tc>
        <w:tc>
          <w:tcPr>
            <w:tcW w:w="1518" w:type="dxa"/>
            <w:vMerge w:val="continue"/>
            <w:vAlign w:val="center"/>
          </w:tcPr>
          <w:p>
            <w:pPr>
              <w:pStyle w:val="100"/>
              <w:widowControl w:val="0"/>
              <w:bidi w:val="0"/>
              <w:adjustRightInd w:val="0"/>
              <w:snapToGrid w:val="0"/>
            </w:pPr>
          </w:p>
        </w:tc>
        <w:tc>
          <w:tcPr>
            <w:tcW w:w="912" w:type="dxa"/>
            <w:vMerge w:val="continue"/>
            <w:vAlign w:val="center"/>
          </w:tcPr>
          <w:p>
            <w:pPr>
              <w:pStyle w:val="100"/>
              <w:widowControl w:val="0"/>
              <w:bidi w:val="0"/>
              <w:adjustRightInd w:val="0"/>
              <w:snapToGrid w:val="0"/>
            </w:pPr>
          </w:p>
        </w:tc>
        <w:tc>
          <w:tcPr>
            <w:tcW w:w="1420" w:type="dxa"/>
            <w:vAlign w:val="center"/>
          </w:tcPr>
          <w:p>
            <w:pPr>
              <w:pStyle w:val="100"/>
              <w:widowControl w:val="0"/>
              <w:bidi w:val="0"/>
              <w:adjustRightInd w:val="0"/>
              <w:snapToGrid w:val="0"/>
            </w:pPr>
            <w:r>
              <w:rPr>
                <w:rFonts w:hint="eastAsia"/>
              </w:rPr>
              <w:t>昼间</w:t>
            </w:r>
          </w:p>
        </w:tc>
        <w:tc>
          <w:tcPr>
            <w:tcW w:w="1603" w:type="dxa"/>
            <w:vAlign w:val="center"/>
          </w:tcPr>
          <w:p>
            <w:pPr>
              <w:pStyle w:val="100"/>
              <w:widowControl w:val="0"/>
              <w:bidi w:val="0"/>
              <w:adjustRightInd w:val="0"/>
              <w:snapToGrid w:val="0"/>
            </w:pPr>
            <w:r>
              <w:rPr>
                <w:rFonts w:hint="eastAsia"/>
              </w:rPr>
              <w:t>夜间</w:t>
            </w:r>
          </w:p>
        </w:tc>
        <w:tc>
          <w:tcPr>
            <w:tcW w:w="2384"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51" w:type="dxa"/>
            <w:vAlign w:val="center"/>
          </w:tcPr>
          <w:p>
            <w:pPr>
              <w:pStyle w:val="100"/>
              <w:widowControl w:val="0"/>
              <w:bidi w:val="0"/>
              <w:adjustRightInd w:val="0"/>
              <w:snapToGrid w:val="0"/>
            </w:pPr>
            <w:r>
              <w:rPr>
                <w:rFonts w:hint="eastAsia"/>
              </w:rPr>
              <w:t>1</w:t>
            </w:r>
          </w:p>
        </w:tc>
        <w:tc>
          <w:tcPr>
            <w:tcW w:w="1518" w:type="dxa"/>
            <w:vAlign w:val="center"/>
          </w:tcPr>
          <w:p>
            <w:pPr>
              <w:pStyle w:val="100"/>
              <w:widowControl w:val="0"/>
              <w:bidi w:val="0"/>
              <w:adjustRightInd w:val="0"/>
              <w:snapToGrid w:val="0"/>
              <w:rPr>
                <w:rFonts w:hint="default"/>
                <w:lang w:val="en-US" w:eastAsia="zh-CN"/>
              </w:rPr>
            </w:pPr>
            <w:r>
              <w:rPr>
                <w:rFonts w:hint="eastAsia"/>
                <w:lang w:val="en-US" w:eastAsia="zh-CN"/>
              </w:rPr>
              <w:t>东</w:t>
            </w:r>
            <w:r>
              <w:rPr>
                <w:rFonts w:hint="eastAsia"/>
              </w:rPr>
              <w:t>厂界</w:t>
            </w:r>
            <w:r>
              <w:rPr>
                <w:rFonts w:hint="eastAsia"/>
                <w:lang w:eastAsia="zh-CN"/>
              </w:rPr>
              <w:t>、</w:t>
            </w:r>
            <w:r>
              <w:rPr>
                <w:rFonts w:hint="eastAsia"/>
                <w:lang w:val="en-US" w:eastAsia="zh-CN"/>
              </w:rPr>
              <w:t>北厂界</w:t>
            </w:r>
          </w:p>
        </w:tc>
        <w:tc>
          <w:tcPr>
            <w:tcW w:w="912" w:type="dxa"/>
            <w:vAlign w:val="center"/>
          </w:tcPr>
          <w:p>
            <w:pPr>
              <w:pStyle w:val="100"/>
              <w:widowControl w:val="0"/>
              <w:bidi w:val="0"/>
              <w:adjustRightInd w:val="0"/>
              <w:snapToGrid w:val="0"/>
              <w:rPr>
                <w:rFonts w:hint="default"/>
                <w:lang w:val="en-US" w:eastAsia="zh-CN"/>
              </w:rPr>
            </w:pPr>
            <w:r>
              <w:rPr>
                <w:rFonts w:hint="eastAsia"/>
                <w:lang w:val="en-US" w:eastAsia="zh-CN"/>
              </w:rPr>
              <w:t>4a类</w:t>
            </w:r>
          </w:p>
        </w:tc>
        <w:tc>
          <w:tcPr>
            <w:tcW w:w="1420" w:type="dxa"/>
            <w:vAlign w:val="center"/>
          </w:tcPr>
          <w:p>
            <w:pPr>
              <w:pStyle w:val="100"/>
              <w:widowControl w:val="0"/>
              <w:bidi w:val="0"/>
              <w:adjustRightInd w:val="0"/>
              <w:snapToGrid w:val="0"/>
              <w:rPr>
                <w:rFonts w:hint="default"/>
                <w:lang w:val="en-US" w:eastAsia="zh-CN"/>
              </w:rPr>
            </w:pPr>
            <w:r>
              <w:rPr>
                <w:rFonts w:hint="eastAsia"/>
                <w:lang w:val="en-US" w:eastAsia="zh-CN"/>
              </w:rPr>
              <w:t>70</w:t>
            </w:r>
          </w:p>
        </w:tc>
        <w:tc>
          <w:tcPr>
            <w:tcW w:w="1603" w:type="dxa"/>
            <w:vAlign w:val="center"/>
          </w:tcPr>
          <w:p>
            <w:pPr>
              <w:pStyle w:val="100"/>
              <w:widowControl w:val="0"/>
              <w:bidi w:val="0"/>
              <w:adjustRightInd w:val="0"/>
              <w:snapToGrid w:val="0"/>
              <w:rPr>
                <w:rFonts w:hint="default"/>
                <w:lang w:val="en-US" w:eastAsia="zh-CN"/>
              </w:rPr>
            </w:pPr>
            <w:r>
              <w:rPr>
                <w:rFonts w:hint="eastAsia"/>
                <w:lang w:val="en-US" w:eastAsia="zh-CN"/>
              </w:rPr>
              <w:t>55</w:t>
            </w:r>
          </w:p>
        </w:tc>
        <w:tc>
          <w:tcPr>
            <w:tcW w:w="2384" w:type="dxa"/>
            <w:vAlign w:val="center"/>
          </w:tcPr>
          <w:p>
            <w:pPr>
              <w:pStyle w:val="100"/>
              <w:widowControl w:val="0"/>
              <w:bidi w:val="0"/>
              <w:adjustRightInd w:val="0"/>
              <w:snapToGrid w:val="0"/>
            </w:pPr>
            <w:r>
              <w:t>《声环境质量标准》（GB3096-2008）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51" w:type="dxa"/>
            <w:vAlign w:val="center"/>
          </w:tcPr>
          <w:p>
            <w:pPr>
              <w:pStyle w:val="100"/>
              <w:widowControl w:val="0"/>
              <w:bidi w:val="0"/>
              <w:adjustRightInd w:val="0"/>
              <w:snapToGrid w:val="0"/>
              <w:rPr>
                <w:rFonts w:hint="eastAsia"/>
                <w:lang w:val="en-US" w:eastAsia="zh-CN"/>
              </w:rPr>
            </w:pPr>
            <w:r>
              <w:rPr>
                <w:rFonts w:hint="eastAsia"/>
                <w:lang w:val="en-US" w:eastAsia="zh-CN"/>
              </w:rPr>
              <w:t>2</w:t>
            </w:r>
          </w:p>
        </w:tc>
        <w:tc>
          <w:tcPr>
            <w:tcW w:w="1518" w:type="dxa"/>
            <w:vAlign w:val="center"/>
          </w:tcPr>
          <w:p>
            <w:pPr>
              <w:pStyle w:val="100"/>
              <w:widowControl w:val="0"/>
              <w:bidi w:val="0"/>
              <w:adjustRightInd w:val="0"/>
              <w:snapToGrid w:val="0"/>
              <w:rPr>
                <w:rFonts w:hint="default"/>
                <w:lang w:val="en-US" w:eastAsia="zh-CN"/>
              </w:rPr>
            </w:pPr>
            <w:r>
              <w:rPr>
                <w:rFonts w:hint="eastAsia"/>
                <w:lang w:val="en-US" w:eastAsia="zh-CN"/>
              </w:rPr>
              <w:t>西厂界、南厂界</w:t>
            </w:r>
          </w:p>
        </w:tc>
        <w:tc>
          <w:tcPr>
            <w:tcW w:w="912" w:type="dxa"/>
            <w:vAlign w:val="center"/>
          </w:tcPr>
          <w:p>
            <w:pPr>
              <w:pStyle w:val="100"/>
              <w:widowControl w:val="0"/>
              <w:bidi w:val="0"/>
              <w:adjustRightInd w:val="0"/>
              <w:snapToGrid w:val="0"/>
              <w:rPr>
                <w:lang w:val="en-US" w:eastAsia="zh-CN"/>
              </w:rPr>
            </w:pPr>
            <w:r>
              <w:t>3类</w:t>
            </w:r>
          </w:p>
        </w:tc>
        <w:tc>
          <w:tcPr>
            <w:tcW w:w="1420" w:type="dxa"/>
            <w:vAlign w:val="center"/>
          </w:tcPr>
          <w:p>
            <w:pPr>
              <w:pStyle w:val="100"/>
              <w:widowControl w:val="0"/>
              <w:bidi w:val="0"/>
              <w:adjustRightInd w:val="0"/>
              <w:snapToGrid w:val="0"/>
              <w:rPr>
                <w:rFonts w:hint="eastAsia"/>
                <w:lang w:val="en-US" w:eastAsia="zh-CN"/>
              </w:rPr>
            </w:pPr>
            <w:r>
              <w:rPr>
                <w:rFonts w:hint="eastAsia"/>
              </w:rPr>
              <w:t>6</w:t>
            </w:r>
            <w:r>
              <w:t>5</w:t>
            </w:r>
          </w:p>
        </w:tc>
        <w:tc>
          <w:tcPr>
            <w:tcW w:w="1603" w:type="dxa"/>
            <w:vAlign w:val="center"/>
          </w:tcPr>
          <w:p>
            <w:pPr>
              <w:pStyle w:val="100"/>
              <w:widowControl w:val="0"/>
              <w:bidi w:val="0"/>
              <w:adjustRightInd w:val="0"/>
              <w:snapToGrid w:val="0"/>
              <w:rPr>
                <w:rFonts w:hint="eastAsia"/>
                <w:lang w:val="en-US" w:eastAsia="zh-CN"/>
              </w:rPr>
            </w:pPr>
            <w:r>
              <w:rPr>
                <w:rFonts w:hint="eastAsia"/>
              </w:rPr>
              <w:t>5</w:t>
            </w:r>
            <w:r>
              <w:t>5</w:t>
            </w:r>
          </w:p>
        </w:tc>
        <w:tc>
          <w:tcPr>
            <w:tcW w:w="2384" w:type="dxa"/>
            <w:vAlign w:val="center"/>
          </w:tcPr>
          <w:p>
            <w:pPr>
              <w:pStyle w:val="100"/>
              <w:widowControl w:val="0"/>
              <w:bidi w:val="0"/>
              <w:adjustRightInd w:val="0"/>
              <w:snapToGrid w:val="0"/>
              <w:rPr>
                <w:lang w:val="en-US" w:eastAsia="zh-CN"/>
              </w:rPr>
            </w:pPr>
            <w:r>
              <w:t>《声环境质量标准》（GB3096-2008）</w:t>
            </w:r>
          </w:p>
        </w:tc>
      </w:tr>
    </w:tbl>
    <w:p>
      <w:pPr>
        <w:pStyle w:val="104"/>
      </w:pPr>
      <w:r>
        <w:t>地下水环境质量标准</w:t>
      </w:r>
    </w:p>
    <w:p>
      <w:pPr>
        <w:pStyle w:val="103"/>
        <w:bidi w:val="0"/>
      </w:pPr>
      <w:r>
        <w:t>建设项目所在区域地下水环境质量执行《地下水质量标准》（GB/T14848-2017）分级标准。具体标准值见表</w:t>
      </w:r>
      <w:r>
        <w:rPr>
          <w:rFonts w:hint="eastAsia"/>
          <w:lang w:val="en-US" w:eastAsia="zh-CN"/>
        </w:rPr>
        <w:t>4-4</w:t>
      </w:r>
      <w:r>
        <w:t>。</w:t>
      </w:r>
    </w:p>
    <w:p>
      <w:pPr>
        <w:pStyle w:val="273"/>
        <w:bidi w:val="0"/>
        <w:rPr>
          <w:rFonts w:hint="eastAsia"/>
        </w:rPr>
      </w:pPr>
      <w:r>
        <w:rPr>
          <w:rFonts w:hint="eastAsia"/>
        </w:rPr>
        <w:t>表</w:t>
      </w:r>
      <w:r>
        <w:rPr>
          <w:rFonts w:hint="eastAsia"/>
          <w:lang w:val="en-US" w:eastAsia="zh-CN"/>
        </w:rPr>
        <w:t>4-4</w:t>
      </w:r>
      <w:r>
        <w:rPr>
          <w:rFonts w:hint="eastAsia"/>
        </w:rPr>
        <w:t>地下水环境质量分类标准（mg/L，pH除外）</w:t>
      </w:r>
    </w:p>
    <w:tbl>
      <w:tblPr>
        <w:tblStyle w:val="260"/>
        <w:tblW w:w="84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722"/>
        <w:gridCol w:w="1139"/>
        <w:gridCol w:w="1044"/>
        <w:gridCol w:w="915"/>
        <w:gridCol w:w="1557"/>
        <w:gridCol w:w="12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rPr>
                <w:rFonts w:hint="eastAsia"/>
              </w:rPr>
              <w:t>序号</w:t>
            </w:r>
          </w:p>
        </w:tc>
        <w:tc>
          <w:tcPr>
            <w:tcW w:w="1722" w:type="dxa"/>
            <w:vAlign w:val="center"/>
          </w:tcPr>
          <w:p>
            <w:pPr>
              <w:pStyle w:val="100"/>
              <w:widowControl w:val="0"/>
              <w:bidi w:val="0"/>
              <w:adjustRightInd w:val="0"/>
              <w:snapToGrid w:val="0"/>
            </w:pPr>
            <w:r>
              <w:rPr>
                <w:rFonts w:hint="eastAsia"/>
              </w:rPr>
              <w:t>评价因子</w:t>
            </w:r>
          </w:p>
        </w:tc>
        <w:tc>
          <w:tcPr>
            <w:tcW w:w="1139" w:type="dxa"/>
            <w:vAlign w:val="center"/>
          </w:tcPr>
          <w:p>
            <w:pPr>
              <w:pStyle w:val="100"/>
              <w:widowControl w:val="0"/>
              <w:bidi w:val="0"/>
              <w:adjustRightInd w:val="0"/>
              <w:snapToGrid w:val="0"/>
            </w:pPr>
            <w:r>
              <w:t>I</w:t>
            </w:r>
            <w:r>
              <w:rPr>
                <w:rFonts w:hint="eastAsia"/>
              </w:rPr>
              <w:t>类</w:t>
            </w:r>
          </w:p>
        </w:tc>
        <w:tc>
          <w:tcPr>
            <w:tcW w:w="1044" w:type="dxa"/>
            <w:vAlign w:val="center"/>
          </w:tcPr>
          <w:p>
            <w:pPr>
              <w:pStyle w:val="100"/>
              <w:widowControl w:val="0"/>
              <w:bidi w:val="0"/>
              <w:adjustRightInd w:val="0"/>
              <w:snapToGrid w:val="0"/>
            </w:pPr>
            <w:r>
              <w:t>II</w:t>
            </w:r>
            <w:r>
              <w:rPr>
                <w:rFonts w:hint="eastAsia"/>
              </w:rPr>
              <w:t>类</w:t>
            </w:r>
          </w:p>
        </w:tc>
        <w:tc>
          <w:tcPr>
            <w:tcW w:w="915" w:type="dxa"/>
            <w:vAlign w:val="center"/>
          </w:tcPr>
          <w:p>
            <w:pPr>
              <w:pStyle w:val="100"/>
              <w:widowControl w:val="0"/>
              <w:bidi w:val="0"/>
              <w:adjustRightInd w:val="0"/>
              <w:snapToGrid w:val="0"/>
            </w:pPr>
            <w:r>
              <w:t>III</w:t>
            </w:r>
            <w:r>
              <w:rPr>
                <w:rFonts w:hint="eastAsia"/>
              </w:rPr>
              <w:t>类</w:t>
            </w:r>
          </w:p>
        </w:tc>
        <w:tc>
          <w:tcPr>
            <w:tcW w:w="1557" w:type="dxa"/>
            <w:vAlign w:val="center"/>
          </w:tcPr>
          <w:p>
            <w:pPr>
              <w:pStyle w:val="100"/>
              <w:widowControl w:val="0"/>
              <w:bidi w:val="0"/>
              <w:adjustRightInd w:val="0"/>
              <w:snapToGrid w:val="0"/>
            </w:pPr>
            <w:r>
              <w:t>IV</w:t>
            </w:r>
            <w:r>
              <w:rPr>
                <w:rFonts w:hint="eastAsia"/>
              </w:rPr>
              <w:t>类</w:t>
            </w:r>
          </w:p>
        </w:tc>
        <w:tc>
          <w:tcPr>
            <w:tcW w:w="1243" w:type="dxa"/>
            <w:vAlign w:val="center"/>
          </w:tcPr>
          <w:p>
            <w:pPr>
              <w:pStyle w:val="100"/>
              <w:widowControl w:val="0"/>
              <w:bidi w:val="0"/>
              <w:adjustRightInd w:val="0"/>
              <w:snapToGrid w:val="0"/>
            </w:pPr>
            <w:r>
              <w:t>V</w:t>
            </w:r>
            <w:r>
              <w:rPr>
                <w:rFonts w:hint="eastAsia"/>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39" w:type="dxa"/>
            <w:vAlign w:val="center"/>
          </w:tcPr>
          <w:p>
            <w:pPr>
              <w:pStyle w:val="100"/>
              <w:widowControl w:val="0"/>
              <w:bidi w:val="0"/>
              <w:adjustRightInd w:val="0"/>
              <w:snapToGrid w:val="0"/>
            </w:pPr>
            <w:r>
              <w:t>1</w:t>
            </w:r>
          </w:p>
        </w:tc>
        <w:tc>
          <w:tcPr>
            <w:tcW w:w="1722" w:type="dxa"/>
            <w:vAlign w:val="center"/>
          </w:tcPr>
          <w:p>
            <w:pPr>
              <w:pStyle w:val="100"/>
              <w:widowControl w:val="0"/>
              <w:bidi w:val="0"/>
              <w:adjustRightInd w:val="0"/>
              <w:snapToGrid w:val="0"/>
            </w:pPr>
            <w:r>
              <w:t>pH</w:t>
            </w:r>
            <w:r>
              <w:rPr>
                <w:rFonts w:hint="eastAsia"/>
              </w:rPr>
              <w:t>（无量纲）</w:t>
            </w:r>
          </w:p>
        </w:tc>
        <w:tc>
          <w:tcPr>
            <w:tcW w:w="3098" w:type="dxa"/>
            <w:gridSpan w:val="3"/>
            <w:vAlign w:val="center"/>
          </w:tcPr>
          <w:p>
            <w:pPr>
              <w:pStyle w:val="100"/>
              <w:widowControl w:val="0"/>
              <w:bidi w:val="0"/>
              <w:adjustRightInd w:val="0"/>
              <w:snapToGrid w:val="0"/>
            </w:pPr>
            <w:r>
              <w:t>6.5</w:t>
            </w:r>
            <w:r>
              <w:rPr>
                <w:rFonts w:hint="eastAsia"/>
              </w:rPr>
              <w:t>～</w:t>
            </w:r>
            <w:r>
              <w:t>8.5</w:t>
            </w:r>
          </w:p>
        </w:tc>
        <w:tc>
          <w:tcPr>
            <w:tcW w:w="1557" w:type="dxa"/>
            <w:vAlign w:val="center"/>
          </w:tcPr>
          <w:p>
            <w:pPr>
              <w:pStyle w:val="100"/>
              <w:widowControl w:val="0"/>
              <w:bidi w:val="0"/>
              <w:adjustRightInd w:val="0"/>
              <w:snapToGrid w:val="0"/>
            </w:pPr>
            <w:r>
              <w:t>5.5</w:t>
            </w:r>
            <w:r>
              <w:rPr>
                <w:rFonts w:hint="eastAsia"/>
              </w:rPr>
              <w:t>～</w:t>
            </w:r>
            <w:r>
              <w:t>6.5</w:t>
            </w:r>
            <w:r>
              <w:rPr>
                <w:rFonts w:hint="eastAsia"/>
              </w:rPr>
              <w:t>，</w:t>
            </w:r>
            <w:r>
              <w:t>8.5~9</w:t>
            </w:r>
          </w:p>
        </w:tc>
        <w:tc>
          <w:tcPr>
            <w:tcW w:w="1243" w:type="dxa"/>
            <w:vAlign w:val="center"/>
          </w:tcPr>
          <w:p>
            <w:pPr>
              <w:pStyle w:val="100"/>
              <w:widowControl w:val="0"/>
              <w:bidi w:val="0"/>
              <w:adjustRightInd w:val="0"/>
              <w:snapToGrid w:val="0"/>
            </w:pPr>
            <w:r>
              <w:rPr>
                <w:rFonts w:hint="eastAsia"/>
              </w:rPr>
              <w:t>＜</w:t>
            </w:r>
            <w:r>
              <w:t>5.5</w:t>
            </w:r>
            <w:r>
              <w:rPr>
                <w:rFonts w:hint="eastAsia"/>
              </w:rPr>
              <w:t>，＞</w:t>
            </w:r>
            <w: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39" w:type="dxa"/>
            <w:vAlign w:val="center"/>
          </w:tcPr>
          <w:p>
            <w:pPr>
              <w:pStyle w:val="100"/>
              <w:widowControl w:val="0"/>
              <w:bidi w:val="0"/>
              <w:adjustRightInd w:val="0"/>
              <w:snapToGrid w:val="0"/>
            </w:pPr>
            <w:r>
              <w:t>2</w:t>
            </w:r>
          </w:p>
        </w:tc>
        <w:tc>
          <w:tcPr>
            <w:tcW w:w="1722" w:type="dxa"/>
            <w:vAlign w:val="center"/>
          </w:tcPr>
          <w:p>
            <w:pPr>
              <w:pStyle w:val="100"/>
              <w:widowControl w:val="0"/>
              <w:bidi w:val="0"/>
              <w:adjustRightInd w:val="0"/>
              <w:snapToGrid w:val="0"/>
            </w:pPr>
            <w:r>
              <w:rPr>
                <w:rFonts w:hint="eastAsia"/>
              </w:rPr>
              <w:t>总硬度（以</w:t>
            </w:r>
            <w:r>
              <w:t>CaCO3</w:t>
            </w:r>
            <w:r>
              <w:rPr>
                <w:rFonts w:hint="eastAsia"/>
              </w:rPr>
              <w:t>计）</w:t>
            </w:r>
          </w:p>
        </w:tc>
        <w:tc>
          <w:tcPr>
            <w:tcW w:w="1139" w:type="dxa"/>
            <w:vAlign w:val="center"/>
          </w:tcPr>
          <w:p>
            <w:pPr>
              <w:pStyle w:val="100"/>
              <w:widowControl w:val="0"/>
              <w:bidi w:val="0"/>
              <w:adjustRightInd w:val="0"/>
              <w:snapToGrid w:val="0"/>
            </w:pPr>
            <w:r>
              <w:t>≤150</w:t>
            </w:r>
          </w:p>
        </w:tc>
        <w:tc>
          <w:tcPr>
            <w:tcW w:w="1044" w:type="dxa"/>
            <w:vAlign w:val="center"/>
          </w:tcPr>
          <w:p>
            <w:pPr>
              <w:pStyle w:val="100"/>
              <w:widowControl w:val="0"/>
              <w:bidi w:val="0"/>
              <w:adjustRightInd w:val="0"/>
              <w:snapToGrid w:val="0"/>
            </w:pPr>
            <w:r>
              <w:t>≤300</w:t>
            </w:r>
          </w:p>
        </w:tc>
        <w:tc>
          <w:tcPr>
            <w:tcW w:w="915" w:type="dxa"/>
            <w:vAlign w:val="center"/>
          </w:tcPr>
          <w:p>
            <w:pPr>
              <w:pStyle w:val="100"/>
              <w:widowControl w:val="0"/>
              <w:bidi w:val="0"/>
              <w:adjustRightInd w:val="0"/>
              <w:snapToGrid w:val="0"/>
            </w:pPr>
            <w:r>
              <w:t>≤450</w:t>
            </w:r>
          </w:p>
        </w:tc>
        <w:tc>
          <w:tcPr>
            <w:tcW w:w="1557" w:type="dxa"/>
            <w:vAlign w:val="center"/>
          </w:tcPr>
          <w:p>
            <w:pPr>
              <w:pStyle w:val="100"/>
              <w:widowControl w:val="0"/>
              <w:bidi w:val="0"/>
              <w:adjustRightInd w:val="0"/>
              <w:snapToGrid w:val="0"/>
            </w:pPr>
            <w:r>
              <w:t>≤650</w:t>
            </w:r>
          </w:p>
        </w:tc>
        <w:tc>
          <w:tcPr>
            <w:tcW w:w="1243" w:type="dxa"/>
            <w:vAlign w:val="center"/>
          </w:tcPr>
          <w:p>
            <w:pPr>
              <w:pStyle w:val="100"/>
              <w:widowControl w:val="0"/>
              <w:bidi w:val="0"/>
              <w:adjustRightInd w:val="0"/>
              <w:snapToGrid w:val="0"/>
            </w:pPr>
            <w:r>
              <w:t>&gt;650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t>3</w:t>
            </w:r>
          </w:p>
        </w:tc>
        <w:tc>
          <w:tcPr>
            <w:tcW w:w="1722" w:type="dxa"/>
            <w:vAlign w:val="center"/>
          </w:tcPr>
          <w:p>
            <w:pPr>
              <w:pStyle w:val="100"/>
              <w:widowControl w:val="0"/>
              <w:bidi w:val="0"/>
              <w:adjustRightInd w:val="0"/>
              <w:snapToGrid w:val="0"/>
            </w:pPr>
            <w:r>
              <w:rPr>
                <w:rFonts w:hint="eastAsia"/>
              </w:rPr>
              <w:t>氨氮</w:t>
            </w:r>
          </w:p>
        </w:tc>
        <w:tc>
          <w:tcPr>
            <w:tcW w:w="1139" w:type="dxa"/>
            <w:vAlign w:val="center"/>
          </w:tcPr>
          <w:p>
            <w:pPr>
              <w:pStyle w:val="100"/>
              <w:widowControl w:val="0"/>
              <w:bidi w:val="0"/>
              <w:adjustRightInd w:val="0"/>
              <w:snapToGrid w:val="0"/>
            </w:pPr>
            <w:r>
              <w:t>≤0.02</w:t>
            </w:r>
          </w:p>
        </w:tc>
        <w:tc>
          <w:tcPr>
            <w:tcW w:w="1044" w:type="dxa"/>
            <w:vAlign w:val="center"/>
          </w:tcPr>
          <w:p>
            <w:pPr>
              <w:pStyle w:val="100"/>
              <w:widowControl w:val="0"/>
              <w:bidi w:val="0"/>
              <w:adjustRightInd w:val="0"/>
              <w:snapToGrid w:val="0"/>
            </w:pPr>
            <w:r>
              <w:t>≤0.10</w:t>
            </w:r>
          </w:p>
        </w:tc>
        <w:tc>
          <w:tcPr>
            <w:tcW w:w="915" w:type="dxa"/>
            <w:vAlign w:val="center"/>
          </w:tcPr>
          <w:p>
            <w:pPr>
              <w:pStyle w:val="100"/>
              <w:widowControl w:val="0"/>
              <w:bidi w:val="0"/>
              <w:adjustRightInd w:val="0"/>
              <w:snapToGrid w:val="0"/>
            </w:pPr>
            <w:r>
              <w:t>≤0.50</w:t>
            </w:r>
          </w:p>
        </w:tc>
        <w:tc>
          <w:tcPr>
            <w:tcW w:w="1557" w:type="dxa"/>
            <w:vAlign w:val="center"/>
          </w:tcPr>
          <w:p>
            <w:pPr>
              <w:pStyle w:val="100"/>
              <w:widowControl w:val="0"/>
              <w:bidi w:val="0"/>
              <w:adjustRightInd w:val="0"/>
              <w:snapToGrid w:val="0"/>
            </w:pPr>
            <w:r>
              <w:t>≤1.50</w:t>
            </w:r>
          </w:p>
        </w:tc>
        <w:tc>
          <w:tcPr>
            <w:tcW w:w="1243" w:type="dxa"/>
            <w:vAlign w:val="center"/>
          </w:tcPr>
          <w:p>
            <w:pPr>
              <w:pStyle w:val="100"/>
              <w:widowControl w:val="0"/>
              <w:bidi w:val="0"/>
              <w:adjustRightInd w:val="0"/>
              <w:snapToGrid w:val="0"/>
            </w:pPr>
            <w:r>
              <w:t>&gt;1.50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39" w:type="dxa"/>
            <w:vAlign w:val="center"/>
          </w:tcPr>
          <w:p>
            <w:pPr>
              <w:pStyle w:val="100"/>
              <w:widowControl w:val="0"/>
              <w:bidi w:val="0"/>
              <w:adjustRightInd w:val="0"/>
              <w:snapToGrid w:val="0"/>
            </w:pPr>
            <w:r>
              <w:t>4</w:t>
            </w:r>
          </w:p>
        </w:tc>
        <w:tc>
          <w:tcPr>
            <w:tcW w:w="1722" w:type="dxa"/>
            <w:vAlign w:val="center"/>
          </w:tcPr>
          <w:p>
            <w:pPr>
              <w:pStyle w:val="100"/>
              <w:widowControl w:val="0"/>
              <w:bidi w:val="0"/>
              <w:adjustRightInd w:val="0"/>
              <w:snapToGrid w:val="0"/>
            </w:pPr>
            <w:r>
              <w:rPr>
                <w:rFonts w:hint="eastAsia"/>
              </w:rPr>
              <w:t>耗氧量（</w:t>
            </w:r>
            <w:r>
              <w:t>CODMn</w:t>
            </w:r>
            <w:r>
              <w:rPr>
                <w:rFonts w:hint="eastAsia"/>
              </w:rPr>
              <w:t>法，</w:t>
            </w:r>
          </w:p>
          <w:p>
            <w:pPr>
              <w:pStyle w:val="100"/>
              <w:widowControl w:val="0"/>
              <w:bidi w:val="0"/>
              <w:adjustRightInd w:val="0"/>
              <w:snapToGrid w:val="0"/>
            </w:pPr>
            <w:r>
              <w:rPr>
                <w:rFonts w:hint="eastAsia"/>
              </w:rPr>
              <w:t>以</w:t>
            </w:r>
            <w:r>
              <w:t>O2</w:t>
            </w:r>
            <w:r>
              <w:rPr>
                <w:rFonts w:hint="eastAsia"/>
              </w:rPr>
              <w:t>计）</w:t>
            </w:r>
          </w:p>
        </w:tc>
        <w:tc>
          <w:tcPr>
            <w:tcW w:w="1139" w:type="dxa"/>
            <w:vAlign w:val="center"/>
          </w:tcPr>
          <w:p>
            <w:pPr>
              <w:pStyle w:val="100"/>
              <w:widowControl w:val="0"/>
              <w:bidi w:val="0"/>
              <w:adjustRightInd w:val="0"/>
              <w:snapToGrid w:val="0"/>
            </w:pPr>
            <w:r>
              <w:t>≤1.0</w:t>
            </w:r>
          </w:p>
        </w:tc>
        <w:tc>
          <w:tcPr>
            <w:tcW w:w="1044" w:type="dxa"/>
            <w:vAlign w:val="center"/>
          </w:tcPr>
          <w:p>
            <w:pPr>
              <w:pStyle w:val="100"/>
              <w:widowControl w:val="0"/>
              <w:bidi w:val="0"/>
              <w:adjustRightInd w:val="0"/>
              <w:snapToGrid w:val="0"/>
            </w:pPr>
            <w:r>
              <w:t>≤2.0</w:t>
            </w:r>
          </w:p>
        </w:tc>
        <w:tc>
          <w:tcPr>
            <w:tcW w:w="915" w:type="dxa"/>
            <w:vAlign w:val="center"/>
          </w:tcPr>
          <w:p>
            <w:pPr>
              <w:pStyle w:val="100"/>
              <w:widowControl w:val="0"/>
              <w:bidi w:val="0"/>
              <w:adjustRightInd w:val="0"/>
              <w:snapToGrid w:val="0"/>
            </w:pPr>
            <w:r>
              <w:t>≤3.0</w:t>
            </w:r>
          </w:p>
        </w:tc>
        <w:tc>
          <w:tcPr>
            <w:tcW w:w="1557" w:type="dxa"/>
            <w:vAlign w:val="center"/>
          </w:tcPr>
          <w:p>
            <w:pPr>
              <w:pStyle w:val="100"/>
              <w:widowControl w:val="0"/>
              <w:bidi w:val="0"/>
              <w:adjustRightInd w:val="0"/>
              <w:snapToGrid w:val="0"/>
            </w:pPr>
            <w:r>
              <w:t>≤10.0</w:t>
            </w:r>
          </w:p>
        </w:tc>
        <w:tc>
          <w:tcPr>
            <w:tcW w:w="1243" w:type="dxa"/>
            <w:vAlign w:val="center"/>
          </w:tcPr>
          <w:p>
            <w:pPr>
              <w:pStyle w:val="100"/>
              <w:widowControl w:val="0"/>
              <w:bidi w:val="0"/>
              <w:adjustRightInd w:val="0"/>
              <w:snapToGrid w:val="0"/>
            </w:pPr>
            <w:r>
              <w:t>&gt;10.0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39" w:type="dxa"/>
            <w:vAlign w:val="center"/>
          </w:tcPr>
          <w:p>
            <w:pPr>
              <w:pStyle w:val="100"/>
              <w:widowControl w:val="0"/>
              <w:bidi w:val="0"/>
              <w:adjustRightInd w:val="0"/>
              <w:snapToGrid w:val="0"/>
            </w:pPr>
            <w:r>
              <w:t>5</w:t>
            </w:r>
          </w:p>
        </w:tc>
        <w:tc>
          <w:tcPr>
            <w:tcW w:w="1722" w:type="dxa"/>
            <w:vAlign w:val="center"/>
          </w:tcPr>
          <w:p>
            <w:pPr>
              <w:pStyle w:val="100"/>
              <w:widowControl w:val="0"/>
              <w:bidi w:val="0"/>
              <w:adjustRightInd w:val="0"/>
              <w:snapToGrid w:val="0"/>
            </w:pPr>
            <w:r>
              <w:rPr>
                <w:rFonts w:hint="eastAsia"/>
              </w:rPr>
              <w:t>氯化物</w:t>
            </w:r>
          </w:p>
        </w:tc>
        <w:tc>
          <w:tcPr>
            <w:tcW w:w="1139" w:type="dxa"/>
            <w:vAlign w:val="center"/>
          </w:tcPr>
          <w:p>
            <w:pPr>
              <w:pStyle w:val="100"/>
              <w:widowControl w:val="0"/>
              <w:bidi w:val="0"/>
              <w:adjustRightInd w:val="0"/>
              <w:snapToGrid w:val="0"/>
            </w:pPr>
            <w:r>
              <w:t>≤50</w:t>
            </w:r>
          </w:p>
        </w:tc>
        <w:tc>
          <w:tcPr>
            <w:tcW w:w="1044" w:type="dxa"/>
            <w:vAlign w:val="center"/>
          </w:tcPr>
          <w:p>
            <w:pPr>
              <w:pStyle w:val="100"/>
              <w:widowControl w:val="0"/>
              <w:bidi w:val="0"/>
              <w:adjustRightInd w:val="0"/>
              <w:snapToGrid w:val="0"/>
            </w:pPr>
            <w:r>
              <w:t>≤150</w:t>
            </w:r>
          </w:p>
        </w:tc>
        <w:tc>
          <w:tcPr>
            <w:tcW w:w="915" w:type="dxa"/>
            <w:vAlign w:val="center"/>
          </w:tcPr>
          <w:p>
            <w:pPr>
              <w:pStyle w:val="100"/>
              <w:widowControl w:val="0"/>
              <w:bidi w:val="0"/>
              <w:adjustRightInd w:val="0"/>
              <w:snapToGrid w:val="0"/>
            </w:pPr>
            <w:r>
              <w:t>≤250</w:t>
            </w:r>
          </w:p>
        </w:tc>
        <w:tc>
          <w:tcPr>
            <w:tcW w:w="1557" w:type="dxa"/>
            <w:vAlign w:val="center"/>
          </w:tcPr>
          <w:p>
            <w:pPr>
              <w:pStyle w:val="100"/>
              <w:widowControl w:val="0"/>
              <w:bidi w:val="0"/>
              <w:adjustRightInd w:val="0"/>
              <w:snapToGrid w:val="0"/>
            </w:pPr>
            <w:r>
              <w:t>≤350</w:t>
            </w:r>
          </w:p>
        </w:tc>
        <w:tc>
          <w:tcPr>
            <w:tcW w:w="1243" w:type="dxa"/>
            <w:vAlign w:val="center"/>
          </w:tcPr>
          <w:p>
            <w:pPr>
              <w:pStyle w:val="100"/>
              <w:widowControl w:val="0"/>
              <w:bidi w:val="0"/>
              <w:adjustRightInd w:val="0"/>
              <w:snapToGrid w:val="0"/>
            </w:pPr>
            <w:r>
              <w:t>&gt;350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t>6</w:t>
            </w:r>
          </w:p>
        </w:tc>
        <w:tc>
          <w:tcPr>
            <w:tcW w:w="1722" w:type="dxa"/>
            <w:vAlign w:val="center"/>
          </w:tcPr>
          <w:p>
            <w:pPr>
              <w:pStyle w:val="100"/>
              <w:widowControl w:val="0"/>
              <w:bidi w:val="0"/>
              <w:adjustRightInd w:val="0"/>
              <w:snapToGrid w:val="0"/>
            </w:pPr>
            <w:r>
              <w:rPr>
                <w:rFonts w:hint="eastAsia"/>
              </w:rPr>
              <w:t>硝酸盐（以</w:t>
            </w:r>
            <w:r>
              <w:t>N</w:t>
            </w:r>
            <w:r>
              <w:rPr>
                <w:rFonts w:hint="eastAsia"/>
              </w:rPr>
              <w:t>计）</w:t>
            </w:r>
          </w:p>
        </w:tc>
        <w:tc>
          <w:tcPr>
            <w:tcW w:w="1139" w:type="dxa"/>
            <w:vAlign w:val="center"/>
          </w:tcPr>
          <w:p>
            <w:pPr>
              <w:pStyle w:val="100"/>
              <w:widowControl w:val="0"/>
              <w:bidi w:val="0"/>
              <w:adjustRightInd w:val="0"/>
              <w:snapToGrid w:val="0"/>
            </w:pPr>
            <w:r>
              <w:t>≤2.0</w:t>
            </w:r>
          </w:p>
        </w:tc>
        <w:tc>
          <w:tcPr>
            <w:tcW w:w="1044" w:type="dxa"/>
            <w:vAlign w:val="center"/>
          </w:tcPr>
          <w:p>
            <w:pPr>
              <w:pStyle w:val="100"/>
              <w:widowControl w:val="0"/>
              <w:bidi w:val="0"/>
              <w:adjustRightInd w:val="0"/>
              <w:snapToGrid w:val="0"/>
            </w:pPr>
            <w:r>
              <w:t>≤5.0</w:t>
            </w:r>
          </w:p>
        </w:tc>
        <w:tc>
          <w:tcPr>
            <w:tcW w:w="915" w:type="dxa"/>
            <w:vAlign w:val="center"/>
          </w:tcPr>
          <w:p>
            <w:pPr>
              <w:pStyle w:val="100"/>
              <w:widowControl w:val="0"/>
              <w:bidi w:val="0"/>
              <w:adjustRightInd w:val="0"/>
              <w:snapToGrid w:val="0"/>
            </w:pPr>
            <w:r>
              <w:t>≤20.0</w:t>
            </w:r>
          </w:p>
        </w:tc>
        <w:tc>
          <w:tcPr>
            <w:tcW w:w="1557" w:type="dxa"/>
            <w:vAlign w:val="center"/>
          </w:tcPr>
          <w:p>
            <w:pPr>
              <w:pStyle w:val="100"/>
              <w:widowControl w:val="0"/>
              <w:bidi w:val="0"/>
              <w:adjustRightInd w:val="0"/>
              <w:snapToGrid w:val="0"/>
            </w:pPr>
            <w:r>
              <w:t>≤30.0</w:t>
            </w:r>
          </w:p>
        </w:tc>
        <w:tc>
          <w:tcPr>
            <w:tcW w:w="1243" w:type="dxa"/>
            <w:vAlign w:val="center"/>
          </w:tcPr>
          <w:p>
            <w:pPr>
              <w:pStyle w:val="100"/>
              <w:widowControl w:val="0"/>
              <w:bidi w:val="0"/>
              <w:adjustRightInd w:val="0"/>
              <w:snapToGrid w:val="0"/>
            </w:pPr>
            <w:r>
              <w:t>&gt;30.0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t>7</w:t>
            </w:r>
          </w:p>
        </w:tc>
        <w:tc>
          <w:tcPr>
            <w:tcW w:w="1722" w:type="dxa"/>
            <w:vAlign w:val="center"/>
          </w:tcPr>
          <w:p>
            <w:pPr>
              <w:pStyle w:val="100"/>
              <w:widowControl w:val="0"/>
              <w:bidi w:val="0"/>
              <w:adjustRightInd w:val="0"/>
              <w:snapToGrid w:val="0"/>
            </w:pPr>
            <w:r>
              <w:rPr>
                <w:rFonts w:hint="eastAsia"/>
              </w:rPr>
              <w:t>氟化物</w:t>
            </w:r>
          </w:p>
        </w:tc>
        <w:tc>
          <w:tcPr>
            <w:tcW w:w="1139" w:type="dxa"/>
            <w:vAlign w:val="center"/>
          </w:tcPr>
          <w:p>
            <w:pPr>
              <w:pStyle w:val="100"/>
              <w:widowControl w:val="0"/>
              <w:bidi w:val="0"/>
              <w:adjustRightInd w:val="0"/>
              <w:snapToGrid w:val="0"/>
            </w:pPr>
            <w:r>
              <w:t>≤1.0</w:t>
            </w:r>
          </w:p>
        </w:tc>
        <w:tc>
          <w:tcPr>
            <w:tcW w:w="1044" w:type="dxa"/>
            <w:vAlign w:val="center"/>
          </w:tcPr>
          <w:p>
            <w:pPr>
              <w:pStyle w:val="100"/>
              <w:widowControl w:val="0"/>
              <w:bidi w:val="0"/>
              <w:adjustRightInd w:val="0"/>
              <w:snapToGrid w:val="0"/>
            </w:pPr>
            <w:r>
              <w:t>≤1.0</w:t>
            </w:r>
          </w:p>
        </w:tc>
        <w:tc>
          <w:tcPr>
            <w:tcW w:w="915" w:type="dxa"/>
            <w:vAlign w:val="center"/>
          </w:tcPr>
          <w:p>
            <w:pPr>
              <w:pStyle w:val="100"/>
              <w:widowControl w:val="0"/>
              <w:bidi w:val="0"/>
              <w:adjustRightInd w:val="0"/>
              <w:snapToGrid w:val="0"/>
            </w:pPr>
            <w:r>
              <w:t>≤1.0</w:t>
            </w:r>
          </w:p>
        </w:tc>
        <w:tc>
          <w:tcPr>
            <w:tcW w:w="1557" w:type="dxa"/>
            <w:vAlign w:val="center"/>
          </w:tcPr>
          <w:p>
            <w:pPr>
              <w:pStyle w:val="100"/>
              <w:widowControl w:val="0"/>
              <w:bidi w:val="0"/>
              <w:adjustRightInd w:val="0"/>
              <w:snapToGrid w:val="0"/>
            </w:pPr>
            <w:r>
              <w:t>≤2.0</w:t>
            </w:r>
          </w:p>
        </w:tc>
        <w:tc>
          <w:tcPr>
            <w:tcW w:w="1243" w:type="dxa"/>
            <w:vAlign w:val="center"/>
          </w:tcPr>
          <w:p>
            <w:pPr>
              <w:pStyle w:val="100"/>
              <w:widowControl w:val="0"/>
              <w:bidi w:val="0"/>
              <w:adjustRightInd w:val="0"/>
              <w:snapToGrid w:val="0"/>
            </w:pPr>
            <w:r>
              <w:t>&gt;2.0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39" w:type="dxa"/>
            <w:vAlign w:val="center"/>
          </w:tcPr>
          <w:p>
            <w:pPr>
              <w:pStyle w:val="100"/>
              <w:widowControl w:val="0"/>
              <w:bidi w:val="0"/>
              <w:adjustRightInd w:val="0"/>
              <w:snapToGrid w:val="0"/>
            </w:pPr>
            <w:r>
              <w:t>8</w:t>
            </w:r>
          </w:p>
        </w:tc>
        <w:tc>
          <w:tcPr>
            <w:tcW w:w="1722" w:type="dxa"/>
            <w:vAlign w:val="center"/>
          </w:tcPr>
          <w:p>
            <w:pPr>
              <w:pStyle w:val="100"/>
              <w:widowControl w:val="0"/>
              <w:bidi w:val="0"/>
              <w:adjustRightInd w:val="0"/>
              <w:snapToGrid w:val="0"/>
            </w:pPr>
            <w:r>
              <w:rPr>
                <w:rFonts w:hint="eastAsia"/>
              </w:rPr>
              <w:t>硫酸盐</w:t>
            </w:r>
          </w:p>
        </w:tc>
        <w:tc>
          <w:tcPr>
            <w:tcW w:w="1139" w:type="dxa"/>
            <w:vAlign w:val="center"/>
          </w:tcPr>
          <w:p>
            <w:pPr>
              <w:pStyle w:val="100"/>
              <w:widowControl w:val="0"/>
              <w:bidi w:val="0"/>
              <w:adjustRightInd w:val="0"/>
              <w:snapToGrid w:val="0"/>
            </w:pPr>
            <w:r>
              <w:t>≤50</w:t>
            </w:r>
          </w:p>
        </w:tc>
        <w:tc>
          <w:tcPr>
            <w:tcW w:w="1044" w:type="dxa"/>
            <w:vAlign w:val="center"/>
          </w:tcPr>
          <w:p>
            <w:pPr>
              <w:pStyle w:val="100"/>
              <w:widowControl w:val="0"/>
              <w:bidi w:val="0"/>
              <w:adjustRightInd w:val="0"/>
              <w:snapToGrid w:val="0"/>
            </w:pPr>
            <w:r>
              <w:t>≤150</w:t>
            </w:r>
          </w:p>
        </w:tc>
        <w:tc>
          <w:tcPr>
            <w:tcW w:w="915" w:type="dxa"/>
            <w:vAlign w:val="center"/>
          </w:tcPr>
          <w:p>
            <w:pPr>
              <w:pStyle w:val="100"/>
              <w:widowControl w:val="0"/>
              <w:bidi w:val="0"/>
              <w:adjustRightInd w:val="0"/>
              <w:snapToGrid w:val="0"/>
            </w:pPr>
            <w:r>
              <w:t>≤250</w:t>
            </w:r>
          </w:p>
        </w:tc>
        <w:tc>
          <w:tcPr>
            <w:tcW w:w="1557" w:type="dxa"/>
            <w:vAlign w:val="center"/>
          </w:tcPr>
          <w:p>
            <w:pPr>
              <w:pStyle w:val="100"/>
              <w:widowControl w:val="0"/>
              <w:bidi w:val="0"/>
              <w:adjustRightInd w:val="0"/>
              <w:snapToGrid w:val="0"/>
            </w:pPr>
            <w:r>
              <w:t>≤350</w:t>
            </w:r>
          </w:p>
        </w:tc>
        <w:tc>
          <w:tcPr>
            <w:tcW w:w="1243" w:type="dxa"/>
            <w:vAlign w:val="center"/>
          </w:tcPr>
          <w:p>
            <w:pPr>
              <w:pStyle w:val="100"/>
              <w:widowControl w:val="0"/>
              <w:bidi w:val="0"/>
              <w:adjustRightInd w:val="0"/>
              <w:snapToGrid w:val="0"/>
            </w:pPr>
            <w:r>
              <w:t>&gt;350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t>9</w:t>
            </w:r>
          </w:p>
        </w:tc>
        <w:tc>
          <w:tcPr>
            <w:tcW w:w="1722" w:type="dxa"/>
            <w:vAlign w:val="center"/>
          </w:tcPr>
          <w:p>
            <w:pPr>
              <w:pStyle w:val="100"/>
              <w:widowControl w:val="0"/>
              <w:bidi w:val="0"/>
              <w:adjustRightInd w:val="0"/>
              <w:snapToGrid w:val="0"/>
            </w:pPr>
            <w:r>
              <w:rPr>
                <w:rFonts w:hint="eastAsia"/>
              </w:rPr>
              <w:t>溶解性总固体</w:t>
            </w:r>
          </w:p>
        </w:tc>
        <w:tc>
          <w:tcPr>
            <w:tcW w:w="1139" w:type="dxa"/>
            <w:vAlign w:val="center"/>
          </w:tcPr>
          <w:p>
            <w:pPr>
              <w:pStyle w:val="100"/>
              <w:widowControl w:val="0"/>
              <w:bidi w:val="0"/>
              <w:adjustRightInd w:val="0"/>
              <w:snapToGrid w:val="0"/>
            </w:pPr>
            <w:r>
              <w:t>≤300</w:t>
            </w:r>
          </w:p>
        </w:tc>
        <w:tc>
          <w:tcPr>
            <w:tcW w:w="1044" w:type="dxa"/>
            <w:vAlign w:val="center"/>
          </w:tcPr>
          <w:p>
            <w:pPr>
              <w:pStyle w:val="100"/>
              <w:widowControl w:val="0"/>
              <w:bidi w:val="0"/>
              <w:adjustRightInd w:val="0"/>
              <w:snapToGrid w:val="0"/>
            </w:pPr>
            <w:r>
              <w:t>≤500</w:t>
            </w:r>
          </w:p>
        </w:tc>
        <w:tc>
          <w:tcPr>
            <w:tcW w:w="915" w:type="dxa"/>
            <w:vAlign w:val="center"/>
          </w:tcPr>
          <w:p>
            <w:pPr>
              <w:pStyle w:val="100"/>
              <w:widowControl w:val="0"/>
              <w:bidi w:val="0"/>
              <w:adjustRightInd w:val="0"/>
              <w:snapToGrid w:val="0"/>
            </w:pPr>
            <w:r>
              <w:t>≤1000</w:t>
            </w:r>
          </w:p>
        </w:tc>
        <w:tc>
          <w:tcPr>
            <w:tcW w:w="1557" w:type="dxa"/>
            <w:vAlign w:val="center"/>
          </w:tcPr>
          <w:p>
            <w:pPr>
              <w:pStyle w:val="100"/>
              <w:widowControl w:val="0"/>
              <w:bidi w:val="0"/>
              <w:adjustRightInd w:val="0"/>
              <w:snapToGrid w:val="0"/>
            </w:pPr>
            <w:r>
              <w:t>≤2000</w:t>
            </w:r>
          </w:p>
        </w:tc>
        <w:tc>
          <w:tcPr>
            <w:tcW w:w="1243" w:type="dxa"/>
            <w:vAlign w:val="center"/>
          </w:tcPr>
          <w:p>
            <w:pPr>
              <w:pStyle w:val="100"/>
              <w:widowControl w:val="0"/>
              <w:bidi w:val="0"/>
              <w:adjustRightInd w:val="0"/>
              <w:snapToGrid w:val="0"/>
            </w:pPr>
            <w:r>
              <w:t>&gt;2000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39" w:type="dxa"/>
            <w:vAlign w:val="center"/>
          </w:tcPr>
          <w:p>
            <w:pPr>
              <w:pStyle w:val="100"/>
              <w:widowControl w:val="0"/>
              <w:bidi w:val="0"/>
              <w:adjustRightInd w:val="0"/>
              <w:snapToGrid w:val="0"/>
            </w:pPr>
            <w:r>
              <w:t>10</w:t>
            </w:r>
          </w:p>
        </w:tc>
        <w:tc>
          <w:tcPr>
            <w:tcW w:w="1722" w:type="dxa"/>
            <w:vAlign w:val="center"/>
          </w:tcPr>
          <w:p>
            <w:pPr>
              <w:pStyle w:val="100"/>
              <w:widowControl w:val="0"/>
              <w:bidi w:val="0"/>
              <w:adjustRightInd w:val="0"/>
              <w:snapToGrid w:val="0"/>
            </w:pPr>
            <w:r>
              <w:rPr>
                <w:rFonts w:hint="eastAsia"/>
              </w:rPr>
              <w:t>铁</w:t>
            </w:r>
          </w:p>
        </w:tc>
        <w:tc>
          <w:tcPr>
            <w:tcW w:w="1139" w:type="dxa"/>
            <w:vAlign w:val="center"/>
          </w:tcPr>
          <w:p>
            <w:pPr>
              <w:pStyle w:val="100"/>
              <w:widowControl w:val="0"/>
              <w:bidi w:val="0"/>
              <w:adjustRightInd w:val="0"/>
              <w:snapToGrid w:val="0"/>
            </w:pPr>
            <w:r>
              <w:t>≤0.1</w:t>
            </w:r>
          </w:p>
        </w:tc>
        <w:tc>
          <w:tcPr>
            <w:tcW w:w="1044" w:type="dxa"/>
            <w:vAlign w:val="center"/>
          </w:tcPr>
          <w:p>
            <w:pPr>
              <w:pStyle w:val="100"/>
              <w:widowControl w:val="0"/>
              <w:bidi w:val="0"/>
              <w:adjustRightInd w:val="0"/>
              <w:snapToGrid w:val="0"/>
            </w:pPr>
            <w:r>
              <w:t>≤0.2</w:t>
            </w:r>
          </w:p>
        </w:tc>
        <w:tc>
          <w:tcPr>
            <w:tcW w:w="915" w:type="dxa"/>
            <w:vAlign w:val="center"/>
          </w:tcPr>
          <w:p>
            <w:pPr>
              <w:pStyle w:val="100"/>
              <w:widowControl w:val="0"/>
              <w:bidi w:val="0"/>
              <w:adjustRightInd w:val="0"/>
              <w:snapToGrid w:val="0"/>
            </w:pPr>
            <w:r>
              <w:t>≤0.3</w:t>
            </w:r>
          </w:p>
        </w:tc>
        <w:tc>
          <w:tcPr>
            <w:tcW w:w="1557" w:type="dxa"/>
            <w:vAlign w:val="center"/>
          </w:tcPr>
          <w:p>
            <w:pPr>
              <w:pStyle w:val="100"/>
              <w:widowControl w:val="0"/>
              <w:bidi w:val="0"/>
              <w:adjustRightInd w:val="0"/>
              <w:snapToGrid w:val="0"/>
            </w:pPr>
            <w:r>
              <w:t>≤2.0</w:t>
            </w:r>
          </w:p>
        </w:tc>
        <w:tc>
          <w:tcPr>
            <w:tcW w:w="1243" w:type="dxa"/>
            <w:vAlign w:val="center"/>
          </w:tcPr>
          <w:p>
            <w:pPr>
              <w:pStyle w:val="100"/>
              <w:widowControl w:val="0"/>
              <w:bidi w:val="0"/>
              <w:adjustRightInd w:val="0"/>
              <w:snapToGrid w:val="0"/>
            </w:pPr>
            <w:r>
              <w:t>&gt;2.0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39" w:type="dxa"/>
            <w:vAlign w:val="center"/>
          </w:tcPr>
          <w:p>
            <w:pPr>
              <w:pStyle w:val="100"/>
              <w:widowControl w:val="0"/>
              <w:bidi w:val="0"/>
              <w:adjustRightInd w:val="0"/>
              <w:snapToGrid w:val="0"/>
            </w:pPr>
            <w:r>
              <w:t>11</w:t>
            </w:r>
          </w:p>
        </w:tc>
        <w:tc>
          <w:tcPr>
            <w:tcW w:w="1722" w:type="dxa"/>
            <w:vAlign w:val="center"/>
          </w:tcPr>
          <w:p>
            <w:pPr>
              <w:pStyle w:val="100"/>
              <w:widowControl w:val="0"/>
              <w:bidi w:val="0"/>
              <w:adjustRightInd w:val="0"/>
              <w:snapToGrid w:val="0"/>
            </w:pPr>
            <w:r>
              <w:rPr>
                <w:rFonts w:hint="eastAsia"/>
              </w:rPr>
              <w:t>锰</w:t>
            </w:r>
          </w:p>
        </w:tc>
        <w:tc>
          <w:tcPr>
            <w:tcW w:w="1139" w:type="dxa"/>
            <w:vAlign w:val="center"/>
          </w:tcPr>
          <w:p>
            <w:pPr>
              <w:pStyle w:val="100"/>
              <w:widowControl w:val="0"/>
              <w:bidi w:val="0"/>
              <w:adjustRightInd w:val="0"/>
              <w:snapToGrid w:val="0"/>
            </w:pPr>
            <w:r>
              <w:t>≤0.05</w:t>
            </w:r>
          </w:p>
        </w:tc>
        <w:tc>
          <w:tcPr>
            <w:tcW w:w="1044" w:type="dxa"/>
            <w:vAlign w:val="center"/>
          </w:tcPr>
          <w:p>
            <w:pPr>
              <w:pStyle w:val="100"/>
              <w:widowControl w:val="0"/>
              <w:bidi w:val="0"/>
              <w:adjustRightInd w:val="0"/>
              <w:snapToGrid w:val="0"/>
            </w:pPr>
            <w:r>
              <w:t>≤0.05</w:t>
            </w:r>
          </w:p>
        </w:tc>
        <w:tc>
          <w:tcPr>
            <w:tcW w:w="915" w:type="dxa"/>
            <w:vAlign w:val="center"/>
          </w:tcPr>
          <w:p>
            <w:pPr>
              <w:pStyle w:val="100"/>
              <w:widowControl w:val="0"/>
              <w:bidi w:val="0"/>
              <w:adjustRightInd w:val="0"/>
              <w:snapToGrid w:val="0"/>
            </w:pPr>
            <w:r>
              <w:t>≤0.10</w:t>
            </w:r>
          </w:p>
        </w:tc>
        <w:tc>
          <w:tcPr>
            <w:tcW w:w="1557" w:type="dxa"/>
            <w:vAlign w:val="center"/>
          </w:tcPr>
          <w:p>
            <w:pPr>
              <w:pStyle w:val="100"/>
              <w:widowControl w:val="0"/>
              <w:bidi w:val="0"/>
              <w:adjustRightInd w:val="0"/>
              <w:snapToGrid w:val="0"/>
            </w:pPr>
            <w:r>
              <w:t>≤1.50</w:t>
            </w:r>
          </w:p>
        </w:tc>
        <w:tc>
          <w:tcPr>
            <w:tcW w:w="1243" w:type="dxa"/>
            <w:vAlign w:val="center"/>
          </w:tcPr>
          <w:p>
            <w:pPr>
              <w:pStyle w:val="100"/>
              <w:widowControl w:val="0"/>
              <w:bidi w:val="0"/>
              <w:adjustRightInd w:val="0"/>
              <w:snapToGrid w:val="0"/>
            </w:pPr>
            <w:r>
              <w:t>&gt;1.50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39" w:type="dxa"/>
            <w:vAlign w:val="center"/>
          </w:tcPr>
          <w:p>
            <w:pPr>
              <w:pStyle w:val="100"/>
              <w:widowControl w:val="0"/>
              <w:bidi w:val="0"/>
              <w:adjustRightInd w:val="0"/>
              <w:snapToGrid w:val="0"/>
            </w:pPr>
            <w:r>
              <w:t>12</w:t>
            </w:r>
          </w:p>
        </w:tc>
        <w:tc>
          <w:tcPr>
            <w:tcW w:w="1722" w:type="dxa"/>
            <w:vAlign w:val="center"/>
          </w:tcPr>
          <w:p>
            <w:pPr>
              <w:pStyle w:val="100"/>
              <w:widowControl w:val="0"/>
              <w:bidi w:val="0"/>
              <w:adjustRightInd w:val="0"/>
              <w:snapToGrid w:val="0"/>
            </w:pPr>
            <w:r>
              <w:rPr>
                <w:rFonts w:hint="eastAsia"/>
              </w:rPr>
              <w:t>砷</w:t>
            </w:r>
          </w:p>
        </w:tc>
        <w:tc>
          <w:tcPr>
            <w:tcW w:w="1139" w:type="dxa"/>
            <w:vAlign w:val="center"/>
          </w:tcPr>
          <w:p>
            <w:pPr>
              <w:pStyle w:val="100"/>
              <w:widowControl w:val="0"/>
              <w:bidi w:val="0"/>
              <w:adjustRightInd w:val="0"/>
              <w:snapToGrid w:val="0"/>
            </w:pPr>
            <w:r>
              <w:t>≤0.001</w:t>
            </w:r>
          </w:p>
        </w:tc>
        <w:tc>
          <w:tcPr>
            <w:tcW w:w="1044" w:type="dxa"/>
            <w:vAlign w:val="center"/>
          </w:tcPr>
          <w:p>
            <w:pPr>
              <w:pStyle w:val="100"/>
              <w:widowControl w:val="0"/>
              <w:bidi w:val="0"/>
              <w:adjustRightInd w:val="0"/>
              <w:snapToGrid w:val="0"/>
            </w:pPr>
            <w:r>
              <w:t>≤0.001</w:t>
            </w:r>
          </w:p>
        </w:tc>
        <w:tc>
          <w:tcPr>
            <w:tcW w:w="915" w:type="dxa"/>
            <w:vAlign w:val="center"/>
          </w:tcPr>
          <w:p>
            <w:pPr>
              <w:pStyle w:val="100"/>
              <w:widowControl w:val="0"/>
              <w:bidi w:val="0"/>
              <w:adjustRightInd w:val="0"/>
              <w:snapToGrid w:val="0"/>
            </w:pPr>
            <w:r>
              <w:t>≤0.01</w:t>
            </w:r>
          </w:p>
        </w:tc>
        <w:tc>
          <w:tcPr>
            <w:tcW w:w="1557" w:type="dxa"/>
            <w:vAlign w:val="center"/>
          </w:tcPr>
          <w:p>
            <w:pPr>
              <w:pStyle w:val="100"/>
              <w:widowControl w:val="0"/>
              <w:bidi w:val="0"/>
              <w:adjustRightInd w:val="0"/>
              <w:snapToGrid w:val="0"/>
            </w:pPr>
            <w:r>
              <w:t>≤0.05</w:t>
            </w:r>
          </w:p>
        </w:tc>
        <w:tc>
          <w:tcPr>
            <w:tcW w:w="1243" w:type="dxa"/>
            <w:vAlign w:val="center"/>
          </w:tcPr>
          <w:p>
            <w:pPr>
              <w:pStyle w:val="100"/>
              <w:widowControl w:val="0"/>
              <w:bidi w:val="0"/>
              <w:adjustRightInd w:val="0"/>
              <w:snapToGrid w:val="0"/>
            </w:pPr>
            <w:r>
              <w:t>&gt;0.05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39" w:type="dxa"/>
            <w:vAlign w:val="center"/>
          </w:tcPr>
          <w:p>
            <w:pPr>
              <w:pStyle w:val="100"/>
              <w:widowControl w:val="0"/>
              <w:bidi w:val="0"/>
              <w:adjustRightInd w:val="0"/>
              <w:snapToGrid w:val="0"/>
            </w:pPr>
            <w:r>
              <w:t>13</w:t>
            </w:r>
          </w:p>
        </w:tc>
        <w:tc>
          <w:tcPr>
            <w:tcW w:w="1722" w:type="dxa"/>
            <w:vAlign w:val="center"/>
          </w:tcPr>
          <w:p>
            <w:pPr>
              <w:pStyle w:val="100"/>
              <w:widowControl w:val="0"/>
              <w:bidi w:val="0"/>
              <w:adjustRightInd w:val="0"/>
              <w:snapToGrid w:val="0"/>
            </w:pPr>
            <w:r>
              <w:rPr>
                <w:rFonts w:hint="eastAsia"/>
              </w:rPr>
              <w:t>汞</w:t>
            </w:r>
          </w:p>
        </w:tc>
        <w:tc>
          <w:tcPr>
            <w:tcW w:w="1139" w:type="dxa"/>
            <w:vAlign w:val="center"/>
          </w:tcPr>
          <w:p>
            <w:pPr>
              <w:pStyle w:val="100"/>
              <w:widowControl w:val="0"/>
              <w:bidi w:val="0"/>
              <w:adjustRightInd w:val="0"/>
              <w:snapToGrid w:val="0"/>
            </w:pPr>
            <w:r>
              <w:t>≤0.0001</w:t>
            </w:r>
          </w:p>
        </w:tc>
        <w:tc>
          <w:tcPr>
            <w:tcW w:w="1044" w:type="dxa"/>
            <w:vAlign w:val="center"/>
          </w:tcPr>
          <w:p>
            <w:pPr>
              <w:pStyle w:val="100"/>
              <w:widowControl w:val="0"/>
              <w:bidi w:val="0"/>
              <w:adjustRightInd w:val="0"/>
              <w:snapToGrid w:val="0"/>
            </w:pPr>
            <w:r>
              <w:t>≤0.0001</w:t>
            </w:r>
          </w:p>
        </w:tc>
        <w:tc>
          <w:tcPr>
            <w:tcW w:w="915" w:type="dxa"/>
            <w:vAlign w:val="center"/>
          </w:tcPr>
          <w:p>
            <w:pPr>
              <w:pStyle w:val="100"/>
              <w:widowControl w:val="0"/>
              <w:bidi w:val="0"/>
              <w:adjustRightInd w:val="0"/>
              <w:snapToGrid w:val="0"/>
            </w:pPr>
            <w:r>
              <w:t>≤0.001</w:t>
            </w:r>
          </w:p>
        </w:tc>
        <w:tc>
          <w:tcPr>
            <w:tcW w:w="1557" w:type="dxa"/>
            <w:vAlign w:val="center"/>
          </w:tcPr>
          <w:p>
            <w:pPr>
              <w:pStyle w:val="100"/>
              <w:widowControl w:val="0"/>
              <w:bidi w:val="0"/>
              <w:adjustRightInd w:val="0"/>
              <w:snapToGrid w:val="0"/>
            </w:pPr>
            <w:r>
              <w:t>≤0.002</w:t>
            </w:r>
          </w:p>
        </w:tc>
        <w:tc>
          <w:tcPr>
            <w:tcW w:w="1243" w:type="dxa"/>
            <w:vAlign w:val="center"/>
          </w:tcPr>
          <w:p>
            <w:pPr>
              <w:pStyle w:val="100"/>
              <w:widowControl w:val="0"/>
              <w:bidi w:val="0"/>
              <w:adjustRightInd w:val="0"/>
              <w:snapToGrid w:val="0"/>
            </w:pPr>
            <w:r>
              <w:t>&gt;0.002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t>14</w:t>
            </w:r>
          </w:p>
        </w:tc>
        <w:tc>
          <w:tcPr>
            <w:tcW w:w="1722" w:type="dxa"/>
            <w:vAlign w:val="center"/>
          </w:tcPr>
          <w:p>
            <w:pPr>
              <w:pStyle w:val="100"/>
              <w:widowControl w:val="0"/>
              <w:bidi w:val="0"/>
              <w:adjustRightInd w:val="0"/>
              <w:snapToGrid w:val="0"/>
            </w:pPr>
            <w:r>
              <w:rPr>
                <w:rFonts w:hint="eastAsia"/>
              </w:rPr>
              <w:t>铅</w:t>
            </w:r>
          </w:p>
        </w:tc>
        <w:tc>
          <w:tcPr>
            <w:tcW w:w="1139" w:type="dxa"/>
            <w:vAlign w:val="center"/>
          </w:tcPr>
          <w:p>
            <w:pPr>
              <w:pStyle w:val="100"/>
              <w:widowControl w:val="0"/>
              <w:bidi w:val="0"/>
              <w:adjustRightInd w:val="0"/>
              <w:snapToGrid w:val="0"/>
            </w:pPr>
            <w:r>
              <w:t>≤0.005</w:t>
            </w:r>
          </w:p>
        </w:tc>
        <w:tc>
          <w:tcPr>
            <w:tcW w:w="1044" w:type="dxa"/>
            <w:vAlign w:val="center"/>
          </w:tcPr>
          <w:p>
            <w:pPr>
              <w:pStyle w:val="100"/>
              <w:widowControl w:val="0"/>
              <w:bidi w:val="0"/>
              <w:adjustRightInd w:val="0"/>
              <w:snapToGrid w:val="0"/>
            </w:pPr>
            <w:r>
              <w:t>≤0.005</w:t>
            </w:r>
          </w:p>
        </w:tc>
        <w:tc>
          <w:tcPr>
            <w:tcW w:w="915" w:type="dxa"/>
            <w:vAlign w:val="center"/>
          </w:tcPr>
          <w:p>
            <w:pPr>
              <w:pStyle w:val="100"/>
              <w:widowControl w:val="0"/>
              <w:bidi w:val="0"/>
              <w:adjustRightInd w:val="0"/>
              <w:snapToGrid w:val="0"/>
            </w:pPr>
            <w:r>
              <w:t>≤0.01</w:t>
            </w:r>
          </w:p>
        </w:tc>
        <w:tc>
          <w:tcPr>
            <w:tcW w:w="1557" w:type="dxa"/>
            <w:vAlign w:val="center"/>
          </w:tcPr>
          <w:p>
            <w:pPr>
              <w:pStyle w:val="100"/>
              <w:widowControl w:val="0"/>
              <w:bidi w:val="0"/>
              <w:adjustRightInd w:val="0"/>
              <w:snapToGrid w:val="0"/>
            </w:pPr>
            <w:r>
              <w:t>≤0.10</w:t>
            </w:r>
          </w:p>
        </w:tc>
        <w:tc>
          <w:tcPr>
            <w:tcW w:w="1243" w:type="dxa"/>
            <w:vAlign w:val="center"/>
          </w:tcPr>
          <w:p>
            <w:pPr>
              <w:pStyle w:val="100"/>
              <w:widowControl w:val="0"/>
              <w:bidi w:val="0"/>
              <w:adjustRightInd w:val="0"/>
              <w:snapToGrid w:val="0"/>
            </w:pPr>
            <w:r>
              <w:t>&gt;0.10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39" w:type="dxa"/>
            <w:vAlign w:val="center"/>
          </w:tcPr>
          <w:p>
            <w:pPr>
              <w:pStyle w:val="100"/>
              <w:widowControl w:val="0"/>
              <w:bidi w:val="0"/>
              <w:adjustRightInd w:val="0"/>
              <w:snapToGrid w:val="0"/>
            </w:pPr>
            <w:r>
              <w:t>15</w:t>
            </w:r>
          </w:p>
        </w:tc>
        <w:tc>
          <w:tcPr>
            <w:tcW w:w="1722" w:type="dxa"/>
            <w:vAlign w:val="center"/>
          </w:tcPr>
          <w:p>
            <w:pPr>
              <w:pStyle w:val="100"/>
              <w:widowControl w:val="0"/>
              <w:bidi w:val="0"/>
              <w:adjustRightInd w:val="0"/>
              <w:snapToGrid w:val="0"/>
            </w:pPr>
            <w:r>
              <w:rPr>
                <w:rFonts w:hint="eastAsia"/>
              </w:rPr>
              <w:t>镉</w:t>
            </w:r>
          </w:p>
        </w:tc>
        <w:tc>
          <w:tcPr>
            <w:tcW w:w="1139" w:type="dxa"/>
            <w:vAlign w:val="center"/>
          </w:tcPr>
          <w:p>
            <w:pPr>
              <w:pStyle w:val="100"/>
              <w:widowControl w:val="0"/>
              <w:bidi w:val="0"/>
              <w:adjustRightInd w:val="0"/>
              <w:snapToGrid w:val="0"/>
            </w:pPr>
            <w:r>
              <w:t>≤0.0001</w:t>
            </w:r>
          </w:p>
        </w:tc>
        <w:tc>
          <w:tcPr>
            <w:tcW w:w="1044" w:type="dxa"/>
            <w:vAlign w:val="center"/>
          </w:tcPr>
          <w:p>
            <w:pPr>
              <w:pStyle w:val="100"/>
              <w:widowControl w:val="0"/>
              <w:bidi w:val="0"/>
              <w:adjustRightInd w:val="0"/>
              <w:snapToGrid w:val="0"/>
            </w:pPr>
            <w:r>
              <w:t>≤0.001</w:t>
            </w:r>
          </w:p>
        </w:tc>
        <w:tc>
          <w:tcPr>
            <w:tcW w:w="915" w:type="dxa"/>
            <w:vAlign w:val="center"/>
          </w:tcPr>
          <w:p>
            <w:pPr>
              <w:pStyle w:val="100"/>
              <w:widowControl w:val="0"/>
              <w:bidi w:val="0"/>
              <w:adjustRightInd w:val="0"/>
              <w:snapToGrid w:val="0"/>
            </w:pPr>
            <w:r>
              <w:t>≤0.005</w:t>
            </w:r>
          </w:p>
        </w:tc>
        <w:tc>
          <w:tcPr>
            <w:tcW w:w="1557" w:type="dxa"/>
            <w:vAlign w:val="center"/>
          </w:tcPr>
          <w:p>
            <w:pPr>
              <w:pStyle w:val="100"/>
              <w:widowControl w:val="0"/>
              <w:bidi w:val="0"/>
              <w:adjustRightInd w:val="0"/>
              <w:snapToGrid w:val="0"/>
            </w:pPr>
            <w:r>
              <w:t>≤0.01</w:t>
            </w:r>
          </w:p>
        </w:tc>
        <w:tc>
          <w:tcPr>
            <w:tcW w:w="1243" w:type="dxa"/>
            <w:vAlign w:val="center"/>
          </w:tcPr>
          <w:p>
            <w:pPr>
              <w:pStyle w:val="100"/>
              <w:widowControl w:val="0"/>
              <w:bidi w:val="0"/>
              <w:adjustRightInd w:val="0"/>
              <w:snapToGrid w:val="0"/>
            </w:pPr>
            <w:r>
              <w:t>&gt;0.01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t>16</w:t>
            </w:r>
          </w:p>
        </w:tc>
        <w:tc>
          <w:tcPr>
            <w:tcW w:w="1722" w:type="dxa"/>
            <w:vAlign w:val="center"/>
          </w:tcPr>
          <w:p>
            <w:pPr>
              <w:pStyle w:val="100"/>
              <w:widowControl w:val="0"/>
              <w:bidi w:val="0"/>
              <w:adjustRightInd w:val="0"/>
              <w:snapToGrid w:val="0"/>
            </w:pPr>
            <w:r>
              <w:rPr>
                <w:rFonts w:hint="eastAsia"/>
              </w:rPr>
              <w:t>亚硝酸盐（以</w:t>
            </w:r>
            <w:r>
              <w:t>N</w:t>
            </w:r>
            <w:r>
              <w:rPr>
                <w:rFonts w:hint="eastAsia"/>
              </w:rPr>
              <w:t>计）</w:t>
            </w:r>
          </w:p>
        </w:tc>
        <w:tc>
          <w:tcPr>
            <w:tcW w:w="1139" w:type="dxa"/>
            <w:vAlign w:val="center"/>
          </w:tcPr>
          <w:p>
            <w:pPr>
              <w:pStyle w:val="100"/>
              <w:widowControl w:val="0"/>
              <w:bidi w:val="0"/>
              <w:adjustRightInd w:val="0"/>
              <w:snapToGrid w:val="0"/>
            </w:pPr>
            <w:r>
              <w:t>≤0.01</w:t>
            </w:r>
          </w:p>
        </w:tc>
        <w:tc>
          <w:tcPr>
            <w:tcW w:w="1044" w:type="dxa"/>
            <w:vAlign w:val="center"/>
          </w:tcPr>
          <w:p>
            <w:pPr>
              <w:pStyle w:val="100"/>
              <w:widowControl w:val="0"/>
              <w:bidi w:val="0"/>
              <w:adjustRightInd w:val="0"/>
              <w:snapToGrid w:val="0"/>
            </w:pPr>
            <w:r>
              <w:t>≤0.10</w:t>
            </w:r>
          </w:p>
        </w:tc>
        <w:tc>
          <w:tcPr>
            <w:tcW w:w="915" w:type="dxa"/>
            <w:vAlign w:val="center"/>
          </w:tcPr>
          <w:p>
            <w:pPr>
              <w:pStyle w:val="100"/>
              <w:widowControl w:val="0"/>
              <w:bidi w:val="0"/>
              <w:adjustRightInd w:val="0"/>
              <w:snapToGrid w:val="0"/>
            </w:pPr>
            <w:r>
              <w:t>≤1.00</w:t>
            </w:r>
          </w:p>
        </w:tc>
        <w:tc>
          <w:tcPr>
            <w:tcW w:w="1557" w:type="dxa"/>
            <w:vAlign w:val="center"/>
          </w:tcPr>
          <w:p>
            <w:pPr>
              <w:pStyle w:val="100"/>
              <w:widowControl w:val="0"/>
              <w:bidi w:val="0"/>
              <w:adjustRightInd w:val="0"/>
              <w:snapToGrid w:val="0"/>
            </w:pPr>
            <w:r>
              <w:t>≤4.80</w:t>
            </w:r>
          </w:p>
        </w:tc>
        <w:tc>
          <w:tcPr>
            <w:tcW w:w="1243" w:type="dxa"/>
            <w:vAlign w:val="center"/>
          </w:tcPr>
          <w:p>
            <w:pPr>
              <w:pStyle w:val="100"/>
              <w:widowControl w:val="0"/>
              <w:bidi w:val="0"/>
              <w:adjustRightInd w:val="0"/>
              <w:snapToGrid w:val="0"/>
            </w:pPr>
            <w:r>
              <w:t>&gt;4.80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39" w:type="dxa"/>
            <w:vAlign w:val="center"/>
          </w:tcPr>
          <w:p>
            <w:pPr>
              <w:pStyle w:val="100"/>
              <w:widowControl w:val="0"/>
              <w:bidi w:val="0"/>
              <w:adjustRightInd w:val="0"/>
              <w:snapToGrid w:val="0"/>
            </w:pPr>
            <w:r>
              <w:t>17</w:t>
            </w:r>
          </w:p>
        </w:tc>
        <w:tc>
          <w:tcPr>
            <w:tcW w:w="1722" w:type="dxa"/>
            <w:vAlign w:val="center"/>
          </w:tcPr>
          <w:p>
            <w:pPr>
              <w:pStyle w:val="100"/>
              <w:widowControl w:val="0"/>
              <w:bidi w:val="0"/>
              <w:adjustRightInd w:val="0"/>
              <w:snapToGrid w:val="0"/>
            </w:pPr>
            <w:r>
              <w:rPr>
                <w:rFonts w:hint="eastAsia"/>
              </w:rPr>
              <w:t>挥发性酚类（以苯酚计）</w:t>
            </w:r>
          </w:p>
        </w:tc>
        <w:tc>
          <w:tcPr>
            <w:tcW w:w="1139" w:type="dxa"/>
            <w:vAlign w:val="center"/>
          </w:tcPr>
          <w:p>
            <w:pPr>
              <w:pStyle w:val="100"/>
              <w:widowControl w:val="0"/>
              <w:bidi w:val="0"/>
              <w:adjustRightInd w:val="0"/>
              <w:snapToGrid w:val="0"/>
            </w:pPr>
            <w:r>
              <w:t>≤0.001</w:t>
            </w:r>
          </w:p>
        </w:tc>
        <w:tc>
          <w:tcPr>
            <w:tcW w:w="1044" w:type="dxa"/>
            <w:vAlign w:val="center"/>
          </w:tcPr>
          <w:p>
            <w:pPr>
              <w:pStyle w:val="100"/>
              <w:widowControl w:val="0"/>
              <w:bidi w:val="0"/>
              <w:adjustRightInd w:val="0"/>
              <w:snapToGrid w:val="0"/>
            </w:pPr>
            <w:r>
              <w:t>≤0.001</w:t>
            </w:r>
          </w:p>
        </w:tc>
        <w:tc>
          <w:tcPr>
            <w:tcW w:w="915" w:type="dxa"/>
            <w:vAlign w:val="center"/>
          </w:tcPr>
          <w:p>
            <w:pPr>
              <w:pStyle w:val="100"/>
              <w:widowControl w:val="0"/>
              <w:bidi w:val="0"/>
              <w:adjustRightInd w:val="0"/>
              <w:snapToGrid w:val="0"/>
            </w:pPr>
            <w:r>
              <w:t>≤0.002</w:t>
            </w:r>
          </w:p>
        </w:tc>
        <w:tc>
          <w:tcPr>
            <w:tcW w:w="1557" w:type="dxa"/>
            <w:vAlign w:val="center"/>
          </w:tcPr>
          <w:p>
            <w:pPr>
              <w:pStyle w:val="100"/>
              <w:widowControl w:val="0"/>
              <w:bidi w:val="0"/>
              <w:adjustRightInd w:val="0"/>
              <w:snapToGrid w:val="0"/>
            </w:pPr>
            <w:r>
              <w:t>≤0.01</w:t>
            </w:r>
          </w:p>
        </w:tc>
        <w:tc>
          <w:tcPr>
            <w:tcW w:w="1243" w:type="dxa"/>
            <w:vAlign w:val="center"/>
          </w:tcPr>
          <w:p>
            <w:pPr>
              <w:pStyle w:val="100"/>
              <w:widowControl w:val="0"/>
              <w:bidi w:val="0"/>
              <w:adjustRightInd w:val="0"/>
              <w:snapToGrid w:val="0"/>
            </w:pPr>
            <w:r>
              <w:t>&gt;0.01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9" w:type="dxa"/>
            <w:vAlign w:val="center"/>
          </w:tcPr>
          <w:p>
            <w:pPr>
              <w:pStyle w:val="100"/>
              <w:widowControl w:val="0"/>
              <w:bidi w:val="0"/>
              <w:adjustRightInd w:val="0"/>
              <w:snapToGrid w:val="0"/>
            </w:pPr>
            <w:r>
              <w:t>18</w:t>
            </w:r>
          </w:p>
        </w:tc>
        <w:tc>
          <w:tcPr>
            <w:tcW w:w="1722" w:type="dxa"/>
            <w:vAlign w:val="center"/>
          </w:tcPr>
          <w:p>
            <w:pPr>
              <w:pStyle w:val="100"/>
              <w:widowControl w:val="0"/>
              <w:bidi w:val="0"/>
              <w:adjustRightInd w:val="0"/>
              <w:snapToGrid w:val="0"/>
            </w:pPr>
            <w:r>
              <w:rPr>
                <w:rFonts w:hint="eastAsia"/>
              </w:rPr>
              <w:t>氰化物</w:t>
            </w:r>
          </w:p>
        </w:tc>
        <w:tc>
          <w:tcPr>
            <w:tcW w:w="1139" w:type="dxa"/>
            <w:vAlign w:val="center"/>
          </w:tcPr>
          <w:p>
            <w:pPr>
              <w:pStyle w:val="100"/>
              <w:widowControl w:val="0"/>
              <w:bidi w:val="0"/>
              <w:adjustRightInd w:val="0"/>
              <w:snapToGrid w:val="0"/>
            </w:pPr>
            <w:r>
              <w:t>≤0.001</w:t>
            </w:r>
          </w:p>
        </w:tc>
        <w:tc>
          <w:tcPr>
            <w:tcW w:w="1044" w:type="dxa"/>
            <w:vAlign w:val="center"/>
          </w:tcPr>
          <w:p>
            <w:pPr>
              <w:pStyle w:val="100"/>
              <w:widowControl w:val="0"/>
              <w:bidi w:val="0"/>
              <w:adjustRightInd w:val="0"/>
              <w:snapToGrid w:val="0"/>
            </w:pPr>
            <w:r>
              <w:t>≤0.01</w:t>
            </w:r>
          </w:p>
        </w:tc>
        <w:tc>
          <w:tcPr>
            <w:tcW w:w="915" w:type="dxa"/>
            <w:vAlign w:val="center"/>
          </w:tcPr>
          <w:p>
            <w:pPr>
              <w:pStyle w:val="100"/>
              <w:widowControl w:val="0"/>
              <w:bidi w:val="0"/>
              <w:adjustRightInd w:val="0"/>
              <w:snapToGrid w:val="0"/>
            </w:pPr>
            <w:r>
              <w:t>≤0.05</w:t>
            </w:r>
          </w:p>
        </w:tc>
        <w:tc>
          <w:tcPr>
            <w:tcW w:w="1557" w:type="dxa"/>
            <w:vAlign w:val="center"/>
          </w:tcPr>
          <w:p>
            <w:pPr>
              <w:pStyle w:val="100"/>
              <w:widowControl w:val="0"/>
              <w:bidi w:val="0"/>
              <w:adjustRightInd w:val="0"/>
              <w:snapToGrid w:val="0"/>
            </w:pPr>
            <w:r>
              <w:t>≤0.1</w:t>
            </w:r>
          </w:p>
        </w:tc>
        <w:tc>
          <w:tcPr>
            <w:tcW w:w="1243" w:type="dxa"/>
            <w:vAlign w:val="center"/>
          </w:tcPr>
          <w:p>
            <w:pPr>
              <w:pStyle w:val="100"/>
              <w:widowControl w:val="0"/>
              <w:bidi w:val="0"/>
              <w:adjustRightInd w:val="0"/>
              <w:snapToGrid w:val="0"/>
            </w:pPr>
            <w:r>
              <w:t>&gt;0.1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39" w:type="dxa"/>
            <w:vAlign w:val="center"/>
          </w:tcPr>
          <w:p>
            <w:pPr>
              <w:pStyle w:val="100"/>
              <w:widowControl w:val="0"/>
              <w:bidi w:val="0"/>
              <w:adjustRightInd w:val="0"/>
              <w:snapToGrid w:val="0"/>
            </w:pPr>
            <w:r>
              <w:t>19</w:t>
            </w:r>
          </w:p>
        </w:tc>
        <w:tc>
          <w:tcPr>
            <w:tcW w:w="1722" w:type="dxa"/>
            <w:vAlign w:val="center"/>
          </w:tcPr>
          <w:p>
            <w:pPr>
              <w:pStyle w:val="100"/>
              <w:widowControl w:val="0"/>
              <w:bidi w:val="0"/>
              <w:adjustRightInd w:val="0"/>
              <w:snapToGrid w:val="0"/>
            </w:pPr>
            <w:r>
              <w:rPr>
                <w:rFonts w:hint="eastAsia"/>
              </w:rPr>
              <w:t>六价铬</w:t>
            </w:r>
          </w:p>
        </w:tc>
        <w:tc>
          <w:tcPr>
            <w:tcW w:w="1139" w:type="dxa"/>
            <w:vAlign w:val="center"/>
          </w:tcPr>
          <w:p>
            <w:pPr>
              <w:pStyle w:val="100"/>
              <w:widowControl w:val="0"/>
              <w:bidi w:val="0"/>
              <w:adjustRightInd w:val="0"/>
              <w:snapToGrid w:val="0"/>
            </w:pPr>
            <w:r>
              <w:t>≤0.005</w:t>
            </w:r>
          </w:p>
        </w:tc>
        <w:tc>
          <w:tcPr>
            <w:tcW w:w="1044" w:type="dxa"/>
            <w:vAlign w:val="center"/>
          </w:tcPr>
          <w:p>
            <w:pPr>
              <w:pStyle w:val="100"/>
              <w:widowControl w:val="0"/>
              <w:bidi w:val="0"/>
              <w:adjustRightInd w:val="0"/>
              <w:snapToGrid w:val="0"/>
            </w:pPr>
            <w:r>
              <w:t>≤0.01</w:t>
            </w:r>
          </w:p>
        </w:tc>
        <w:tc>
          <w:tcPr>
            <w:tcW w:w="915" w:type="dxa"/>
            <w:vAlign w:val="center"/>
          </w:tcPr>
          <w:p>
            <w:pPr>
              <w:pStyle w:val="100"/>
              <w:widowControl w:val="0"/>
              <w:bidi w:val="0"/>
              <w:adjustRightInd w:val="0"/>
              <w:snapToGrid w:val="0"/>
            </w:pPr>
            <w:r>
              <w:t>≤0.05</w:t>
            </w:r>
          </w:p>
        </w:tc>
        <w:tc>
          <w:tcPr>
            <w:tcW w:w="1557" w:type="dxa"/>
            <w:vAlign w:val="center"/>
          </w:tcPr>
          <w:p>
            <w:pPr>
              <w:pStyle w:val="100"/>
              <w:widowControl w:val="0"/>
              <w:bidi w:val="0"/>
              <w:adjustRightInd w:val="0"/>
              <w:snapToGrid w:val="0"/>
            </w:pPr>
            <w:r>
              <w:t>≤0.10</w:t>
            </w:r>
          </w:p>
        </w:tc>
        <w:tc>
          <w:tcPr>
            <w:tcW w:w="1243" w:type="dxa"/>
            <w:vAlign w:val="center"/>
          </w:tcPr>
          <w:p>
            <w:pPr>
              <w:pStyle w:val="100"/>
              <w:widowControl w:val="0"/>
              <w:bidi w:val="0"/>
              <w:adjustRightInd w:val="0"/>
              <w:snapToGrid w:val="0"/>
            </w:pPr>
            <w:r>
              <w:t>&gt;0.10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39" w:type="dxa"/>
            <w:vAlign w:val="center"/>
          </w:tcPr>
          <w:p>
            <w:pPr>
              <w:pStyle w:val="100"/>
              <w:widowControl w:val="0"/>
              <w:bidi w:val="0"/>
              <w:adjustRightInd w:val="0"/>
              <w:snapToGrid w:val="0"/>
            </w:pPr>
            <w:r>
              <w:t>20</w:t>
            </w:r>
          </w:p>
        </w:tc>
        <w:tc>
          <w:tcPr>
            <w:tcW w:w="1722" w:type="dxa"/>
            <w:vAlign w:val="center"/>
          </w:tcPr>
          <w:p>
            <w:pPr>
              <w:pStyle w:val="100"/>
              <w:widowControl w:val="0"/>
              <w:bidi w:val="0"/>
              <w:adjustRightInd w:val="0"/>
              <w:snapToGrid w:val="0"/>
            </w:pPr>
            <w:r>
              <w:rPr>
                <w:rFonts w:hint="eastAsia"/>
              </w:rPr>
              <w:t>钠</w:t>
            </w:r>
          </w:p>
        </w:tc>
        <w:tc>
          <w:tcPr>
            <w:tcW w:w="1139" w:type="dxa"/>
            <w:vAlign w:val="center"/>
          </w:tcPr>
          <w:p>
            <w:pPr>
              <w:pStyle w:val="100"/>
              <w:widowControl w:val="0"/>
              <w:bidi w:val="0"/>
              <w:adjustRightInd w:val="0"/>
              <w:snapToGrid w:val="0"/>
            </w:pPr>
            <w:r>
              <w:t>≤100</w:t>
            </w:r>
          </w:p>
        </w:tc>
        <w:tc>
          <w:tcPr>
            <w:tcW w:w="1044" w:type="dxa"/>
            <w:vAlign w:val="center"/>
          </w:tcPr>
          <w:p>
            <w:pPr>
              <w:pStyle w:val="100"/>
              <w:widowControl w:val="0"/>
              <w:bidi w:val="0"/>
              <w:adjustRightInd w:val="0"/>
              <w:snapToGrid w:val="0"/>
            </w:pPr>
            <w:r>
              <w:t>≤150</w:t>
            </w:r>
          </w:p>
        </w:tc>
        <w:tc>
          <w:tcPr>
            <w:tcW w:w="915" w:type="dxa"/>
            <w:vAlign w:val="center"/>
          </w:tcPr>
          <w:p>
            <w:pPr>
              <w:pStyle w:val="100"/>
              <w:widowControl w:val="0"/>
              <w:bidi w:val="0"/>
              <w:adjustRightInd w:val="0"/>
              <w:snapToGrid w:val="0"/>
            </w:pPr>
            <w:r>
              <w:t>≤200</w:t>
            </w:r>
          </w:p>
        </w:tc>
        <w:tc>
          <w:tcPr>
            <w:tcW w:w="1557" w:type="dxa"/>
            <w:vAlign w:val="center"/>
          </w:tcPr>
          <w:p>
            <w:pPr>
              <w:pStyle w:val="100"/>
              <w:widowControl w:val="0"/>
              <w:bidi w:val="0"/>
              <w:adjustRightInd w:val="0"/>
              <w:snapToGrid w:val="0"/>
            </w:pPr>
            <w:r>
              <w:t>≤400</w:t>
            </w:r>
          </w:p>
        </w:tc>
        <w:tc>
          <w:tcPr>
            <w:tcW w:w="1243" w:type="dxa"/>
            <w:vAlign w:val="center"/>
          </w:tcPr>
          <w:p>
            <w:pPr>
              <w:pStyle w:val="100"/>
              <w:widowControl w:val="0"/>
              <w:bidi w:val="0"/>
              <w:adjustRightInd w:val="0"/>
              <w:snapToGrid w:val="0"/>
            </w:pPr>
            <w:r>
              <w:t>&gt;400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39" w:type="dxa"/>
            <w:vAlign w:val="center"/>
          </w:tcPr>
          <w:p>
            <w:pPr>
              <w:pStyle w:val="100"/>
              <w:widowControl w:val="0"/>
              <w:bidi w:val="0"/>
              <w:adjustRightInd w:val="0"/>
              <w:snapToGrid w:val="0"/>
            </w:pPr>
            <w:r>
              <w:t>21</w:t>
            </w:r>
          </w:p>
        </w:tc>
        <w:tc>
          <w:tcPr>
            <w:tcW w:w="1722" w:type="dxa"/>
            <w:vAlign w:val="center"/>
          </w:tcPr>
          <w:p>
            <w:pPr>
              <w:pStyle w:val="100"/>
              <w:widowControl w:val="0"/>
              <w:bidi w:val="0"/>
              <w:adjustRightInd w:val="0"/>
              <w:snapToGrid w:val="0"/>
            </w:pPr>
            <w:r>
              <w:rPr>
                <w:rFonts w:hint="eastAsia"/>
              </w:rPr>
              <w:t>阴离子表面活性剂</w:t>
            </w:r>
          </w:p>
        </w:tc>
        <w:tc>
          <w:tcPr>
            <w:tcW w:w="1139" w:type="dxa"/>
            <w:vAlign w:val="center"/>
          </w:tcPr>
          <w:p>
            <w:pPr>
              <w:pStyle w:val="100"/>
              <w:widowControl w:val="0"/>
              <w:bidi w:val="0"/>
              <w:adjustRightInd w:val="0"/>
              <w:snapToGrid w:val="0"/>
            </w:pPr>
            <w:r>
              <w:rPr>
                <w:rFonts w:hint="eastAsia"/>
              </w:rPr>
              <w:t>不得检出</w:t>
            </w:r>
          </w:p>
        </w:tc>
        <w:tc>
          <w:tcPr>
            <w:tcW w:w="1044" w:type="dxa"/>
            <w:vAlign w:val="center"/>
          </w:tcPr>
          <w:p>
            <w:pPr>
              <w:pStyle w:val="100"/>
              <w:widowControl w:val="0"/>
              <w:bidi w:val="0"/>
              <w:adjustRightInd w:val="0"/>
              <w:snapToGrid w:val="0"/>
            </w:pPr>
            <w:r>
              <w:t>≤0.1</w:t>
            </w:r>
          </w:p>
        </w:tc>
        <w:tc>
          <w:tcPr>
            <w:tcW w:w="915" w:type="dxa"/>
            <w:vAlign w:val="center"/>
          </w:tcPr>
          <w:p>
            <w:pPr>
              <w:pStyle w:val="100"/>
              <w:widowControl w:val="0"/>
              <w:bidi w:val="0"/>
              <w:adjustRightInd w:val="0"/>
              <w:snapToGrid w:val="0"/>
            </w:pPr>
            <w:r>
              <w:t>≤0.3</w:t>
            </w:r>
          </w:p>
        </w:tc>
        <w:tc>
          <w:tcPr>
            <w:tcW w:w="1557" w:type="dxa"/>
            <w:vAlign w:val="center"/>
          </w:tcPr>
          <w:p>
            <w:pPr>
              <w:pStyle w:val="100"/>
              <w:widowControl w:val="0"/>
              <w:bidi w:val="0"/>
              <w:adjustRightInd w:val="0"/>
              <w:snapToGrid w:val="0"/>
            </w:pPr>
            <w:r>
              <w:t>≤0.3</w:t>
            </w:r>
          </w:p>
        </w:tc>
        <w:tc>
          <w:tcPr>
            <w:tcW w:w="1243" w:type="dxa"/>
            <w:vAlign w:val="center"/>
          </w:tcPr>
          <w:p>
            <w:pPr>
              <w:pStyle w:val="100"/>
              <w:widowControl w:val="0"/>
              <w:bidi w:val="0"/>
              <w:adjustRightInd w:val="0"/>
              <w:snapToGrid w:val="0"/>
            </w:pPr>
            <w:r>
              <w:t>&gt;0.3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39" w:type="dxa"/>
            <w:vAlign w:val="center"/>
          </w:tcPr>
          <w:p>
            <w:pPr>
              <w:pStyle w:val="100"/>
              <w:widowControl w:val="0"/>
              <w:bidi w:val="0"/>
              <w:adjustRightInd w:val="0"/>
              <w:snapToGrid w:val="0"/>
            </w:pPr>
            <w:r>
              <w:t>22</w:t>
            </w:r>
          </w:p>
        </w:tc>
        <w:tc>
          <w:tcPr>
            <w:tcW w:w="1722" w:type="dxa"/>
            <w:vAlign w:val="center"/>
          </w:tcPr>
          <w:p>
            <w:pPr>
              <w:pStyle w:val="100"/>
              <w:widowControl w:val="0"/>
              <w:bidi w:val="0"/>
              <w:adjustRightInd w:val="0"/>
              <w:snapToGrid w:val="0"/>
            </w:pPr>
            <w:r>
              <w:rPr>
                <w:rFonts w:hint="eastAsia"/>
              </w:rPr>
              <w:t>大肠菌群（</w:t>
            </w:r>
            <w:r>
              <w:t>MPN/100mL</w:t>
            </w:r>
            <w:r>
              <w:rPr>
                <w:rFonts w:hint="eastAsia"/>
              </w:rPr>
              <w:t>或者</w:t>
            </w:r>
            <w:r>
              <w:t>CFU/100mL</w:t>
            </w:r>
            <w:r>
              <w:rPr>
                <w:rFonts w:hint="eastAsia"/>
              </w:rPr>
              <w:t>）</w:t>
            </w:r>
          </w:p>
        </w:tc>
        <w:tc>
          <w:tcPr>
            <w:tcW w:w="1139" w:type="dxa"/>
            <w:vAlign w:val="center"/>
          </w:tcPr>
          <w:p>
            <w:pPr>
              <w:pStyle w:val="100"/>
              <w:widowControl w:val="0"/>
              <w:bidi w:val="0"/>
              <w:adjustRightInd w:val="0"/>
              <w:snapToGrid w:val="0"/>
            </w:pPr>
            <w:r>
              <w:t>≤3.0</w:t>
            </w:r>
          </w:p>
        </w:tc>
        <w:tc>
          <w:tcPr>
            <w:tcW w:w="1044" w:type="dxa"/>
            <w:vAlign w:val="center"/>
          </w:tcPr>
          <w:p>
            <w:pPr>
              <w:pStyle w:val="100"/>
              <w:widowControl w:val="0"/>
              <w:bidi w:val="0"/>
              <w:adjustRightInd w:val="0"/>
              <w:snapToGrid w:val="0"/>
            </w:pPr>
            <w:r>
              <w:t>≤3.0</w:t>
            </w:r>
          </w:p>
        </w:tc>
        <w:tc>
          <w:tcPr>
            <w:tcW w:w="915" w:type="dxa"/>
            <w:vAlign w:val="center"/>
          </w:tcPr>
          <w:p>
            <w:pPr>
              <w:pStyle w:val="100"/>
              <w:widowControl w:val="0"/>
              <w:bidi w:val="0"/>
              <w:adjustRightInd w:val="0"/>
              <w:snapToGrid w:val="0"/>
            </w:pPr>
            <w:r>
              <w:t>≤3.0</w:t>
            </w:r>
          </w:p>
        </w:tc>
        <w:tc>
          <w:tcPr>
            <w:tcW w:w="1557" w:type="dxa"/>
            <w:vAlign w:val="center"/>
          </w:tcPr>
          <w:p>
            <w:pPr>
              <w:pStyle w:val="100"/>
              <w:widowControl w:val="0"/>
              <w:bidi w:val="0"/>
              <w:adjustRightInd w:val="0"/>
              <w:snapToGrid w:val="0"/>
            </w:pPr>
            <w:r>
              <w:t>≤100</w:t>
            </w:r>
          </w:p>
        </w:tc>
        <w:tc>
          <w:tcPr>
            <w:tcW w:w="1243" w:type="dxa"/>
            <w:vAlign w:val="center"/>
          </w:tcPr>
          <w:p>
            <w:pPr>
              <w:pStyle w:val="100"/>
              <w:widowControl w:val="0"/>
              <w:bidi w:val="0"/>
              <w:adjustRightInd w:val="0"/>
              <w:snapToGrid w:val="0"/>
            </w:pPr>
            <w:r>
              <w:t>&gt;100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39" w:type="dxa"/>
            <w:vAlign w:val="center"/>
          </w:tcPr>
          <w:p>
            <w:pPr>
              <w:pStyle w:val="100"/>
              <w:widowControl w:val="0"/>
              <w:bidi w:val="0"/>
              <w:adjustRightInd w:val="0"/>
              <w:snapToGrid w:val="0"/>
            </w:pPr>
            <w:r>
              <w:t>23</w:t>
            </w:r>
          </w:p>
        </w:tc>
        <w:tc>
          <w:tcPr>
            <w:tcW w:w="1722" w:type="dxa"/>
            <w:vAlign w:val="center"/>
          </w:tcPr>
          <w:p>
            <w:pPr>
              <w:pStyle w:val="100"/>
              <w:widowControl w:val="0"/>
              <w:bidi w:val="0"/>
              <w:adjustRightInd w:val="0"/>
              <w:snapToGrid w:val="0"/>
            </w:pPr>
            <w:r>
              <w:rPr>
                <w:rFonts w:hint="eastAsia"/>
              </w:rPr>
              <w:t>细菌总数（</w:t>
            </w:r>
            <w:r>
              <w:t>CFU/mL</w:t>
            </w:r>
            <w:r>
              <w:rPr>
                <w:rFonts w:hint="eastAsia"/>
              </w:rPr>
              <w:t>）</w:t>
            </w:r>
          </w:p>
        </w:tc>
        <w:tc>
          <w:tcPr>
            <w:tcW w:w="1139" w:type="dxa"/>
            <w:vAlign w:val="center"/>
          </w:tcPr>
          <w:p>
            <w:pPr>
              <w:pStyle w:val="100"/>
              <w:widowControl w:val="0"/>
              <w:bidi w:val="0"/>
              <w:adjustRightInd w:val="0"/>
              <w:snapToGrid w:val="0"/>
            </w:pPr>
            <w:r>
              <w:t>≤100</w:t>
            </w:r>
          </w:p>
        </w:tc>
        <w:tc>
          <w:tcPr>
            <w:tcW w:w="1044" w:type="dxa"/>
            <w:vAlign w:val="center"/>
          </w:tcPr>
          <w:p>
            <w:pPr>
              <w:pStyle w:val="100"/>
              <w:widowControl w:val="0"/>
              <w:bidi w:val="0"/>
              <w:adjustRightInd w:val="0"/>
              <w:snapToGrid w:val="0"/>
            </w:pPr>
            <w:r>
              <w:t>≤100</w:t>
            </w:r>
          </w:p>
        </w:tc>
        <w:tc>
          <w:tcPr>
            <w:tcW w:w="915" w:type="dxa"/>
            <w:vAlign w:val="center"/>
          </w:tcPr>
          <w:p>
            <w:pPr>
              <w:pStyle w:val="100"/>
              <w:widowControl w:val="0"/>
              <w:bidi w:val="0"/>
              <w:adjustRightInd w:val="0"/>
              <w:snapToGrid w:val="0"/>
            </w:pPr>
            <w:r>
              <w:t>≤100</w:t>
            </w:r>
          </w:p>
        </w:tc>
        <w:tc>
          <w:tcPr>
            <w:tcW w:w="1557" w:type="dxa"/>
            <w:vAlign w:val="center"/>
          </w:tcPr>
          <w:p>
            <w:pPr>
              <w:pStyle w:val="100"/>
              <w:widowControl w:val="0"/>
              <w:bidi w:val="0"/>
              <w:adjustRightInd w:val="0"/>
              <w:snapToGrid w:val="0"/>
            </w:pPr>
            <w:r>
              <w:t>≤1000</w:t>
            </w:r>
          </w:p>
        </w:tc>
        <w:tc>
          <w:tcPr>
            <w:tcW w:w="1243" w:type="dxa"/>
            <w:vAlign w:val="center"/>
          </w:tcPr>
          <w:p>
            <w:pPr>
              <w:pStyle w:val="100"/>
              <w:widowControl w:val="0"/>
              <w:bidi w:val="0"/>
              <w:adjustRightInd w:val="0"/>
              <w:snapToGrid w:val="0"/>
            </w:pPr>
            <w:r>
              <w:t>&gt;1000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39" w:type="dxa"/>
            <w:vAlign w:val="center"/>
          </w:tcPr>
          <w:p>
            <w:pPr>
              <w:pStyle w:val="100"/>
              <w:widowControl w:val="0"/>
              <w:bidi w:val="0"/>
              <w:adjustRightInd w:val="0"/>
              <w:snapToGrid w:val="0"/>
            </w:pPr>
            <w:r>
              <w:t>24</w:t>
            </w:r>
          </w:p>
        </w:tc>
        <w:tc>
          <w:tcPr>
            <w:tcW w:w="1722" w:type="dxa"/>
            <w:vAlign w:val="center"/>
          </w:tcPr>
          <w:p>
            <w:pPr>
              <w:pStyle w:val="100"/>
              <w:widowControl w:val="0"/>
              <w:bidi w:val="0"/>
              <w:adjustRightInd w:val="0"/>
              <w:snapToGrid w:val="0"/>
            </w:pPr>
            <w:r>
              <w:rPr>
                <w:rFonts w:hint="eastAsia"/>
              </w:rPr>
              <w:t>甲苯（</w:t>
            </w:r>
            <w:r>
              <w:t>ug/L</w:t>
            </w:r>
            <w:r>
              <w:rPr>
                <w:rFonts w:hint="eastAsia"/>
              </w:rPr>
              <w:t>）</w:t>
            </w:r>
          </w:p>
        </w:tc>
        <w:tc>
          <w:tcPr>
            <w:tcW w:w="1139" w:type="dxa"/>
            <w:vAlign w:val="center"/>
          </w:tcPr>
          <w:p>
            <w:pPr>
              <w:pStyle w:val="100"/>
              <w:widowControl w:val="0"/>
              <w:bidi w:val="0"/>
              <w:adjustRightInd w:val="0"/>
              <w:snapToGrid w:val="0"/>
            </w:pPr>
            <w:r>
              <w:t>≤0.5</w:t>
            </w:r>
          </w:p>
        </w:tc>
        <w:tc>
          <w:tcPr>
            <w:tcW w:w="1044" w:type="dxa"/>
            <w:vAlign w:val="center"/>
          </w:tcPr>
          <w:p>
            <w:pPr>
              <w:pStyle w:val="100"/>
              <w:widowControl w:val="0"/>
              <w:bidi w:val="0"/>
              <w:adjustRightInd w:val="0"/>
              <w:snapToGrid w:val="0"/>
            </w:pPr>
            <w:r>
              <w:t>≤140</w:t>
            </w:r>
          </w:p>
        </w:tc>
        <w:tc>
          <w:tcPr>
            <w:tcW w:w="915" w:type="dxa"/>
            <w:vAlign w:val="center"/>
          </w:tcPr>
          <w:p>
            <w:pPr>
              <w:pStyle w:val="100"/>
              <w:widowControl w:val="0"/>
              <w:bidi w:val="0"/>
              <w:adjustRightInd w:val="0"/>
              <w:snapToGrid w:val="0"/>
            </w:pPr>
            <w:r>
              <w:t>≤700</w:t>
            </w:r>
          </w:p>
        </w:tc>
        <w:tc>
          <w:tcPr>
            <w:tcW w:w="1557" w:type="dxa"/>
            <w:vAlign w:val="center"/>
          </w:tcPr>
          <w:p>
            <w:pPr>
              <w:pStyle w:val="100"/>
              <w:widowControl w:val="0"/>
              <w:bidi w:val="0"/>
              <w:adjustRightInd w:val="0"/>
              <w:snapToGrid w:val="0"/>
            </w:pPr>
            <w:r>
              <w:t>≤1400</w:t>
            </w:r>
          </w:p>
        </w:tc>
        <w:tc>
          <w:tcPr>
            <w:tcW w:w="1243" w:type="dxa"/>
            <w:vAlign w:val="center"/>
          </w:tcPr>
          <w:p>
            <w:pPr>
              <w:pStyle w:val="100"/>
              <w:widowControl w:val="0"/>
              <w:bidi w:val="0"/>
              <w:adjustRightInd w:val="0"/>
              <w:snapToGrid w:val="0"/>
            </w:pPr>
            <w:r>
              <w:t>&gt;1400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9" w:type="dxa"/>
            <w:vAlign w:val="center"/>
          </w:tcPr>
          <w:p>
            <w:pPr>
              <w:pStyle w:val="100"/>
              <w:widowControl w:val="0"/>
              <w:bidi w:val="0"/>
              <w:adjustRightInd w:val="0"/>
              <w:snapToGrid w:val="0"/>
            </w:pPr>
            <w:r>
              <w:t>25</w:t>
            </w:r>
          </w:p>
        </w:tc>
        <w:tc>
          <w:tcPr>
            <w:tcW w:w="1722" w:type="dxa"/>
            <w:vAlign w:val="center"/>
          </w:tcPr>
          <w:p>
            <w:pPr>
              <w:pStyle w:val="100"/>
              <w:widowControl w:val="0"/>
              <w:bidi w:val="0"/>
              <w:adjustRightInd w:val="0"/>
              <w:snapToGrid w:val="0"/>
            </w:pPr>
            <w:r>
              <w:rPr>
                <w:rFonts w:hint="eastAsia"/>
              </w:rPr>
              <w:t>二氯甲烷（</w:t>
            </w:r>
            <w:r>
              <w:t>ug/L</w:t>
            </w:r>
            <w:r>
              <w:rPr>
                <w:rFonts w:hint="eastAsia"/>
              </w:rPr>
              <w:t>）</w:t>
            </w:r>
          </w:p>
        </w:tc>
        <w:tc>
          <w:tcPr>
            <w:tcW w:w="1139" w:type="dxa"/>
            <w:vAlign w:val="center"/>
          </w:tcPr>
          <w:p>
            <w:pPr>
              <w:pStyle w:val="100"/>
              <w:widowControl w:val="0"/>
              <w:bidi w:val="0"/>
              <w:adjustRightInd w:val="0"/>
              <w:snapToGrid w:val="0"/>
            </w:pPr>
            <w:r>
              <w:t>≤1</w:t>
            </w:r>
          </w:p>
        </w:tc>
        <w:tc>
          <w:tcPr>
            <w:tcW w:w="1044" w:type="dxa"/>
            <w:vAlign w:val="center"/>
          </w:tcPr>
          <w:p>
            <w:pPr>
              <w:pStyle w:val="100"/>
              <w:widowControl w:val="0"/>
              <w:bidi w:val="0"/>
              <w:adjustRightInd w:val="0"/>
              <w:snapToGrid w:val="0"/>
            </w:pPr>
            <w:r>
              <w:t>≤2</w:t>
            </w:r>
          </w:p>
        </w:tc>
        <w:tc>
          <w:tcPr>
            <w:tcW w:w="915" w:type="dxa"/>
            <w:vAlign w:val="center"/>
          </w:tcPr>
          <w:p>
            <w:pPr>
              <w:pStyle w:val="100"/>
              <w:widowControl w:val="0"/>
              <w:bidi w:val="0"/>
              <w:adjustRightInd w:val="0"/>
              <w:snapToGrid w:val="0"/>
            </w:pPr>
            <w:r>
              <w:t>≤20</w:t>
            </w:r>
          </w:p>
        </w:tc>
        <w:tc>
          <w:tcPr>
            <w:tcW w:w="1557" w:type="dxa"/>
            <w:vAlign w:val="center"/>
          </w:tcPr>
          <w:p>
            <w:pPr>
              <w:pStyle w:val="100"/>
              <w:widowControl w:val="0"/>
              <w:bidi w:val="0"/>
              <w:adjustRightInd w:val="0"/>
              <w:snapToGrid w:val="0"/>
            </w:pPr>
            <w:r>
              <w:t>≤500</w:t>
            </w:r>
          </w:p>
        </w:tc>
        <w:tc>
          <w:tcPr>
            <w:tcW w:w="1243" w:type="dxa"/>
            <w:vAlign w:val="center"/>
          </w:tcPr>
          <w:p>
            <w:pPr>
              <w:pStyle w:val="100"/>
              <w:widowControl w:val="0"/>
              <w:bidi w:val="0"/>
              <w:adjustRightInd w:val="0"/>
              <w:snapToGrid w:val="0"/>
            </w:pPr>
            <w:r>
              <w:t>&gt;500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39" w:type="dxa"/>
            <w:vAlign w:val="center"/>
          </w:tcPr>
          <w:p>
            <w:pPr>
              <w:pStyle w:val="100"/>
              <w:widowControl w:val="0"/>
              <w:bidi w:val="0"/>
              <w:adjustRightInd w:val="0"/>
              <w:snapToGrid w:val="0"/>
            </w:pPr>
            <w:r>
              <w:t>26</w:t>
            </w:r>
          </w:p>
        </w:tc>
        <w:tc>
          <w:tcPr>
            <w:tcW w:w="1722" w:type="dxa"/>
            <w:vAlign w:val="center"/>
          </w:tcPr>
          <w:p>
            <w:pPr>
              <w:pStyle w:val="100"/>
              <w:widowControl w:val="0"/>
              <w:bidi w:val="0"/>
              <w:adjustRightInd w:val="0"/>
              <w:snapToGrid w:val="0"/>
            </w:pPr>
            <w:r>
              <w:rPr>
                <w:rFonts w:hint="eastAsia"/>
              </w:rPr>
              <w:t>氯苯（</w:t>
            </w:r>
            <w:r>
              <w:t>ug/L</w:t>
            </w:r>
            <w:r>
              <w:rPr>
                <w:rFonts w:hint="eastAsia"/>
              </w:rPr>
              <w:t>）</w:t>
            </w:r>
          </w:p>
        </w:tc>
        <w:tc>
          <w:tcPr>
            <w:tcW w:w="1139" w:type="dxa"/>
            <w:vAlign w:val="center"/>
          </w:tcPr>
          <w:p>
            <w:pPr>
              <w:pStyle w:val="100"/>
              <w:widowControl w:val="0"/>
              <w:bidi w:val="0"/>
              <w:adjustRightInd w:val="0"/>
              <w:snapToGrid w:val="0"/>
            </w:pPr>
            <w:r>
              <w:t>≤0.5</w:t>
            </w:r>
          </w:p>
        </w:tc>
        <w:tc>
          <w:tcPr>
            <w:tcW w:w="1044" w:type="dxa"/>
            <w:vAlign w:val="center"/>
          </w:tcPr>
          <w:p>
            <w:pPr>
              <w:pStyle w:val="100"/>
              <w:widowControl w:val="0"/>
              <w:bidi w:val="0"/>
              <w:adjustRightInd w:val="0"/>
              <w:snapToGrid w:val="0"/>
            </w:pPr>
            <w:r>
              <w:t>≤60</w:t>
            </w:r>
          </w:p>
        </w:tc>
        <w:tc>
          <w:tcPr>
            <w:tcW w:w="915" w:type="dxa"/>
            <w:vAlign w:val="center"/>
          </w:tcPr>
          <w:p>
            <w:pPr>
              <w:pStyle w:val="100"/>
              <w:widowControl w:val="0"/>
              <w:bidi w:val="0"/>
              <w:adjustRightInd w:val="0"/>
              <w:snapToGrid w:val="0"/>
            </w:pPr>
            <w:r>
              <w:t>≤300</w:t>
            </w:r>
          </w:p>
        </w:tc>
        <w:tc>
          <w:tcPr>
            <w:tcW w:w="1557" w:type="dxa"/>
            <w:vAlign w:val="center"/>
          </w:tcPr>
          <w:p>
            <w:pPr>
              <w:pStyle w:val="100"/>
              <w:widowControl w:val="0"/>
              <w:bidi w:val="0"/>
              <w:adjustRightInd w:val="0"/>
              <w:snapToGrid w:val="0"/>
            </w:pPr>
            <w:r>
              <w:t>≤600</w:t>
            </w:r>
          </w:p>
        </w:tc>
        <w:tc>
          <w:tcPr>
            <w:tcW w:w="1243" w:type="dxa"/>
            <w:vAlign w:val="center"/>
          </w:tcPr>
          <w:p>
            <w:pPr>
              <w:pStyle w:val="100"/>
              <w:widowControl w:val="0"/>
              <w:bidi w:val="0"/>
              <w:adjustRightInd w:val="0"/>
              <w:snapToGrid w:val="0"/>
            </w:pPr>
            <w:r>
              <w:t>&gt;600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9" w:type="dxa"/>
            <w:vAlign w:val="center"/>
          </w:tcPr>
          <w:p>
            <w:pPr>
              <w:pStyle w:val="100"/>
              <w:widowControl w:val="0"/>
              <w:bidi w:val="0"/>
              <w:adjustRightInd w:val="0"/>
              <w:snapToGrid w:val="0"/>
            </w:pPr>
            <w:r>
              <w:t>27</w:t>
            </w:r>
          </w:p>
        </w:tc>
        <w:tc>
          <w:tcPr>
            <w:tcW w:w="1722" w:type="dxa"/>
            <w:vAlign w:val="center"/>
          </w:tcPr>
          <w:p>
            <w:pPr>
              <w:pStyle w:val="100"/>
              <w:widowControl w:val="0"/>
              <w:bidi w:val="0"/>
              <w:adjustRightInd w:val="0"/>
              <w:snapToGrid w:val="0"/>
            </w:pPr>
            <w:r>
              <w:rPr>
                <w:rFonts w:hint="eastAsia"/>
              </w:rPr>
              <w:t>二甲苯（总量，</w:t>
            </w:r>
            <w:r>
              <w:t>ug/L</w:t>
            </w:r>
            <w:r>
              <w:rPr>
                <w:rFonts w:hint="eastAsia"/>
              </w:rPr>
              <w:t>）</w:t>
            </w:r>
          </w:p>
        </w:tc>
        <w:tc>
          <w:tcPr>
            <w:tcW w:w="1139" w:type="dxa"/>
            <w:vAlign w:val="center"/>
          </w:tcPr>
          <w:p>
            <w:pPr>
              <w:pStyle w:val="100"/>
              <w:widowControl w:val="0"/>
              <w:bidi w:val="0"/>
              <w:adjustRightInd w:val="0"/>
              <w:snapToGrid w:val="0"/>
            </w:pPr>
            <w:r>
              <w:t>≤0.5</w:t>
            </w:r>
          </w:p>
        </w:tc>
        <w:tc>
          <w:tcPr>
            <w:tcW w:w="1044" w:type="dxa"/>
            <w:vAlign w:val="center"/>
          </w:tcPr>
          <w:p>
            <w:pPr>
              <w:pStyle w:val="100"/>
              <w:widowControl w:val="0"/>
              <w:bidi w:val="0"/>
              <w:adjustRightInd w:val="0"/>
              <w:snapToGrid w:val="0"/>
            </w:pPr>
            <w:r>
              <w:t>≤100</w:t>
            </w:r>
          </w:p>
        </w:tc>
        <w:tc>
          <w:tcPr>
            <w:tcW w:w="915" w:type="dxa"/>
            <w:vAlign w:val="center"/>
          </w:tcPr>
          <w:p>
            <w:pPr>
              <w:pStyle w:val="100"/>
              <w:widowControl w:val="0"/>
              <w:bidi w:val="0"/>
              <w:adjustRightInd w:val="0"/>
              <w:snapToGrid w:val="0"/>
            </w:pPr>
            <w:r>
              <w:t>≤500</w:t>
            </w:r>
          </w:p>
        </w:tc>
        <w:tc>
          <w:tcPr>
            <w:tcW w:w="1557" w:type="dxa"/>
            <w:vAlign w:val="center"/>
          </w:tcPr>
          <w:p>
            <w:pPr>
              <w:pStyle w:val="100"/>
              <w:widowControl w:val="0"/>
              <w:bidi w:val="0"/>
              <w:adjustRightInd w:val="0"/>
              <w:snapToGrid w:val="0"/>
            </w:pPr>
            <w:r>
              <w:t>≤1000</w:t>
            </w:r>
          </w:p>
        </w:tc>
        <w:tc>
          <w:tcPr>
            <w:tcW w:w="1243" w:type="dxa"/>
            <w:vAlign w:val="center"/>
          </w:tcPr>
          <w:p>
            <w:pPr>
              <w:pStyle w:val="100"/>
              <w:widowControl w:val="0"/>
              <w:bidi w:val="0"/>
              <w:adjustRightInd w:val="0"/>
              <w:snapToGrid w:val="0"/>
            </w:pPr>
            <w:r>
              <w:t>&gt;1000</w:t>
            </w:r>
          </w:p>
        </w:tc>
      </w:tr>
    </w:tbl>
    <w:p>
      <w:pPr>
        <w:pStyle w:val="103"/>
        <w:rPr>
          <w:color w:val="FF0000"/>
        </w:rPr>
      </w:pPr>
    </w:p>
    <w:p>
      <w:pPr>
        <w:pStyle w:val="102"/>
      </w:pPr>
      <w:r>
        <w:rPr>
          <w:rFonts w:hint="eastAsia"/>
        </w:rPr>
        <w:t>污染物排放标准</w:t>
      </w:r>
    </w:p>
    <w:p>
      <w:pPr>
        <w:pStyle w:val="104"/>
      </w:pPr>
      <w:r>
        <w:rPr>
          <w:rFonts w:hint="eastAsia"/>
        </w:rPr>
        <w:t>废气排放标准</w:t>
      </w:r>
    </w:p>
    <w:p>
      <w:pPr>
        <w:pStyle w:val="103"/>
        <w:bidi w:val="0"/>
      </w:pPr>
      <w:r>
        <w:rPr>
          <w:rFonts w:hint="eastAsia"/>
        </w:rPr>
        <w:t>本项目印刷产生的非甲烷总烃有组织排放执行《大气污染物综合排放标准》（GB 16297-1996）表2标准（最高允许排放速率按25m进行折算）。</w:t>
      </w:r>
      <w:r>
        <w:t>厂区内无组织排放的非甲烷总烃执行《挥发性有机物无组织排放控制标准（GB37822-2019）表A.1标准、厂区外无组织排放的非甲烷总烃执行《大气污染物综合排放标准》（GB16297-1996）表2排放标准</w:t>
      </w:r>
      <w:r>
        <w:rPr>
          <w:rFonts w:hint="eastAsia"/>
        </w:rPr>
        <w:t>。相关标准限制摘录见表4-5。</w:t>
      </w:r>
    </w:p>
    <w:p>
      <w:pPr>
        <w:pStyle w:val="273"/>
        <w:bidi w:val="0"/>
        <w:rPr>
          <w:rFonts w:hint="eastAsia"/>
        </w:rPr>
      </w:pPr>
      <w:r>
        <w:rPr>
          <w:rFonts w:hint="eastAsia"/>
        </w:rPr>
        <w:t>表4-</w:t>
      </w:r>
      <w:r>
        <w:rPr>
          <w:rFonts w:hint="eastAsia"/>
          <w:lang w:val="en-US" w:eastAsia="zh-CN"/>
        </w:rPr>
        <w:t>5</w:t>
      </w:r>
      <w:r>
        <w:rPr>
          <w:rFonts w:hint="eastAsia"/>
        </w:rPr>
        <w:t xml:space="preserve">  大气污染物有组织排放标准</w:t>
      </w:r>
    </w:p>
    <w:tbl>
      <w:tblPr>
        <w:tblStyle w:val="260"/>
        <w:tblW w:w="84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182"/>
        <w:gridCol w:w="1034"/>
        <w:gridCol w:w="1243"/>
        <w:gridCol w:w="1382"/>
        <w:gridCol w:w="1147"/>
        <w:gridCol w:w="1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50" w:type="dxa"/>
            <w:vMerge w:val="restart"/>
            <w:vAlign w:val="center"/>
          </w:tcPr>
          <w:p>
            <w:pPr>
              <w:pStyle w:val="100"/>
              <w:widowControl w:val="0"/>
              <w:bidi w:val="0"/>
              <w:adjustRightInd w:val="0"/>
              <w:snapToGrid w:val="0"/>
            </w:pPr>
            <w:r>
              <w:rPr>
                <w:rFonts w:hint="eastAsia"/>
              </w:rPr>
              <w:t>序号</w:t>
            </w:r>
          </w:p>
        </w:tc>
        <w:tc>
          <w:tcPr>
            <w:tcW w:w="1182" w:type="dxa"/>
            <w:vMerge w:val="restart"/>
            <w:vAlign w:val="center"/>
          </w:tcPr>
          <w:p>
            <w:pPr>
              <w:pStyle w:val="100"/>
              <w:widowControl w:val="0"/>
              <w:bidi w:val="0"/>
              <w:adjustRightInd w:val="0"/>
              <w:snapToGrid w:val="0"/>
            </w:pPr>
            <w:r>
              <w:rPr>
                <w:rFonts w:hint="eastAsia"/>
              </w:rPr>
              <w:t>有组织排放口编号</w:t>
            </w:r>
          </w:p>
        </w:tc>
        <w:tc>
          <w:tcPr>
            <w:tcW w:w="1034" w:type="dxa"/>
            <w:vMerge w:val="restart"/>
            <w:vAlign w:val="center"/>
          </w:tcPr>
          <w:p>
            <w:pPr>
              <w:pStyle w:val="100"/>
              <w:widowControl w:val="0"/>
              <w:bidi w:val="0"/>
              <w:adjustRightInd w:val="0"/>
              <w:snapToGrid w:val="0"/>
            </w:pPr>
            <w:r>
              <w:rPr>
                <w:rFonts w:hint="eastAsia"/>
              </w:rPr>
              <w:t>排气筒高度m</w:t>
            </w:r>
          </w:p>
        </w:tc>
        <w:tc>
          <w:tcPr>
            <w:tcW w:w="1243" w:type="dxa"/>
            <w:vMerge w:val="restart"/>
            <w:vAlign w:val="center"/>
          </w:tcPr>
          <w:p>
            <w:pPr>
              <w:pStyle w:val="100"/>
              <w:widowControl w:val="0"/>
              <w:bidi w:val="0"/>
              <w:adjustRightInd w:val="0"/>
              <w:snapToGrid w:val="0"/>
            </w:pPr>
            <w:r>
              <w:rPr>
                <w:rFonts w:hint="eastAsia"/>
              </w:rPr>
              <w:t>污染物</w:t>
            </w:r>
          </w:p>
        </w:tc>
        <w:tc>
          <w:tcPr>
            <w:tcW w:w="1382" w:type="dxa"/>
            <w:vMerge w:val="restart"/>
            <w:vAlign w:val="center"/>
          </w:tcPr>
          <w:p>
            <w:pPr>
              <w:pStyle w:val="100"/>
              <w:widowControl w:val="0"/>
              <w:bidi w:val="0"/>
              <w:adjustRightInd w:val="0"/>
              <w:snapToGrid w:val="0"/>
            </w:pPr>
            <w:r>
              <w:rPr>
                <w:rFonts w:hint="eastAsia"/>
              </w:rPr>
              <w:t>最高允许排放浓度</w:t>
            </w:r>
            <w:r>
              <w:t>mg/m3</w:t>
            </w:r>
          </w:p>
        </w:tc>
        <w:tc>
          <w:tcPr>
            <w:tcW w:w="1147" w:type="dxa"/>
            <w:vMerge w:val="restart"/>
            <w:vAlign w:val="center"/>
          </w:tcPr>
          <w:p>
            <w:pPr>
              <w:pStyle w:val="100"/>
              <w:widowControl w:val="0"/>
              <w:bidi w:val="0"/>
              <w:adjustRightInd w:val="0"/>
              <w:snapToGrid w:val="0"/>
            </w:pPr>
            <w:r>
              <w:rPr>
                <w:rFonts w:hint="eastAsia"/>
              </w:rPr>
              <w:t>最高允许排放速率kg</w:t>
            </w:r>
            <w:r>
              <w:t>/h</w:t>
            </w:r>
          </w:p>
        </w:tc>
        <w:tc>
          <w:tcPr>
            <w:tcW w:w="1928" w:type="dxa"/>
            <w:vMerge w:val="restart"/>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50" w:type="dxa"/>
            <w:vMerge w:val="continue"/>
            <w:vAlign w:val="center"/>
          </w:tcPr>
          <w:p>
            <w:pPr>
              <w:pStyle w:val="100"/>
              <w:widowControl w:val="0"/>
              <w:bidi w:val="0"/>
              <w:adjustRightInd w:val="0"/>
              <w:snapToGrid w:val="0"/>
            </w:pPr>
          </w:p>
        </w:tc>
        <w:tc>
          <w:tcPr>
            <w:tcW w:w="1182" w:type="dxa"/>
            <w:vMerge w:val="continue"/>
            <w:vAlign w:val="center"/>
          </w:tcPr>
          <w:p>
            <w:pPr>
              <w:pStyle w:val="100"/>
              <w:widowControl w:val="0"/>
              <w:bidi w:val="0"/>
              <w:adjustRightInd w:val="0"/>
              <w:snapToGrid w:val="0"/>
            </w:pPr>
          </w:p>
        </w:tc>
        <w:tc>
          <w:tcPr>
            <w:tcW w:w="1034" w:type="dxa"/>
            <w:vMerge w:val="continue"/>
            <w:vAlign w:val="center"/>
          </w:tcPr>
          <w:p>
            <w:pPr>
              <w:pStyle w:val="100"/>
              <w:widowControl w:val="0"/>
              <w:bidi w:val="0"/>
              <w:adjustRightInd w:val="0"/>
              <w:snapToGrid w:val="0"/>
            </w:pPr>
          </w:p>
        </w:tc>
        <w:tc>
          <w:tcPr>
            <w:tcW w:w="1243" w:type="dxa"/>
            <w:vMerge w:val="continue"/>
            <w:vAlign w:val="center"/>
          </w:tcPr>
          <w:p>
            <w:pPr>
              <w:pStyle w:val="100"/>
              <w:widowControl w:val="0"/>
              <w:bidi w:val="0"/>
              <w:adjustRightInd w:val="0"/>
              <w:snapToGrid w:val="0"/>
            </w:pPr>
          </w:p>
        </w:tc>
        <w:tc>
          <w:tcPr>
            <w:tcW w:w="1382" w:type="dxa"/>
            <w:vMerge w:val="continue"/>
            <w:vAlign w:val="center"/>
          </w:tcPr>
          <w:p>
            <w:pPr>
              <w:pStyle w:val="100"/>
              <w:widowControl w:val="0"/>
              <w:bidi w:val="0"/>
              <w:adjustRightInd w:val="0"/>
              <w:snapToGrid w:val="0"/>
            </w:pPr>
          </w:p>
        </w:tc>
        <w:tc>
          <w:tcPr>
            <w:tcW w:w="1147" w:type="dxa"/>
            <w:vMerge w:val="continue"/>
            <w:vAlign w:val="center"/>
          </w:tcPr>
          <w:p>
            <w:pPr>
              <w:pStyle w:val="100"/>
              <w:widowControl w:val="0"/>
              <w:bidi w:val="0"/>
              <w:adjustRightInd w:val="0"/>
              <w:snapToGrid w:val="0"/>
            </w:pPr>
          </w:p>
        </w:tc>
        <w:tc>
          <w:tcPr>
            <w:tcW w:w="192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50" w:type="dxa"/>
            <w:vAlign w:val="center"/>
          </w:tcPr>
          <w:p>
            <w:pPr>
              <w:pStyle w:val="100"/>
              <w:widowControl w:val="0"/>
              <w:bidi w:val="0"/>
              <w:adjustRightInd w:val="0"/>
              <w:snapToGrid w:val="0"/>
            </w:pPr>
            <w:r>
              <w:rPr>
                <w:rFonts w:hint="eastAsia"/>
              </w:rPr>
              <w:t>1</w:t>
            </w:r>
          </w:p>
        </w:tc>
        <w:tc>
          <w:tcPr>
            <w:tcW w:w="1182" w:type="dxa"/>
            <w:vAlign w:val="center"/>
          </w:tcPr>
          <w:p>
            <w:pPr>
              <w:pStyle w:val="100"/>
              <w:widowControl w:val="0"/>
              <w:bidi w:val="0"/>
              <w:adjustRightInd w:val="0"/>
              <w:snapToGrid w:val="0"/>
            </w:pPr>
            <w:r>
              <w:rPr>
                <w:rFonts w:hint="eastAsia"/>
              </w:rPr>
              <w:t>DA</w:t>
            </w:r>
            <w:r>
              <w:t>001</w:t>
            </w:r>
          </w:p>
        </w:tc>
        <w:tc>
          <w:tcPr>
            <w:tcW w:w="1034" w:type="dxa"/>
            <w:vAlign w:val="center"/>
          </w:tcPr>
          <w:p>
            <w:pPr>
              <w:pStyle w:val="100"/>
              <w:widowControl w:val="0"/>
              <w:bidi w:val="0"/>
              <w:adjustRightInd w:val="0"/>
              <w:snapToGrid w:val="0"/>
            </w:pPr>
            <w:r>
              <w:rPr>
                <w:rFonts w:hint="eastAsia"/>
              </w:rPr>
              <w:t>1</w:t>
            </w:r>
            <w:r>
              <w:t>5</w:t>
            </w:r>
          </w:p>
        </w:tc>
        <w:tc>
          <w:tcPr>
            <w:tcW w:w="1243" w:type="dxa"/>
            <w:vAlign w:val="center"/>
          </w:tcPr>
          <w:p>
            <w:pPr>
              <w:pStyle w:val="100"/>
              <w:widowControl w:val="0"/>
              <w:bidi w:val="0"/>
              <w:adjustRightInd w:val="0"/>
              <w:snapToGrid w:val="0"/>
            </w:pPr>
            <w:r>
              <w:rPr>
                <w:rFonts w:hint="eastAsia"/>
              </w:rPr>
              <w:t>非甲烷总烃</w:t>
            </w:r>
          </w:p>
        </w:tc>
        <w:tc>
          <w:tcPr>
            <w:tcW w:w="1382" w:type="dxa"/>
            <w:vAlign w:val="center"/>
          </w:tcPr>
          <w:p>
            <w:pPr>
              <w:pStyle w:val="100"/>
              <w:widowControl w:val="0"/>
              <w:bidi w:val="0"/>
              <w:adjustRightInd w:val="0"/>
              <w:snapToGrid w:val="0"/>
            </w:pPr>
            <w:r>
              <w:rPr>
                <w:rFonts w:hint="eastAsia"/>
              </w:rPr>
              <w:t>120</w:t>
            </w:r>
          </w:p>
        </w:tc>
        <w:tc>
          <w:tcPr>
            <w:tcW w:w="1147" w:type="dxa"/>
            <w:vAlign w:val="center"/>
          </w:tcPr>
          <w:p>
            <w:pPr>
              <w:pStyle w:val="100"/>
              <w:widowControl w:val="0"/>
              <w:bidi w:val="0"/>
              <w:adjustRightInd w:val="0"/>
              <w:snapToGrid w:val="0"/>
            </w:pPr>
            <w:r>
              <w:rPr>
                <w:rFonts w:hint="eastAsia"/>
              </w:rPr>
              <w:t>10</w:t>
            </w:r>
          </w:p>
        </w:tc>
        <w:tc>
          <w:tcPr>
            <w:tcW w:w="1928" w:type="dxa"/>
            <w:vAlign w:val="center"/>
          </w:tcPr>
          <w:p>
            <w:pPr>
              <w:pStyle w:val="100"/>
              <w:widowControl w:val="0"/>
              <w:bidi w:val="0"/>
              <w:adjustRightInd w:val="0"/>
              <w:snapToGrid w:val="0"/>
            </w:pPr>
            <w:r>
              <w:rPr>
                <w:rFonts w:hint="eastAsia"/>
              </w:rPr>
              <w:t>《大气污染物综合排放标准》（GB 16297-1996）表2二级标准</w:t>
            </w:r>
          </w:p>
        </w:tc>
      </w:tr>
    </w:tbl>
    <w:p>
      <w:pPr>
        <w:pStyle w:val="134"/>
        <w:jc w:val="both"/>
      </w:pPr>
    </w:p>
    <w:p>
      <w:pPr>
        <w:pStyle w:val="273"/>
        <w:bidi w:val="0"/>
        <w:rPr>
          <w:rFonts w:hint="eastAsia"/>
        </w:rPr>
      </w:pPr>
      <w:r>
        <w:rPr>
          <w:rFonts w:hint="eastAsia"/>
        </w:rPr>
        <w:t>表4-</w:t>
      </w:r>
      <w:r>
        <w:rPr>
          <w:rFonts w:hint="eastAsia"/>
          <w:lang w:val="en-US" w:eastAsia="zh-CN"/>
        </w:rPr>
        <w:t>6</w:t>
      </w:r>
      <w:r>
        <w:rPr>
          <w:rFonts w:hint="eastAsia"/>
        </w:rPr>
        <w:t xml:space="preserve">  大气污染物无组织排放标准</w:t>
      </w:r>
    </w:p>
    <w:tbl>
      <w:tblPr>
        <w:tblStyle w:val="260"/>
        <w:tblW w:w="840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279"/>
        <w:gridCol w:w="1346"/>
        <w:gridCol w:w="1265"/>
        <w:gridCol w:w="1160"/>
        <w:gridCol w:w="24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94" w:type="dxa"/>
            <w:vAlign w:val="center"/>
          </w:tcPr>
          <w:p>
            <w:pPr>
              <w:pStyle w:val="100"/>
              <w:widowControl w:val="0"/>
              <w:bidi w:val="0"/>
              <w:adjustRightInd w:val="0"/>
              <w:snapToGrid w:val="0"/>
            </w:pPr>
            <w:r>
              <w:rPr>
                <w:rFonts w:hint="eastAsia"/>
              </w:rPr>
              <w:t>序号</w:t>
            </w:r>
          </w:p>
        </w:tc>
        <w:tc>
          <w:tcPr>
            <w:tcW w:w="1279" w:type="dxa"/>
            <w:vAlign w:val="center"/>
          </w:tcPr>
          <w:p>
            <w:pPr>
              <w:pStyle w:val="100"/>
              <w:widowControl w:val="0"/>
              <w:bidi w:val="0"/>
              <w:adjustRightInd w:val="0"/>
              <w:snapToGrid w:val="0"/>
            </w:pPr>
            <w:r>
              <w:rPr>
                <w:rFonts w:hint="eastAsia"/>
              </w:rPr>
              <w:t>污染物</w:t>
            </w:r>
          </w:p>
        </w:tc>
        <w:tc>
          <w:tcPr>
            <w:tcW w:w="1346" w:type="dxa"/>
            <w:vAlign w:val="center"/>
          </w:tcPr>
          <w:p>
            <w:pPr>
              <w:pStyle w:val="100"/>
              <w:widowControl w:val="0"/>
              <w:bidi w:val="0"/>
              <w:adjustRightInd w:val="0"/>
              <w:snapToGrid w:val="0"/>
            </w:pPr>
            <w:r>
              <w:rPr>
                <w:rFonts w:hint="eastAsia"/>
              </w:rPr>
              <w:t>监控点</w:t>
            </w:r>
          </w:p>
        </w:tc>
        <w:tc>
          <w:tcPr>
            <w:tcW w:w="1265" w:type="dxa"/>
            <w:vAlign w:val="center"/>
          </w:tcPr>
          <w:p>
            <w:pPr>
              <w:pStyle w:val="100"/>
              <w:widowControl w:val="0"/>
              <w:bidi w:val="0"/>
              <w:adjustRightInd w:val="0"/>
              <w:snapToGrid w:val="0"/>
            </w:pPr>
            <w:r>
              <w:rPr>
                <w:rFonts w:hint="eastAsia"/>
              </w:rPr>
              <w:t>浓度限值</w:t>
            </w:r>
            <w:r>
              <w:t>mg/m3</w:t>
            </w:r>
          </w:p>
        </w:tc>
        <w:tc>
          <w:tcPr>
            <w:tcW w:w="1160" w:type="dxa"/>
            <w:vAlign w:val="center"/>
          </w:tcPr>
          <w:p>
            <w:pPr>
              <w:pStyle w:val="100"/>
              <w:widowControl w:val="0"/>
              <w:bidi w:val="0"/>
              <w:adjustRightInd w:val="0"/>
              <w:snapToGrid w:val="0"/>
            </w:pPr>
            <w:r>
              <w:rPr>
                <w:rFonts w:hint="eastAsia"/>
              </w:rPr>
              <w:t>限值含义</w:t>
            </w:r>
          </w:p>
        </w:tc>
        <w:tc>
          <w:tcPr>
            <w:tcW w:w="2465" w:type="dxa"/>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94" w:type="dxa"/>
            <w:vMerge w:val="restart"/>
            <w:vAlign w:val="center"/>
          </w:tcPr>
          <w:p>
            <w:pPr>
              <w:pStyle w:val="100"/>
              <w:widowControl w:val="0"/>
              <w:bidi w:val="0"/>
              <w:adjustRightInd w:val="0"/>
              <w:snapToGrid w:val="0"/>
            </w:pPr>
            <w:r>
              <w:rPr>
                <w:rFonts w:hint="eastAsia"/>
              </w:rPr>
              <w:t>1</w:t>
            </w:r>
          </w:p>
        </w:tc>
        <w:tc>
          <w:tcPr>
            <w:tcW w:w="1279" w:type="dxa"/>
            <w:vMerge w:val="restart"/>
            <w:vAlign w:val="center"/>
          </w:tcPr>
          <w:p>
            <w:pPr>
              <w:pStyle w:val="100"/>
              <w:widowControl w:val="0"/>
              <w:bidi w:val="0"/>
              <w:adjustRightInd w:val="0"/>
              <w:snapToGrid w:val="0"/>
            </w:pPr>
            <w:r>
              <w:rPr>
                <w:rFonts w:hint="eastAsia"/>
              </w:rPr>
              <w:t>非甲烷总烃</w:t>
            </w:r>
          </w:p>
        </w:tc>
        <w:tc>
          <w:tcPr>
            <w:tcW w:w="1346" w:type="dxa"/>
            <w:vAlign w:val="center"/>
          </w:tcPr>
          <w:p>
            <w:pPr>
              <w:pStyle w:val="100"/>
              <w:widowControl w:val="0"/>
              <w:bidi w:val="0"/>
              <w:adjustRightInd w:val="0"/>
              <w:snapToGrid w:val="0"/>
            </w:pPr>
            <w:r>
              <w:rPr>
                <w:rFonts w:hint="eastAsia"/>
              </w:rPr>
              <w:t>周界外浓度最高点</w:t>
            </w:r>
          </w:p>
        </w:tc>
        <w:tc>
          <w:tcPr>
            <w:tcW w:w="1265" w:type="dxa"/>
            <w:vAlign w:val="center"/>
          </w:tcPr>
          <w:p>
            <w:pPr>
              <w:pStyle w:val="100"/>
              <w:widowControl w:val="0"/>
              <w:bidi w:val="0"/>
              <w:adjustRightInd w:val="0"/>
              <w:snapToGrid w:val="0"/>
            </w:pPr>
            <w:r>
              <w:rPr>
                <w:rFonts w:hint="eastAsia"/>
              </w:rPr>
              <w:t>4</w:t>
            </w:r>
          </w:p>
        </w:tc>
        <w:tc>
          <w:tcPr>
            <w:tcW w:w="1160" w:type="dxa"/>
            <w:vAlign w:val="center"/>
          </w:tcPr>
          <w:p>
            <w:pPr>
              <w:pStyle w:val="100"/>
              <w:widowControl w:val="0"/>
              <w:bidi w:val="0"/>
              <w:adjustRightInd w:val="0"/>
              <w:snapToGrid w:val="0"/>
            </w:pPr>
            <w:r>
              <w:t>监控点处</w:t>
            </w:r>
            <w:r>
              <w:rPr>
                <w:rFonts w:hint="eastAsia"/>
              </w:rPr>
              <w:t>1</w:t>
            </w:r>
            <w:r>
              <w:t>h平均浓度值</w:t>
            </w:r>
          </w:p>
        </w:tc>
        <w:tc>
          <w:tcPr>
            <w:tcW w:w="2465" w:type="dxa"/>
            <w:vAlign w:val="center"/>
          </w:tcPr>
          <w:p>
            <w:pPr>
              <w:pStyle w:val="100"/>
              <w:widowControl w:val="0"/>
              <w:bidi w:val="0"/>
              <w:adjustRightInd w:val="0"/>
              <w:snapToGrid w:val="0"/>
            </w:pPr>
            <w:r>
              <w:rPr>
                <w:rFonts w:hint="eastAsia"/>
              </w:rPr>
              <w:t>《大气污染物综合排放标准》（GB 16297-1996）表2二级标准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94" w:type="dxa"/>
            <w:vMerge w:val="continue"/>
            <w:vAlign w:val="center"/>
          </w:tcPr>
          <w:p>
            <w:pPr>
              <w:pStyle w:val="100"/>
              <w:widowControl w:val="0"/>
              <w:bidi w:val="0"/>
              <w:adjustRightInd w:val="0"/>
              <w:snapToGrid w:val="0"/>
            </w:pPr>
          </w:p>
        </w:tc>
        <w:tc>
          <w:tcPr>
            <w:tcW w:w="1279" w:type="dxa"/>
            <w:vMerge w:val="continue"/>
            <w:vAlign w:val="center"/>
          </w:tcPr>
          <w:p>
            <w:pPr>
              <w:pStyle w:val="100"/>
              <w:widowControl w:val="0"/>
              <w:bidi w:val="0"/>
              <w:adjustRightInd w:val="0"/>
              <w:snapToGrid w:val="0"/>
            </w:pPr>
          </w:p>
        </w:tc>
        <w:tc>
          <w:tcPr>
            <w:tcW w:w="1346" w:type="dxa"/>
            <w:vMerge w:val="restart"/>
            <w:vAlign w:val="center"/>
          </w:tcPr>
          <w:p>
            <w:pPr>
              <w:pStyle w:val="100"/>
              <w:widowControl w:val="0"/>
              <w:bidi w:val="0"/>
              <w:adjustRightInd w:val="0"/>
              <w:snapToGrid w:val="0"/>
            </w:pPr>
            <w:r>
              <w:rPr>
                <w:rFonts w:hint="eastAsia"/>
              </w:rPr>
              <w:t>在厂房外设置监控点</w:t>
            </w:r>
          </w:p>
        </w:tc>
        <w:tc>
          <w:tcPr>
            <w:tcW w:w="1265" w:type="dxa"/>
            <w:vAlign w:val="center"/>
          </w:tcPr>
          <w:p>
            <w:pPr>
              <w:pStyle w:val="100"/>
              <w:widowControl w:val="0"/>
              <w:bidi w:val="0"/>
              <w:adjustRightInd w:val="0"/>
              <w:snapToGrid w:val="0"/>
            </w:pPr>
            <w:r>
              <w:rPr>
                <w:rFonts w:hint="eastAsia"/>
              </w:rPr>
              <w:t>6</w:t>
            </w:r>
          </w:p>
        </w:tc>
        <w:tc>
          <w:tcPr>
            <w:tcW w:w="1160" w:type="dxa"/>
            <w:vAlign w:val="center"/>
          </w:tcPr>
          <w:p>
            <w:pPr>
              <w:pStyle w:val="100"/>
              <w:widowControl w:val="0"/>
              <w:bidi w:val="0"/>
              <w:adjustRightInd w:val="0"/>
              <w:snapToGrid w:val="0"/>
            </w:pPr>
            <w:r>
              <w:rPr>
                <w:rFonts w:hint="eastAsia"/>
              </w:rPr>
              <w:t>监控点处1h平均浓度值</w:t>
            </w:r>
          </w:p>
        </w:tc>
        <w:tc>
          <w:tcPr>
            <w:tcW w:w="2465" w:type="dxa"/>
            <w:vMerge w:val="restart"/>
            <w:vAlign w:val="center"/>
          </w:tcPr>
          <w:p>
            <w:pPr>
              <w:pStyle w:val="100"/>
              <w:widowControl w:val="0"/>
              <w:bidi w:val="0"/>
              <w:adjustRightInd w:val="0"/>
              <w:snapToGrid w:val="0"/>
            </w:pPr>
            <w:r>
              <w:rPr>
                <w:rFonts w:hint="eastAsia"/>
              </w:rPr>
              <w:t>《挥发性有机物无组织排放控制标准》（GB37822-2019）表A</w:t>
            </w: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94" w:type="dxa"/>
            <w:vMerge w:val="continue"/>
            <w:vAlign w:val="center"/>
          </w:tcPr>
          <w:p>
            <w:pPr>
              <w:pStyle w:val="100"/>
              <w:widowControl w:val="0"/>
              <w:bidi w:val="0"/>
              <w:adjustRightInd w:val="0"/>
              <w:snapToGrid w:val="0"/>
            </w:pPr>
          </w:p>
        </w:tc>
        <w:tc>
          <w:tcPr>
            <w:tcW w:w="1279" w:type="dxa"/>
            <w:vMerge w:val="continue"/>
            <w:vAlign w:val="center"/>
          </w:tcPr>
          <w:p>
            <w:pPr>
              <w:pStyle w:val="100"/>
              <w:widowControl w:val="0"/>
              <w:bidi w:val="0"/>
              <w:adjustRightInd w:val="0"/>
              <w:snapToGrid w:val="0"/>
            </w:pPr>
          </w:p>
        </w:tc>
        <w:tc>
          <w:tcPr>
            <w:tcW w:w="1346" w:type="dxa"/>
            <w:vMerge w:val="continue"/>
            <w:vAlign w:val="center"/>
          </w:tcPr>
          <w:p>
            <w:pPr>
              <w:pStyle w:val="100"/>
              <w:widowControl w:val="0"/>
              <w:bidi w:val="0"/>
              <w:adjustRightInd w:val="0"/>
              <w:snapToGrid w:val="0"/>
            </w:pPr>
          </w:p>
        </w:tc>
        <w:tc>
          <w:tcPr>
            <w:tcW w:w="1265" w:type="dxa"/>
            <w:vAlign w:val="center"/>
          </w:tcPr>
          <w:p>
            <w:pPr>
              <w:pStyle w:val="100"/>
              <w:widowControl w:val="0"/>
              <w:bidi w:val="0"/>
              <w:adjustRightInd w:val="0"/>
              <w:snapToGrid w:val="0"/>
            </w:pPr>
            <w:r>
              <w:rPr>
                <w:rFonts w:hint="eastAsia"/>
              </w:rPr>
              <w:t>2</w:t>
            </w:r>
            <w:r>
              <w:t>0</w:t>
            </w:r>
          </w:p>
        </w:tc>
        <w:tc>
          <w:tcPr>
            <w:tcW w:w="1160" w:type="dxa"/>
            <w:vAlign w:val="center"/>
          </w:tcPr>
          <w:p>
            <w:pPr>
              <w:pStyle w:val="100"/>
              <w:widowControl w:val="0"/>
              <w:bidi w:val="0"/>
              <w:adjustRightInd w:val="0"/>
              <w:snapToGrid w:val="0"/>
            </w:pPr>
            <w:r>
              <w:rPr>
                <w:rFonts w:hint="eastAsia"/>
              </w:rPr>
              <w:t>监控点处任意一次浓度值</w:t>
            </w:r>
          </w:p>
        </w:tc>
        <w:tc>
          <w:tcPr>
            <w:tcW w:w="2465" w:type="dxa"/>
            <w:vMerge w:val="continue"/>
            <w:vAlign w:val="center"/>
          </w:tcPr>
          <w:p>
            <w:pPr>
              <w:pStyle w:val="100"/>
              <w:widowControl w:val="0"/>
              <w:bidi w:val="0"/>
              <w:adjustRightInd w:val="0"/>
              <w:snapToGrid w:val="0"/>
            </w:pPr>
          </w:p>
        </w:tc>
      </w:tr>
    </w:tbl>
    <w:p>
      <w:pPr>
        <w:pStyle w:val="104"/>
      </w:pPr>
      <w:r>
        <w:t>废水排放标准</w:t>
      </w:r>
    </w:p>
    <w:p>
      <w:pPr>
        <w:pStyle w:val="103"/>
        <w:bidi w:val="0"/>
      </w:pPr>
      <w:r>
        <w:t>本项目生活污水纳管执行《污水综合排放标准》（GB8978-1996）三级标准，其中氨氮、总磷、总氮参考《污水排入城市下水道水质标准》（</w:t>
      </w:r>
      <w:r>
        <w:rPr>
          <w:rFonts w:hint="eastAsia"/>
        </w:rPr>
        <w:t>GB/T31962-2015</w:t>
      </w:r>
      <w:r>
        <w:t>）</w:t>
      </w:r>
      <w:r>
        <w:rPr>
          <w:rFonts w:hint="eastAsia"/>
        </w:rPr>
        <w:t>表1中B级</w:t>
      </w:r>
      <w:r>
        <w:t>标准。污水处理厂尾水排放执行《城镇污水处理厂污染物排放标准》（GB18918-2002）一级A标准，</w:t>
      </w:r>
      <w:r>
        <w:rPr>
          <w:rFonts w:hint="eastAsia"/>
        </w:rPr>
        <w:t>其中化学需氧量（COD）、氨氮、总氮及总磷执行《太湖地区城镇污水处理厂及重点工业行业主要水污染物排放限值》（DB32/1072-2007）表2标准，从2021年1月1日起执行《太湖地区城镇污水处理厂及重点工业行业主要水污染物排放限值》（DB32/1072-2018）表2太湖地区其他区域内城镇污水处理厂主要水污染物排放限值，相关标准限值见表4-</w:t>
      </w:r>
      <w:r>
        <w:rPr>
          <w:rFonts w:hint="eastAsia"/>
          <w:lang w:val="en-US" w:eastAsia="zh-CN"/>
        </w:rPr>
        <w:t>7</w:t>
      </w:r>
      <w:r>
        <w:rPr>
          <w:rFonts w:hint="eastAsia"/>
        </w:rPr>
        <w:t>。</w:t>
      </w:r>
    </w:p>
    <w:p>
      <w:pPr>
        <w:pStyle w:val="103"/>
        <w:bidi w:val="0"/>
      </w:pPr>
      <w:r>
        <w:rPr>
          <w:rFonts w:hint="eastAsia"/>
        </w:rPr>
        <w:t>根据苏州市委办公室市政府办公室印发《关于高质量推进城乡生活污水治理三年行动计划的实施意见》的通知（苏委发办[2018]77号），苏州特别排放限值待污水处理厂完成提标改造后实行。</w:t>
      </w:r>
      <w:r>
        <w:t>相关标准限值见表4-</w:t>
      </w:r>
      <w:r>
        <w:rPr>
          <w:rFonts w:hint="eastAsia"/>
          <w:lang w:val="en-US" w:eastAsia="zh-CN"/>
        </w:rPr>
        <w:t>8</w:t>
      </w:r>
      <w:r>
        <w:t>。</w:t>
      </w:r>
    </w:p>
    <w:p>
      <w:pPr>
        <w:pStyle w:val="273"/>
        <w:bidi w:val="0"/>
        <w:rPr>
          <w:rFonts w:hint="eastAsia"/>
        </w:rPr>
      </w:pPr>
      <w:r>
        <w:rPr>
          <w:rFonts w:hint="eastAsia"/>
        </w:rPr>
        <w:t>表4-</w:t>
      </w:r>
      <w:r>
        <w:rPr>
          <w:rFonts w:hint="eastAsia"/>
          <w:lang w:val="en-US" w:eastAsia="zh-CN"/>
        </w:rPr>
        <w:t>7</w:t>
      </w:r>
      <w:r>
        <w:rPr>
          <w:rFonts w:hint="eastAsia"/>
        </w:rPr>
        <w:t xml:space="preserve">  项目污水接管标准    单位：mg/L，pH无量纲</w:t>
      </w:r>
    </w:p>
    <w:tbl>
      <w:tblPr>
        <w:tblStyle w:val="260"/>
        <w:tblW w:w="49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630"/>
        <w:gridCol w:w="2183"/>
        <w:gridCol w:w="3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13" w:type="pct"/>
            <w:vAlign w:val="center"/>
          </w:tcPr>
          <w:p>
            <w:pPr>
              <w:pStyle w:val="100"/>
              <w:widowControl w:val="0"/>
              <w:bidi w:val="0"/>
              <w:adjustRightInd w:val="0"/>
              <w:snapToGrid w:val="0"/>
            </w:pPr>
            <w:bookmarkStart w:id="56" w:name="_Hlk8824509"/>
            <w:r>
              <w:rPr>
                <w:rFonts w:hint="eastAsia"/>
              </w:rPr>
              <w:t>序号</w:t>
            </w:r>
          </w:p>
        </w:tc>
        <w:tc>
          <w:tcPr>
            <w:tcW w:w="959" w:type="pct"/>
            <w:vAlign w:val="center"/>
          </w:tcPr>
          <w:p>
            <w:pPr>
              <w:pStyle w:val="100"/>
              <w:widowControl w:val="0"/>
              <w:bidi w:val="0"/>
              <w:adjustRightInd w:val="0"/>
              <w:snapToGrid w:val="0"/>
            </w:pPr>
            <w:r>
              <w:rPr>
                <w:rFonts w:hint="eastAsia"/>
              </w:rPr>
              <w:t>污染物指标</w:t>
            </w:r>
          </w:p>
        </w:tc>
        <w:tc>
          <w:tcPr>
            <w:tcW w:w="1285" w:type="pct"/>
            <w:vAlign w:val="center"/>
          </w:tcPr>
          <w:p>
            <w:pPr>
              <w:pStyle w:val="100"/>
              <w:widowControl w:val="0"/>
              <w:bidi w:val="0"/>
              <w:adjustRightInd w:val="0"/>
              <w:snapToGrid w:val="0"/>
            </w:pPr>
            <w:r>
              <w:rPr>
                <w:rFonts w:hint="eastAsia"/>
              </w:rPr>
              <w:t>标准限值</w:t>
            </w:r>
          </w:p>
        </w:tc>
        <w:tc>
          <w:tcPr>
            <w:tcW w:w="2142" w:type="pct"/>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613" w:type="pct"/>
            <w:vAlign w:val="center"/>
          </w:tcPr>
          <w:p>
            <w:pPr>
              <w:pStyle w:val="100"/>
              <w:widowControl w:val="0"/>
              <w:bidi w:val="0"/>
              <w:adjustRightInd w:val="0"/>
              <w:snapToGrid w:val="0"/>
            </w:pPr>
            <w:r>
              <w:rPr>
                <w:rFonts w:hint="eastAsia"/>
              </w:rPr>
              <w:t>1</w:t>
            </w:r>
          </w:p>
        </w:tc>
        <w:tc>
          <w:tcPr>
            <w:tcW w:w="959" w:type="pct"/>
            <w:vAlign w:val="center"/>
          </w:tcPr>
          <w:p>
            <w:pPr>
              <w:pStyle w:val="100"/>
              <w:widowControl w:val="0"/>
              <w:bidi w:val="0"/>
              <w:adjustRightInd w:val="0"/>
              <w:snapToGrid w:val="0"/>
            </w:pPr>
            <w:r>
              <w:rPr>
                <w:rFonts w:hint="eastAsia"/>
              </w:rPr>
              <w:t>pH</w:t>
            </w:r>
          </w:p>
        </w:tc>
        <w:tc>
          <w:tcPr>
            <w:tcW w:w="1285" w:type="pct"/>
            <w:vAlign w:val="center"/>
          </w:tcPr>
          <w:p>
            <w:pPr>
              <w:pStyle w:val="100"/>
              <w:widowControl w:val="0"/>
              <w:bidi w:val="0"/>
              <w:adjustRightInd w:val="0"/>
              <w:snapToGrid w:val="0"/>
            </w:pPr>
            <w:r>
              <w:rPr>
                <w:rFonts w:hint="eastAsia"/>
              </w:rPr>
              <w:t>6~9</w:t>
            </w:r>
          </w:p>
        </w:tc>
        <w:tc>
          <w:tcPr>
            <w:tcW w:w="2142" w:type="pct"/>
            <w:vMerge w:val="restart"/>
            <w:vAlign w:val="center"/>
          </w:tcPr>
          <w:p>
            <w:pPr>
              <w:pStyle w:val="100"/>
              <w:widowControl w:val="0"/>
              <w:bidi w:val="0"/>
              <w:adjustRightInd w:val="0"/>
              <w:snapToGrid w:val="0"/>
            </w:pPr>
            <w:r>
              <w:rPr>
                <w:rFonts w:hint="eastAsia"/>
              </w:rPr>
              <w:t>《污水综合排放标准》（GB8978-1996）表4三级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13" w:type="pct"/>
            <w:vAlign w:val="center"/>
          </w:tcPr>
          <w:p>
            <w:pPr>
              <w:pStyle w:val="100"/>
              <w:widowControl w:val="0"/>
              <w:bidi w:val="0"/>
              <w:adjustRightInd w:val="0"/>
              <w:snapToGrid w:val="0"/>
            </w:pPr>
            <w:r>
              <w:rPr>
                <w:rFonts w:hint="eastAsia"/>
              </w:rPr>
              <w:t>2</w:t>
            </w:r>
          </w:p>
        </w:tc>
        <w:tc>
          <w:tcPr>
            <w:tcW w:w="959" w:type="pct"/>
            <w:vAlign w:val="center"/>
          </w:tcPr>
          <w:p>
            <w:pPr>
              <w:pStyle w:val="100"/>
              <w:widowControl w:val="0"/>
              <w:bidi w:val="0"/>
              <w:adjustRightInd w:val="0"/>
              <w:snapToGrid w:val="0"/>
            </w:pPr>
            <w:r>
              <w:rPr>
                <w:rFonts w:hint="eastAsia"/>
              </w:rPr>
              <w:t>COD</w:t>
            </w:r>
          </w:p>
        </w:tc>
        <w:tc>
          <w:tcPr>
            <w:tcW w:w="1285" w:type="pct"/>
            <w:vAlign w:val="center"/>
          </w:tcPr>
          <w:p>
            <w:pPr>
              <w:pStyle w:val="100"/>
              <w:widowControl w:val="0"/>
              <w:bidi w:val="0"/>
              <w:adjustRightInd w:val="0"/>
              <w:snapToGrid w:val="0"/>
            </w:pPr>
            <w:r>
              <w:rPr>
                <w:rFonts w:hint="eastAsia"/>
              </w:rPr>
              <w:t>500</w:t>
            </w:r>
          </w:p>
        </w:tc>
        <w:tc>
          <w:tcPr>
            <w:tcW w:w="2142"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13" w:type="pct"/>
            <w:vAlign w:val="center"/>
          </w:tcPr>
          <w:p>
            <w:pPr>
              <w:pStyle w:val="100"/>
              <w:widowControl w:val="0"/>
              <w:bidi w:val="0"/>
              <w:adjustRightInd w:val="0"/>
              <w:snapToGrid w:val="0"/>
            </w:pPr>
            <w:r>
              <w:rPr>
                <w:rFonts w:hint="eastAsia"/>
              </w:rPr>
              <w:t>3</w:t>
            </w:r>
          </w:p>
        </w:tc>
        <w:tc>
          <w:tcPr>
            <w:tcW w:w="959" w:type="pct"/>
            <w:vAlign w:val="center"/>
          </w:tcPr>
          <w:p>
            <w:pPr>
              <w:pStyle w:val="100"/>
              <w:widowControl w:val="0"/>
              <w:bidi w:val="0"/>
              <w:adjustRightInd w:val="0"/>
              <w:snapToGrid w:val="0"/>
            </w:pPr>
            <w:r>
              <w:rPr>
                <w:rFonts w:hint="eastAsia"/>
              </w:rPr>
              <w:t>SS</w:t>
            </w:r>
          </w:p>
        </w:tc>
        <w:tc>
          <w:tcPr>
            <w:tcW w:w="1285" w:type="pct"/>
            <w:vAlign w:val="center"/>
          </w:tcPr>
          <w:p>
            <w:pPr>
              <w:pStyle w:val="100"/>
              <w:widowControl w:val="0"/>
              <w:bidi w:val="0"/>
              <w:adjustRightInd w:val="0"/>
              <w:snapToGrid w:val="0"/>
            </w:pPr>
            <w:r>
              <w:rPr>
                <w:rFonts w:hint="eastAsia"/>
              </w:rPr>
              <w:t>400</w:t>
            </w:r>
          </w:p>
        </w:tc>
        <w:tc>
          <w:tcPr>
            <w:tcW w:w="2142"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13" w:type="pct"/>
            <w:vAlign w:val="center"/>
          </w:tcPr>
          <w:p>
            <w:pPr>
              <w:pStyle w:val="100"/>
              <w:widowControl w:val="0"/>
              <w:bidi w:val="0"/>
              <w:adjustRightInd w:val="0"/>
              <w:snapToGrid w:val="0"/>
            </w:pPr>
            <w:r>
              <w:rPr>
                <w:rFonts w:hint="eastAsia"/>
              </w:rPr>
              <w:t>4</w:t>
            </w:r>
          </w:p>
        </w:tc>
        <w:tc>
          <w:tcPr>
            <w:tcW w:w="959" w:type="pct"/>
            <w:vAlign w:val="center"/>
          </w:tcPr>
          <w:p>
            <w:pPr>
              <w:pStyle w:val="100"/>
              <w:widowControl w:val="0"/>
              <w:bidi w:val="0"/>
              <w:adjustRightInd w:val="0"/>
              <w:snapToGrid w:val="0"/>
            </w:pPr>
            <w:r>
              <w:rPr>
                <w:rFonts w:hint="eastAsia"/>
              </w:rPr>
              <w:t>氨氮</w:t>
            </w:r>
          </w:p>
        </w:tc>
        <w:tc>
          <w:tcPr>
            <w:tcW w:w="1285" w:type="pct"/>
            <w:vAlign w:val="center"/>
          </w:tcPr>
          <w:p>
            <w:pPr>
              <w:pStyle w:val="100"/>
              <w:widowControl w:val="0"/>
              <w:bidi w:val="0"/>
              <w:adjustRightInd w:val="0"/>
              <w:snapToGrid w:val="0"/>
            </w:pPr>
            <w:r>
              <w:rPr>
                <w:rFonts w:hint="eastAsia"/>
              </w:rPr>
              <w:t>45</w:t>
            </w:r>
          </w:p>
        </w:tc>
        <w:tc>
          <w:tcPr>
            <w:tcW w:w="2142" w:type="pct"/>
            <w:vMerge w:val="restart"/>
            <w:vAlign w:val="center"/>
          </w:tcPr>
          <w:p>
            <w:pPr>
              <w:pStyle w:val="100"/>
              <w:widowControl w:val="0"/>
              <w:bidi w:val="0"/>
              <w:adjustRightInd w:val="0"/>
              <w:snapToGrid w:val="0"/>
            </w:pPr>
            <w:r>
              <w:rPr>
                <w:rFonts w:hint="eastAsia"/>
              </w:rPr>
              <w:t>《污水排入城市下水道水质标准》（GB/T31962-2015）表1 B级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13" w:type="pct"/>
            <w:vAlign w:val="center"/>
          </w:tcPr>
          <w:p>
            <w:pPr>
              <w:pStyle w:val="100"/>
              <w:widowControl w:val="0"/>
              <w:bidi w:val="0"/>
              <w:adjustRightInd w:val="0"/>
              <w:snapToGrid w:val="0"/>
            </w:pPr>
            <w:r>
              <w:rPr>
                <w:rFonts w:hint="eastAsia"/>
              </w:rPr>
              <w:t>5</w:t>
            </w:r>
          </w:p>
        </w:tc>
        <w:tc>
          <w:tcPr>
            <w:tcW w:w="959" w:type="pct"/>
            <w:vAlign w:val="center"/>
          </w:tcPr>
          <w:p>
            <w:pPr>
              <w:pStyle w:val="100"/>
              <w:widowControl w:val="0"/>
              <w:bidi w:val="0"/>
              <w:adjustRightInd w:val="0"/>
              <w:snapToGrid w:val="0"/>
            </w:pPr>
            <w:r>
              <w:rPr>
                <w:rFonts w:hint="eastAsia"/>
              </w:rPr>
              <w:t>总氮</w:t>
            </w:r>
          </w:p>
        </w:tc>
        <w:tc>
          <w:tcPr>
            <w:tcW w:w="1285" w:type="pct"/>
            <w:vAlign w:val="center"/>
          </w:tcPr>
          <w:p>
            <w:pPr>
              <w:pStyle w:val="100"/>
              <w:widowControl w:val="0"/>
              <w:bidi w:val="0"/>
              <w:adjustRightInd w:val="0"/>
              <w:snapToGrid w:val="0"/>
            </w:pPr>
            <w:r>
              <w:rPr>
                <w:rFonts w:hint="eastAsia"/>
              </w:rPr>
              <w:t>70</w:t>
            </w:r>
          </w:p>
        </w:tc>
        <w:tc>
          <w:tcPr>
            <w:tcW w:w="2142"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13" w:type="pct"/>
            <w:vAlign w:val="center"/>
          </w:tcPr>
          <w:p>
            <w:pPr>
              <w:pStyle w:val="100"/>
              <w:widowControl w:val="0"/>
              <w:bidi w:val="0"/>
              <w:adjustRightInd w:val="0"/>
              <w:snapToGrid w:val="0"/>
            </w:pPr>
            <w:r>
              <w:rPr>
                <w:rFonts w:hint="eastAsia"/>
              </w:rPr>
              <w:t>6</w:t>
            </w:r>
          </w:p>
        </w:tc>
        <w:tc>
          <w:tcPr>
            <w:tcW w:w="959" w:type="pct"/>
            <w:vAlign w:val="center"/>
          </w:tcPr>
          <w:p>
            <w:pPr>
              <w:pStyle w:val="100"/>
              <w:widowControl w:val="0"/>
              <w:bidi w:val="0"/>
              <w:adjustRightInd w:val="0"/>
              <w:snapToGrid w:val="0"/>
            </w:pPr>
            <w:r>
              <w:rPr>
                <w:rFonts w:hint="eastAsia"/>
              </w:rPr>
              <w:t>总磷</w:t>
            </w:r>
          </w:p>
        </w:tc>
        <w:tc>
          <w:tcPr>
            <w:tcW w:w="1285" w:type="pct"/>
            <w:vAlign w:val="center"/>
          </w:tcPr>
          <w:p>
            <w:pPr>
              <w:pStyle w:val="100"/>
              <w:widowControl w:val="0"/>
              <w:bidi w:val="0"/>
              <w:adjustRightInd w:val="0"/>
              <w:snapToGrid w:val="0"/>
            </w:pPr>
            <w:r>
              <w:rPr>
                <w:rFonts w:hint="eastAsia"/>
              </w:rPr>
              <w:t>8</w:t>
            </w:r>
          </w:p>
        </w:tc>
        <w:tc>
          <w:tcPr>
            <w:tcW w:w="2142" w:type="pct"/>
            <w:vMerge w:val="continue"/>
            <w:vAlign w:val="center"/>
          </w:tcPr>
          <w:p>
            <w:pPr>
              <w:pStyle w:val="100"/>
              <w:widowControl w:val="0"/>
              <w:bidi w:val="0"/>
              <w:adjustRightInd w:val="0"/>
              <w:snapToGrid w:val="0"/>
            </w:pPr>
          </w:p>
        </w:tc>
      </w:tr>
      <w:bookmarkEnd w:id="56"/>
    </w:tbl>
    <w:p>
      <w:pPr>
        <w:pStyle w:val="273"/>
        <w:bidi w:val="0"/>
        <w:rPr>
          <w:rFonts w:hint="eastAsia"/>
        </w:rPr>
      </w:pPr>
      <w:r>
        <w:rPr>
          <w:rFonts w:hint="eastAsia"/>
        </w:rPr>
        <w:t>表4-</w:t>
      </w:r>
      <w:r>
        <w:rPr>
          <w:rFonts w:hint="eastAsia"/>
          <w:lang w:val="en-US" w:eastAsia="zh-CN"/>
        </w:rPr>
        <w:t>8</w:t>
      </w:r>
      <w:r>
        <w:rPr>
          <w:rFonts w:hint="eastAsia"/>
        </w:rPr>
        <w:t xml:space="preserve">  污水厂尾水排放标准    单位：mg/L，pH无量纲</w:t>
      </w:r>
    </w:p>
    <w:tbl>
      <w:tblPr>
        <w:tblStyle w:val="260"/>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1539"/>
        <w:gridCol w:w="2062"/>
        <w:gridCol w:w="3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序号</w:t>
            </w:r>
          </w:p>
        </w:tc>
        <w:tc>
          <w:tcPr>
            <w:tcW w:w="904" w:type="pct"/>
            <w:vAlign w:val="center"/>
          </w:tcPr>
          <w:p>
            <w:pPr>
              <w:pStyle w:val="100"/>
              <w:widowControl w:val="0"/>
              <w:bidi w:val="0"/>
              <w:adjustRightInd w:val="0"/>
              <w:snapToGrid w:val="0"/>
            </w:pPr>
            <w:r>
              <w:rPr>
                <w:rFonts w:hint="eastAsia"/>
              </w:rPr>
              <w:t>污染物指标</w:t>
            </w:r>
          </w:p>
        </w:tc>
        <w:tc>
          <w:tcPr>
            <w:tcW w:w="1211" w:type="pct"/>
            <w:vAlign w:val="center"/>
          </w:tcPr>
          <w:p>
            <w:pPr>
              <w:pStyle w:val="100"/>
              <w:widowControl w:val="0"/>
              <w:bidi w:val="0"/>
              <w:adjustRightInd w:val="0"/>
              <w:snapToGrid w:val="0"/>
            </w:pPr>
            <w:r>
              <w:rPr>
                <w:rFonts w:hint="eastAsia"/>
              </w:rPr>
              <w:t>标准限值</w:t>
            </w:r>
          </w:p>
        </w:tc>
        <w:tc>
          <w:tcPr>
            <w:tcW w:w="2019" w:type="pct"/>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1</w:t>
            </w:r>
          </w:p>
        </w:tc>
        <w:tc>
          <w:tcPr>
            <w:tcW w:w="904" w:type="pct"/>
            <w:vAlign w:val="center"/>
          </w:tcPr>
          <w:p>
            <w:pPr>
              <w:pStyle w:val="100"/>
              <w:widowControl w:val="0"/>
              <w:bidi w:val="0"/>
              <w:adjustRightInd w:val="0"/>
              <w:snapToGrid w:val="0"/>
            </w:pPr>
            <w:r>
              <w:rPr>
                <w:rFonts w:hint="eastAsia"/>
              </w:rPr>
              <w:t>p</w:t>
            </w:r>
            <w:r>
              <w:t>H</w:t>
            </w:r>
          </w:p>
        </w:tc>
        <w:tc>
          <w:tcPr>
            <w:tcW w:w="1211" w:type="pct"/>
            <w:vAlign w:val="center"/>
          </w:tcPr>
          <w:p>
            <w:pPr>
              <w:pStyle w:val="100"/>
              <w:widowControl w:val="0"/>
              <w:bidi w:val="0"/>
              <w:adjustRightInd w:val="0"/>
              <w:snapToGrid w:val="0"/>
            </w:pPr>
            <w:r>
              <w:rPr>
                <w:rFonts w:hint="eastAsia"/>
              </w:rPr>
              <w:t>6~</w:t>
            </w:r>
            <w:r>
              <w:t>9</w:t>
            </w:r>
          </w:p>
        </w:tc>
        <w:tc>
          <w:tcPr>
            <w:tcW w:w="2019" w:type="pct"/>
            <w:vMerge w:val="restart"/>
            <w:vAlign w:val="center"/>
          </w:tcPr>
          <w:p>
            <w:pPr>
              <w:pStyle w:val="100"/>
              <w:widowControl w:val="0"/>
              <w:bidi w:val="0"/>
              <w:adjustRightInd w:val="0"/>
              <w:snapToGrid w:val="0"/>
            </w:pPr>
            <w:r>
              <w:rPr>
                <w:rFonts w:hint="eastAsia"/>
              </w:rPr>
              <w:t>《城镇污水处理厂污染物排放标准》（GB18918-2002）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2</w:t>
            </w:r>
          </w:p>
        </w:tc>
        <w:tc>
          <w:tcPr>
            <w:tcW w:w="904" w:type="pct"/>
            <w:vAlign w:val="center"/>
          </w:tcPr>
          <w:p>
            <w:pPr>
              <w:pStyle w:val="100"/>
              <w:widowControl w:val="0"/>
              <w:bidi w:val="0"/>
              <w:adjustRightInd w:val="0"/>
              <w:snapToGrid w:val="0"/>
            </w:pPr>
            <w:r>
              <w:rPr>
                <w:rFonts w:hint="eastAsia"/>
              </w:rPr>
              <w:t>SS</w:t>
            </w:r>
          </w:p>
        </w:tc>
        <w:tc>
          <w:tcPr>
            <w:tcW w:w="1211" w:type="pct"/>
            <w:vAlign w:val="center"/>
          </w:tcPr>
          <w:p>
            <w:pPr>
              <w:pStyle w:val="100"/>
              <w:widowControl w:val="0"/>
              <w:bidi w:val="0"/>
              <w:adjustRightInd w:val="0"/>
              <w:snapToGrid w:val="0"/>
            </w:pPr>
            <w:r>
              <w:rPr>
                <w:rFonts w:hint="eastAsia"/>
              </w:rPr>
              <w:t>1</w:t>
            </w:r>
            <w:r>
              <w:t>0</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64" w:type="pct"/>
            <w:vAlign w:val="center"/>
          </w:tcPr>
          <w:p>
            <w:pPr>
              <w:pStyle w:val="100"/>
              <w:widowControl w:val="0"/>
              <w:bidi w:val="0"/>
              <w:adjustRightInd w:val="0"/>
              <w:snapToGrid w:val="0"/>
            </w:pPr>
            <w:r>
              <w:rPr>
                <w:rFonts w:hint="eastAsia"/>
              </w:rPr>
              <w:t>3</w:t>
            </w:r>
          </w:p>
        </w:tc>
        <w:tc>
          <w:tcPr>
            <w:tcW w:w="904" w:type="pct"/>
            <w:vAlign w:val="center"/>
          </w:tcPr>
          <w:p>
            <w:pPr>
              <w:pStyle w:val="100"/>
              <w:widowControl w:val="0"/>
              <w:bidi w:val="0"/>
              <w:adjustRightInd w:val="0"/>
              <w:snapToGrid w:val="0"/>
            </w:pPr>
            <w:r>
              <w:rPr>
                <w:rFonts w:hint="eastAsia"/>
              </w:rPr>
              <w:t>COD</w:t>
            </w:r>
          </w:p>
        </w:tc>
        <w:tc>
          <w:tcPr>
            <w:tcW w:w="1211" w:type="pct"/>
            <w:vAlign w:val="center"/>
          </w:tcPr>
          <w:p>
            <w:pPr>
              <w:pStyle w:val="100"/>
              <w:widowControl w:val="0"/>
              <w:bidi w:val="0"/>
              <w:adjustRightInd w:val="0"/>
              <w:snapToGrid w:val="0"/>
            </w:pPr>
            <w:r>
              <w:rPr>
                <w:rFonts w:hint="eastAsia"/>
              </w:rPr>
              <w:t>50</w:t>
            </w:r>
          </w:p>
        </w:tc>
        <w:tc>
          <w:tcPr>
            <w:tcW w:w="2019" w:type="pct"/>
            <w:vMerge w:val="restart"/>
            <w:vAlign w:val="center"/>
          </w:tcPr>
          <w:p>
            <w:pPr>
              <w:pStyle w:val="100"/>
              <w:widowControl w:val="0"/>
              <w:bidi w:val="0"/>
              <w:adjustRightInd w:val="0"/>
              <w:snapToGrid w:val="0"/>
            </w:pPr>
            <w:r>
              <w:rPr>
                <w:rFonts w:hint="eastAsia"/>
              </w:rPr>
              <w:t>《污水综合排放标准》（GB8978-1996）表4三级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4</w:t>
            </w:r>
          </w:p>
        </w:tc>
        <w:tc>
          <w:tcPr>
            <w:tcW w:w="904" w:type="pct"/>
            <w:vAlign w:val="center"/>
          </w:tcPr>
          <w:p>
            <w:pPr>
              <w:pStyle w:val="100"/>
              <w:widowControl w:val="0"/>
              <w:bidi w:val="0"/>
              <w:adjustRightInd w:val="0"/>
              <w:snapToGrid w:val="0"/>
            </w:pPr>
            <w:r>
              <w:rPr>
                <w:rFonts w:hint="eastAsia"/>
              </w:rPr>
              <w:t>氨氮</w:t>
            </w:r>
          </w:p>
        </w:tc>
        <w:tc>
          <w:tcPr>
            <w:tcW w:w="1211" w:type="pct"/>
            <w:vAlign w:val="center"/>
          </w:tcPr>
          <w:p>
            <w:pPr>
              <w:pStyle w:val="100"/>
              <w:widowControl w:val="0"/>
              <w:bidi w:val="0"/>
              <w:adjustRightInd w:val="0"/>
              <w:snapToGrid w:val="0"/>
            </w:pPr>
            <w:r>
              <w:rPr>
                <w:rFonts w:hint="eastAsia"/>
              </w:rPr>
              <w:t>5（8）</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5</w:t>
            </w:r>
          </w:p>
        </w:tc>
        <w:tc>
          <w:tcPr>
            <w:tcW w:w="904" w:type="pct"/>
            <w:vAlign w:val="center"/>
          </w:tcPr>
          <w:p>
            <w:pPr>
              <w:pStyle w:val="100"/>
              <w:widowControl w:val="0"/>
              <w:bidi w:val="0"/>
              <w:adjustRightInd w:val="0"/>
              <w:snapToGrid w:val="0"/>
            </w:pPr>
            <w:r>
              <w:rPr>
                <w:rFonts w:hint="eastAsia"/>
              </w:rPr>
              <w:t>总氮</w:t>
            </w:r>
          </w:p>
        </w:tc>
        <w:tc>
          <w:tcPr>
            <w:tcW w:w="1211" w:type="pct"/>
            <w:vAlign w:val="center"/>
          </w:tcPr>
          <w:p>
            <w:pPr>
              <w:pStyle w:val="100"/>
              <w:widowControl w:val="0"/>
              <w:bidi w:val="0"/>
              <w:adjustRightInd w:val="0"/>
              <w:snapToGrid w:val="0"/>
            </w:pPr>
            <w:r>
              <w:rPr>
                <w:rFonts w:hint="eastAsia"/>
              </w:rPr>
              <w:t>15</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6</w:t>
            </w:r>
          </w:p>
        </w:tc>
        <w:tc>
          <w:tcPr>
            <w:tcW w:w="904" w:type="pct"/>
            <w:vAlign w:val="center"/>
          </w:tcPr>
          <w:p>
            <w:pPr>
              <w:pStyle w:val="100"/>
              <w:widowControl w:val="0"/>
              <w:bidi w:val="0"/>
              <w:adjustRightInd w:val="0"/>
              <w:snapToGrid w:val="0"/>
            </w:pPr>
            <w:r>
              <w:rPr>
                <w:rFonts w:hint="eastAsia"/>
              </w:rPr>
              <w:t>总磷</w:t>
            </w:r>
          </w:p>
        </w:tc>
        <w:tc>
          <w:tcPr>
            <w:tcW w:w="1211" w:type="pct"/>
            <w:vAlign w:val="center"/>
          </w:tcPr>
          <w:p>
            <w:pPr>
              <w:pStyle w:val="100"/>
              <w:widowControl w:val="0"/>
              <w:bidi w:val="0"/>
              <w:adjustRightInd w:val="0"/>
              <w:snapToGrid w:val="0"/>
            </w:pPr>
            <w:r>
              <w:rPr>
                <w:rFonts w:hint="eastAsia"/>
              </w:rPr>
              <w:t>0.5</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7</w:t>
            </w:r>
          </w:p>
        </w:tc>
        <w:tc>
          <w:tcPr>
            <w:tcW w:w="904" w:type="pct"/>
            <w:vAlign w:val="center"/>
          </w:tcPr>
          <w:p>
            <w:pPr>
              <w:pStyle w:val="100"/>
              <w:widowControl w:val="0"/>
              <w:bidi w:val="0"/>
              <w:adjustRightInd w:val="0"/>
              <w:snapToGrid w:val="0"/>
            </w:pPr>
            <w:r>
              <w:rPr>
                <w:rFonts w:hint="eastAsia"/>
              </w:rPr>
              <w:t>COD</w:t>
            </w:r>
          </w:p>
        </w:tc>
        <w:tc>
          <w:tcPr>
            <w:tcW w:w="1211" w:type="pct"/>
            <w:vAlign w:val="center"/>
          </w:tcPr>
          <w:p>
            <w:pPr>
              <w:pStyle w:val="100"/>
              <w:widowControl w:val="0"/>
              <w:bidi w:val="0"/>
              <w:adjustRightInd w:val="0"/>
              <w:snapToGrid w:val="0"/>
            </w:pPr>
            <w:r>
              <w:rPr>
                <w:rFonts w:hint="eastAsia"/>
              </w:rPr>
              <w:t>50</w:t>
            </w:r>
          </w:p>
        </w:tc>
        <w:tc>
          <w:tcPr>
            <w:tcW w:w="2019" w:type="pct"/>
            <w:vMerge w:val="restart"/>
            <w:vAlign w:val="center"/>
          </w:tcPr>
          <w:p>
            <w:pPr>
              <w:pStyle w:val="100"/>
              <w:widowControl w:val="0"/>
              <w:bidi w:val="0"/>
              <w:adjustRightInd w:val="0"/>
              <w:snapToGrid w:val="0"/>
            </w:pPr>
            <w:r>
              <w:rPr>
                <w:rFonts w:hint="eastAsia"/>
              </w:rPr>
              <w:t>《污水排入城市下水道水质标准》（GB/T31962-2015）表1 B级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8</w:t>
            </w:r>
          </w:p>
        </w:tc>
        <w:tc>
          <w:tcPr>
            <w:tcW w:w="904" w:type="pct"/>
            <w:vAlign w:val="center"/>
          </w:tcPr>
          <w:p>
            <w:pPr>
              <w:pStyle w:val="100"/>
              <w:widowControl w:val="0"/>
              <w:bidi w:val="0"/>
              <w:adjustRightInd w:val="0"/>
              <w:snapToGrid w:val="0"/>
            </w:pPr>
            <w:r>
              <w:rPr>
                <w:rFonts w:hint="eastAsia"/>
              </w:rPr>
              <w:t>氨氮</w:t>
            </w:r>
          </w:p>
        </w:tc>
        <w:tc>
          <w:tcPr>
            <w:tcW w:w="1211" w:type="pct"/>
            <w:vAlign w:val="center"/>
          </w:tcPr>
          <w:p>
            <w:pPr>
              <w:pStyle w:val="100"/>
              <w:widowControl w:val="0"/>
              <w:bidi w:val="0"/>
              <w:adjustRightInd w:val="0"/>
              <w:snapToGrid w:val="0"/>
            </w:pPr>
            <w:r>
              <w:rPr>
                <w:rFonts w:hint="eastAsia"/>
              </w:rPr>
              <w:t>4（6）</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4" w:type="pct"/>
            <w:vAlign w:val="center"/>
          </w:tcPr>
          <w:p>
            <w:pPr>
              <w:pStyle w:val="100"/>
              <w:widowControl w:val="0"/>
              <w:bidi w:val="0"/>
              <w:adjustRightInd w:val="0"/>
              <w:snapToGrid w:val="0"/>
            </w:pPr>
            <w:r>
              <w:rPr>
                <w:rFonts w:hint="eastAsia"/>
              </w:rPr>
              <w:t>9</w:t>
            </w:r>
          </w:p>
        </w:tc>
        <w:tc>
          <w:tcPr>
            <w:tcW w:w="904" w:type="pct"/>
            <w:vAlign w:val="center"/>
          </w:tcPr>
          <w:p>
            <w:pPr>
              <w:pStyle w:val="100"/>
              <w:widowControl w:val="0"/>
              <w:bidi w:val="0"/>
              <w:adjustRightInd w:val="0"/>
              <w:snapToGrid w:val="0"/>
            </w:pPr>
            <w:r>
              <w:rPr>
                <w:rFonts w:hint="eastAsia"/>
              </w:rPr>
              <w:t>总氮</w:t>
            </w:r>
          </w:p>
        </w:tc>
        <w:tc>
          <w:tcPr>
            <w:tcW w:w="1211" w:type="pct"/>
            <w:vAlign w:val="center"/>
          </w:tcPr>
          <w:p>
            <w:pPr>
              <w:pStyle w:val="100"/>
              <w:widowControl w:val="0"/>
              <w:bidi w:val="0"/>
              <w:adjustRightInd w:val="0"/>
              <w:snapToGrid w:val="0"/>
            </w:pPr>
            <w:r>
              <w:rPr>
                <w:rFonts w:hint="eastAsia"/>
              </w:rPr>
              <w:t>12</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64" w:type="pct"/>
            <w:vAlign w:val="center"/>
          </w:tcPr>
          <w:p>
            <w:pPr>
              <w:pStyle w:val="100"/>
              <w:widowControl w:val="0"/>
              <w:bidi w:val="0"/>
              <w:adjustRightInd w:val="0"/>
              <w:snapToGrid w:val="0"/>
            </w:pPr>
            <w:r>
              <w:rPr>
                <w:rFonts w:hint="eastAsia"/>
              </w:rPr>
              <w:t>1</w:t>
            </w:r>
            <w:r>
              <w:t>0</w:t>
            </w:r>
          </w:p>
        </w:tc>
        <w:tc>
          <w:tcPr>
            <w:tcW w:w="904" w:type="pct"/>
            <w:vAlign w:val="center"/>
          </w:tcPr>
          <w:p>
            <w:pPr>
              <w:pStyle w:val="100"/>
              <w:widowControl w:val="0"/>
              <w:bidi w:val="0"/>
              <w:adjustRightInd w:val="0"/>
              <w:snapToGrid w:val="0"/>
            </w:pPr>
            <w:r>
              <w:rPr>
                <w:rFonts w:hint="eastAsia"/>
              </w:rPr>
              <w:t>总磷</w:t>
            </w:r>
          </w:p>
        </w:tc>
        <w:tc>
          <w:tcPr>
            <w:tcW w:w="1211" w:type="pct"/>
            <w:vAlign w:val="center"/>
          </w:tcPr>
          <w:p>
            <w:pPr>
              <w:pStyle w:val="100"/>
              <w:widowControl w:val="0"/>
              <w:bidi w:val="0"/>
              <w:adjustRightInd w:val="0"/>
              <w:snapToGrid w:val="0"/>
            </w:pPr>
            <w:r>
              <w:rPr>
                <w:rFonts w:hint="eastAsia"/>
              </w:rPr>
              <w:t>0.5</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64" w:type="pct"/>
            <w:vAlign w:val="center"/>
          </w:tcPr>
          <w:p>
            <w:pPr>
              <w:pStyle w:val="100"/>
              <w:widowControl w:val="0"/>
              <w:bidi w:val="0"/>
              <w:adjustRightInd w:val="0"/>
              <w:snapToGrid w:val="0"/>
            </w:pPr>
            <w:r>
              <w:rPr>
                <w:rFonts w:hint="eastAsia"/>
              </w:rPr>
              <w:t>1</w:t>
            </w:r>
            <w:r>
              <w:t>1</w:t>
            </w:r>
          </w:p>
        </w:tc>
        <w:tc>
          <w:tcPr>
            <w:tcW w:w="904" w:type="pct"/>
            <w:vAlign w:val="center"/>
          </w:tcPr>
          <w:p>
            <w:pPr>
              <w:pStyle w:val="100"/>
              <w:widowControl w:val="0"/>
              <w:bidi w:val="0"/>
              <w:adjustRightInd w:val="0"/>
              <w:snapToGrid w:val="0"/>
            </w:pPr>
            <w:r>
              <w:rPr>
                <w:rFonts w:hint="eastAsia"/>
              </w:rPr>
              <w:t>COD</w:t>
            </w:r>
          </w:p>
        </w:tc>
        <w:tc>
          <w:tcPr>
            <w:tcW w:w="1211" w:type="pct"/>
            <w:vAlign w:val="center"/>
          </w:tcPr>
          <w:p>
            <w:pPr>
              <w:pStyle w:val="100"/>
              <w:widowControl w:val="0"/>
              <w:bidi w:val="0"/>
              <w:adjustRightInd w:val="0"/>
              <w:snapToGrid w:val="0"/>
            </w:pPr>
            <w:r>
              <w:rPr>
                <w:rFonts w:hint="eastAsia"/>
              </w:rPr>
              <w:t>3</w:t>
            </w:r>
            <w:r>
              <w:t>0</w:t>
            </w:r>
          </w:p>
        </w:tc>
        <w:tc>
          <w:tcPr>
            <w:tcW w:w="2019" w:type="pct"/>
            <w:vMerge w:val="restart"/>
            <w:vAlign w:val="center"/>
          </w:tcPr>
          <w:p>
            <w:pPr>
              <w:pStyle w:val="100"/>
              <w:widowControl w:val="0"/>
              <w:bidi w:val="0"/>
              <w:adjustRightInd w:val="0"/>
              <w:snapToGrid w:val="0"/>
            </w:pPr>
            <w:r>
              <w:rPr>
                <w:rFonts w:hint="eastAsia"/>
              </w:rPr>
              <w:t>《关于高质量推进城乡生活污水治理三年行动计划的实施意见》的通知（苏委发办[2018]77号）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64" w:type="pct"/>
            <w:vAlign w:val="center"/>
          </w:tcPr>
          <w:p>
            <w:pPr>
              <w:pStyle w:val="100"/>
              <w:widowControl w:val="0"/>
              <w:bidi w:val="0"/>
              <w:adjustRightInd w:val="0"/>
              <w:snapToGrid w:val="0"/>
            </w:pPr>
            <w:r>
              <w:rPr>
                <w:rFonts w:hint="eastAsia"/>
              </w:rPr>
              <w:t>1</w:t>
            </w:r>
            <w:r>
              <w:t>2</w:t>
            </w:r>
          </w:p>
        </w:tc>
        <w:tc>
          <w:tcPr>
            <w:tcW w:w="904" w:type="pct"/>
            <w:vAlign w:val="center"/>
          </w:tcPr>
          <w:p>
            <w:pPr>
              <w:pStyle w:val="100"/>
              <w:widowControl w:val="0"/>
              <w:bidi w:val="0"/>
              <w:adjustRightInd w:val="0"/>
              <w:snapToGrid w:val="0"/>
            </w:pPr>
            <w:r>
              <w:rPr>
                <w:rFonts w:hint="eastAsia"/>
              </w:rPr>
              <w:t>氨氮</w:t>
            </w:r>
          </w:p>
        </w:tc>
        <w:tc>
          <w:tcPr>
            <w:tcW w:w="1211" w:type="pct"/>
            <w:vAlign w:val="center"/>
          </w:tcPr>
          <w:p>
            <w:pPr>
              <w:pStyle w:val="100"/>
              <w:widowControl w:val="0"/>
              <w:bidi w:val="0"/>
              <w:adjustRightInd w:val="0"/>
              <w:snapToGrid w:val="0"/>
            </w:pPr>
            <w:r>
              <w:rPr>
                <w:rFonts w:hint="eastAsia"/>
              </w:rPr>
              <w:t>1</w:t>
            </w:r>
            <w:r>
              <w:t>.5</w:t>
            </w:r>
            <w:r>
              <w:rPr>
                <w:rFonts w:hint="eastAsia"/>
              </w:rPr>
              <w:t>（3）</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64" w:type="pct"/>
            <w:vAlign w:val="center"/>
          </w:tcPr>
          <w:p>
            <w:pPr>
              <w:pStyle w:val="100"/>
              <w:widowControl w:val="0"/>
              <w:bidi w:val="0"/>
              <w:adjustRightInd w:val="0"/>
              <w:snapToGrid w:val="0"/>
            </w:pPr>
            <w:r>
              <w:rPr>
                <w:rFonts w:hint="eastAsia"/>
              </w:rPr>
              <w:t>1</w:t>
            </w:r>
            <w:r>
              <w:t>3</w:t>
            </w:r>
          </w:p>
        </w:tc>
        <w:tc>
          <w:tcPr>
            <w:tcW w:w="904" w:type="pct"/>
            <w:vAlign w:val="center"/>
          </w:tcPr>
          <w:p>
            <w:pPr>
              <w:pStyle w:val="100"/>
              <w:widowControl w:val="0"/>
              <w:bidi w:val="0"/>
              <w:adjustRightInd w:val="0"/>
              <w:snapToGrid w:val="0"/>
            </w:pPr>
            <w:r>
              <w:rPr>
                <w:rFonts w:hint="eastAsia"/>
              </w:rPr>
              <w:t>总氮</w:t>
            </w:r>
          </w:p>
        </w:tc>
        <w:tc>
          <w:tcPr>
            <w:tcW w:w="1211" w:type="pct"/>
            <w:vAlign w:val="center"/>
          </w:tcPr>
          <w:p>
            <w:pPr>
              <w:pStyle w:val="100"/>
              <w:widowControl w:val="0"/>
              <w:bidi w:val="0"/>
              <w:adjustRightInd w:val="0"/>
              <w:snapToGrid w:val="0"/>
            </w:pPr>
            <w:r>
              <w:t>10</w:t>
            </w:r>
          </w:p>
        </w:tc>
        <w:tc>
          <w:tcPr>
            <w:tcW w:w="2019"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64" w:type="pct"/>
            <w:vAlign w:val="center"/>
          </w:tcPr>
          <w:p>
            <w:pPr>
              <w:pStyle w:val="100"/>
              <w:widowControl w:val="0"/>
              <w:bidi w:val="0"/>
              <w:adjustRightInd w:val="0"/>
              <w:snapToGrid w:val="0"/>
            </w:pPr>
            <w:r>
              <w:rPr>
                <w:rFonts w:hint="eastAsia"/>
              </w:rPr>
              <w:t>1</w:t>
            </w:r>
            <w:r>
              <w:t>4</w:t>
            </w:r>
          </w:p>
        </w:tc>
        <w:tc>
          <w:tcPr>
            <w:tcW w:w="904" w:type="pct"/>
            <w:vAlign w:val="center"/>
          </w:tcPr>
          <w:p>
            <w:pPr>
              <w:pStyle w:val="100"/>
              <w:widowControl w:val="0"/>
              <w:bidi w:val="0"/>
              <w:adjustRightInd w:val="0"/>
              <w:snapToGrid w:val="0"/>
            </w:pPr>
            <w:r>
              <w:rPr>
                <w:rFonts w:hint="eastAsia"/>
              </w:rPr>
              <w:t>总磷</w:t>
            </w:r>
          </w:p>
        </w:tc>
        <w:tc>
          <w:tcPr>
            <w:tcW w:w="1211" w:type="pct"/>
            <w:vAlign w:val="center"/>
          </w:tcPr>
          <w:p>
            <w:pPr>
              <w:pStyle w:val="100"/>
              <w:widowControl w:val="0"/>
              <w:bidi w:val="0"/>
              <w:adjustRightInd w:val="0"/>
              <w:snapToGrid w:val="0"/>
            </w:pPr>
            <w:r>
              <w:t>0.3</w:t>
            </w:r>
          </w:p>
        </w:tc>
        <w:tc>
          <w:tcPr>
            <w:tcW w:w="2019" w:type="pct"/>
            <w:vMerge w:val="continue"/>
            <w:vAlign w:val="center"/>
          </w:tcPr>
          <w:p>
            <w:pPr>
              <w:pStyle w:val="100"/>
              <w:widowControl w:val="0"/>
              <w:bidi w:val="0"/>
              <w:adjustRightInd w:val="0"/>
              <w:snapToGrid w:val="0"/>
            </w:pPr>
          </w:p>
        </w:tc>
      </w:tr>
    </w:tbl>
    <w:p>
      <w:pPr>
        <w:pStyle w:val="103"/>
        <w:bidi w:val="0"/>
      </w:pPr>
      <w:r>
        <w:t>注：括号外数值为水温＞12</w:t>
      </w:r>
      <w:r>
        <w:rPr>
          <w:rFonts w:hint="eastAsia"/>
        </w:rPr>
        <w:t>℃</w:t>
      </w:r>
      <w:r>
        <w:t>时的控制指标，括号内数值为水温≤12</w:t>
      </w:r>
      <w:r>
        <w:rPr>
          <w:rFonts w:hint="eastAsia"/>
        </w:rPr>
        <w:t>℃</w:t>
      </w:r>
      <w:r>
        <w:t>时的控制指标</w:t>
      </w:r>
    </w:p>
    <w:p>
      <w:pPr>
        <w:pStyle w:val="104"/>
      </w:pPr>
      <w:r>
        <w:t>噪声排放标准</w:t>
      </w:r>
    </w:p>
    <w:p>
      <w:pPr>
        <w:pStyle w:val="103"/>
        <w:bidi w:val="0"/>
      </w:pPr>
      <w:r>
        <w:t>项目厂界噪声执行《工业企业厂界环境噪声排放标准》（GB12348-2008）3类</w:t>
      </w:r>
      <w:r>
        <w:rPr>
          <w:rFonts w:hint="eastAsia"/>
          <w:lang w:eastAsia="zh-CN"/>
        </w:rPr>
        <w:t>、</w:t>
      </w:r>
      <w:r>
        <w:rPr>
          <w:rFonts w:hint="eastAsia"/>
          <w:lang w:val="en-US" w:eastAsia="zh-CN"/>
        </w:rPr>
        <w:t>4类</w:t>
      </w:r>
      <w:r>
        <w:t>标准，相关标准值摘录见表4-</w:t>
      </w:r>
      <w:r>
        <w:rPr>
          <w:rFonts w:hint="eastAsia"/>
          <w:lang w:val="en-US" w:eastAsia="zh-CN"/>
        </w:rPr>
        <w:t>9</w:t>
      </w:r>
      <w:r>
        <w:t>。</w:t>
      </w:r>
    </w:p>
    <w:p>
      <w:pPr>
        <w:pStyle w:val="273"/>
        <w:bidi w:val="0"/>
        <w:rPr>
          <w:rFonts w:hint="eastAsia"/>
        </w:rPr>
      </w:pPr>
      <w:r>
        <w:rPr>
          <w:rFonts w:hint="eastAsia"/>
        </w:rPr>
        <w:t>表4-</w:t>
      </w:r>
      <w:r>
        <w:rPr>
          <w:rFonts w:hint="eastAsia"/>
          <w:lang w:val="en-US" w:eastAsia="zh-CN"/>
        </w:rPr>
        <w:t>9</w:t>
      </w:r>
      <w:r>
        <w:rPr>
          <w:rFonts w:hint="eastAsia"/>
        </w:rPr>
        <w:t xml:space="preserve">  工业企业厂界环境噪声排放标准</w:t>
      </w:r>
    </w:p>
    <w:tbl>
      <w:tblPr>
        <w:tblStyle w:val="260"/>
        <w:tblW w:w="84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518"/>
        <w:gridCol w:w="912"/>
        <w:gridCol w:w="1420"/>
        <w:gridCol w:w="1603"/>
        <w:gridCol w:w="2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45" w:type="dxa"/>
            <w:vMerge w:val="restart"/>
            <w:vAlign w:val="center"/>
          </w:tcPr>
          <w:p>
            <w:pPr>
              <w:pStyle w:val="100"/>
              <w:widowControl w:val="0"/>
              <w:bidi w:val="0"/>
              <w:adjustRightInd w:val="0"/>
              <w:snapToGrid w:val="0"/>
            </w:pPr>
            <w:r>
              <w:rPr>
                <w:rFonts w:hint="eastAsia"/>
              </w:rPr>
              <w:t>序号</w:t>
            </w:r>
          </w:p>
        </w:tc>
        <w:tc>
          <w:tcPr>
            <w:tcW w:w="1518" w:type="dxa"/>
            <w:vMerge w:val="restart"/>
            <w:vAlign w:val="center"/>
          </w:tcPr>
          <w:p>
            <w:pPr>
              <w:pStyle w:val="100"/>
              <w:widowControl w:val="0"/>
              <w:bidi w:val="0"/>
              <w:adjustRightInd w:val="0"/>
              <w:snapToGrid w:val="0"/>
            </w:pPr>
            <w:r>
              <w:rPr>
                <w:rFonts w:hint="eastAsia"/>
              </w:rPr>
              <w:t>适用区域</w:t>
            </w:r>
          </w:p>
        </w:tc>
        <w:tc>
          <w:tcPr>
            <w:tcW w:w="912" w:type="dxa"/>
            <w:vMerge w:val="restart"/>
            <w:vAlign w:val="center"/>
          </w:tcPr>
          <w:p>
            <w:pPr>
              <w:pStyle w:val="100"/>
              <w:widowControl w:val="0"/>
              <w:bidi w:val="0"/>
              <w:adjustRightInd w:val="0"/>
              <w:snapToGrid w:val="0"/>
            </w:pPr>
            <w:r>
              <w:rPr>
                <w:rFonts w:hint="eastAsia"/>
              </w:rPr>
              <w:t>类别</w:t>
            </w:r>
          </w:p>
        </w:tc>
        <w:tc>
          <w:tcPr>
            <w:tcW w:w="3023" w:type="dxa"/>
            <w:gridSpan w:val="2"/>
            <w:vAlign w:val="center"/>
          </w:tcPr>
          <w:p>
            <w:pPr>
              <w:pStyle w:val="100"/>
              <w:widowControl w:val="0"/>
              <w:bidi w:val="0"/>
              <w:adjustRightInd w:val="0"/>
              <w:snapToGrid w:val="0"/>
            </w:pPr>
            <w:r>
              <w:rPr>
                <w:rFonts w:hint="eastAsia"/>
              </w:rPr>
              <w:t>标准限值</w:t>
            </w:r>
            <w:r>
              <w:t>dB（A）</w:t>
            </w:r>
          </w:p>
        </w:tc>
        <w:tc>
          <w:tcPr>
            <w:tcW w:w="2384" w:type="dxa"/>
            <w:vMerge w:val="restart"/>
            <w:vAlign w:val="center"/>
          </w:tcPr>
          <w:p>
            <w:pPr>
              <w:pStyle w:val="100"/>
              <w:widowControl w:val="0"/>
              <w:bidi w:val="0"/>
              <w:adjustRightInd w:val="0"/>
              <w:snapToGrid w:val="0"/>
            </w:pPr>
            <w:r>
              <w:rPr>
                <w:rFonts w:hint="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645" w:type="dxa"/>
            <w:vMerge w:val="continue"/>
            <w:vAlign w:val="center"/>
          </w:tcPr>
          <w:p>
            <w:pPr>
              <w:pStyle w:val="100"/>
              <w:widowControl w:val="0"/>
              <w:bidi w:val="0"/>
              <w:adjustRightInd w:val="0"/>
              <w:snapToGrid w:val="0"/>
            </w:pPr>
          </w:p>
        </w:tc>
        <w:tc>
          <w:tcPr>
            <w:tcW w:w="1518" w:type="dxa"/>
            <w:vMerge w:val="continue"/>
            <w:vAlign w:val="center"/>
          </w:tcPr>
          <w:p>
            <w:pPr>
              <w:pStyle w:val="100"/>
              <w:widowControl w:val="0"/>
              <w:bidi w:val="0"/>
              <w:adjustRightInd w:val="0"/>
              <w:snapToGrid w:val="0"/>
            </w:pPr>
          </w:p>
        </w:tc>
        <w:tc>
          <w:tcPr>
            <w:tcW w:w="912" w:type="dxa"/>
            <w:vMerge w:val="continue"/>
            <w:vAlign w:val="center"/>
          </w:tcPr>
          <w:p>
            <w:pPr>
              <w:pStyle w:val="100"/>
              <w:widowControl w:val="0"/>
              <w:bidi w:val="0"/>
              <w:adjustRightInd w:val="0"/>
              <w:snapToGrid w:val="0"/>
            </w:pPr>
          </w:p>
        </w:tc>
        <w:tc>
          <w:tcPr>
            <w:tcW w:w="1420" w:type="dxa"/>
            <w:vAlign w:val="center"/>
          </w:tcPr>
          <w:p>
            <w:pPr>
              <w:pStyle w:val="100"/>
              <w:widowControl w:val="0"/>
              <w:bidi w:val="0"/>
              <w:adjustRightInd w:val="0"/>
              <w:snapToGrid w:val="0"/>
            </w:pPr>
            <w:r>
              <w:rPr>
                <w:rFonts w:hint="eastAsia"/>
              </w:rPr>
              <w:t>昼间</w:t>
            </w:r>
          </w:p>
        </w:tc>
        <w:tc>
          <w:tcPr>
            <w:tcW w:w="1603" w:type="dxa"/>
            <w:vAlign w:val="center"/>
          </w:tcPr>
          <w:p>
            <w:pPr>
              <w:pStyle w:val="100"/>
              <w:widowControl w:val="0"/>
              <w:bidi w:val="0"/>
              <w:adjustRightInd w:val="0"/>
              <w:snapToGrid w:val="0"/>
            </w:pPr>
            <w:r>
              <w:rPr>
                <w:rFonts w:hint="eastAsia"/>
              </w:rPr>
              <w:t>夜间</w:t>
            </w:r>
          </w:p>
        </w:tc>
        <w:tc>
          <w:tcPr>
            <w:tcW w:w="2384"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45" w:type="dxa"/>
            <w:vAlign w:val="center"/>
          </w:tcPr>
          <w:p>
            <w:pPr>
              <w:pStyle w:val="100"/>
              <w:widowControl w:val="0"/>
              <w:bidi w:val="0"/>
              <w:adjustRightInd w:val="0"/>
              <w:snapToGrid w:val="0"/>
            </w:pPr>
            <w:r>
              <w:rPr>
                <w:rFonts w:hint="eastAsia"/>
              </w:rPr>
              <w:t>1</w:t>
            </w:r>
          </w:p>
        </w:tc>
        <w:tc>
          <w:tcPr>
            <w:tcW w:w="1518" w:type="dxa"/>
            <w:vAlign w:val="center"/>
          </w:tcPr>
          <w:p>
            <w:pPr>
              <w:pStyle w:val="100"/>
              <w:widowControl w:val="0"/>
              <w:bidi w:val="0"/>
              <w:adjustRightInd w:val="0"/>
              <w:snapToGrid w:val="0"/>
              <w:rPr>
                <w:rFonts w:hint="default"/>
                <w:lang w:val="en-US" w:eastAsia="zh-CN"/>
              </w:rPr>
            </w:pPr>
            <w:r>
              <w:rPr>
                <w:rFonts w:hint="eastAsia"/>
                <w:lang w:val="en-US" w:eastAsia="zh-CN"/>
              </w:rPr>
              <w:t>东</w:t>
            </w:r>
            <w:r>
              <w:rPr>
                <w:rFonts w:hint="eastAsia"/>
              </w:rPr>
              <w:t>厂界</w:t>
            </w:r>
            <w:r>
              <w:rPr>
                <w:rFonts w:hint="eastAsia"/>
                <w:lang w:eastAsia="zh-CN"/>
              </w:rPr>
              <w:t>、</w:t>
            </w:r>
            <w:r>
              <w:rPr>
                <w:rFonts w:hint="eastAsia"/>
                <w:lang w:val="en-US" w:eastAsia="zh-CN"/>
              </w:rPr>
              <w:t>北厂界</w:t>
            </w:r>
          </w:p>
        </w:tc>
        <w:tc>
          <w:tcPr>
            <w:tcW w:w="912" w:type="dxa"/>
            <w:vAlign w:val="center"/>
          </w:tcPr>
          <w:p>
            <w:pPr>
              <w:pStyle w:val="100"/>
              <w:widowControl w:val="0"/>
              <w:bidi w:val="0"/>
              <w:adjustRightInd w:val="0"/>
              <w:snapToGrid w:val="0"/>
              <w:rPr>
                <w:rFonts w:hint="default"/>
                <w:lang w:val="en-US" w:eastAsia="zh-CN"/>
              </w:rPr>
            </w:pPr>
            <w:r>
              <w:rPr>
                <w:rFonts w:hint="eastAsia"/>
                <w:lang w:val="en-US" w:eastAsia="zh-CN"/>
              </w:rPr>
              <w:t>4类</w:t>
            </w:r>
          </w:p>
        </w:tc>
        <w:tc>
          <w:tcPr>
            <w:tcW w:w="1420" w:type="dxa"/>
            <w:vAlign w:val="center"/>
          </w:tcPr>
          <w:p>
            <w:pPr>
              <w:pStyle w:val="100"/>
              <w:widowControl w:val="0"/>
              <w:bidi w:val="0"/>
              <w:adjustRightInd w:val="0"/>
              <w:snapToGrid w:val="0"/>
              <w:rPr>
                <w:rFonts w:hint="default"/>
                <w:lang w:val="en-US" w:eastAsia="zh-CN"/>
              </w:rPr>
            </w:pPr>
            <w:r>
              <w:rPr>
                <w:rFonts w:hint="eastAsia"/>
                <w:lang w:val="en-US" w:eastAsia="zh-CN"/>
              </w:rPr>
              <w:t>70</w:t>
            </w:r>
          </w:p>
        </w:tc>
        <w:tc>
          <w:tcPr>
            <w:tcW w:w="1603" w:type="dxa"/>
            <w:vAlign w:val="center"/>
          </w:tcPr>
          <w:p>
            <w:pPr>
              <w:pStyle w:val="100"/>
              <w:widowControl w:val="0"/>
              <w:bidi w:val="0"/>
              <w:adjustRightInd w:val="0"/>
              <w:snapToGrid w:val="0"/>
              <w:rPr>
                <w:rFonts w:hint="default"/>
                <w:lang w:val="en-US" w:eastAsia="zh-CN"/>
              </w:rPr>
            </w:pPr>
            <w:r>
              <w:rPr>
                <w:rFonts w:hint="eastAsia"/>
                <w:lang w:val="en-US" w:eastAsia="zh-CN"/>
              </w:rPr>
              <w:t>55</w:t>
            </w:r>
          </w:p>
        </w:tc>
        <w:tc>
          <w:tcPr>
            <w:tcW w:w="2384" w:type="dxa"/>
            <w:vAlign w:val="center"/>
          </w:tcPr>
          <w:p>
            <w:pPr>
              <w:pStyle w:val="100"/>
              <w:widowControl w:val="0"/>
              <w:bidi w:val="0"/>
              <w:adjustRightInd w:val="0"/>
              <w:snapToGrid w:val="0"/>
            </w:pPr>
            <w:r>
              <w:rPr>
                <w:rFonts w:hint="eastAsia"/>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45" w:type="dxa"/>
            <w:vAlign w:val="center"/>
          </w:tcPr>
          <w:p>
            <w:pPr>
              <w:pStyle w:val="100"/>
              <w:widowControl w:val="0"/>
              <w:bidi w:val="0"/>
              <w:adjustRightInd w:val="0"/>
              <w:snapToGrid w:val="0"/>
              <w:rPr>
                <w:rFonts w:hint="eastAsia"/>
                <w:lang w:val="en-US" w:eastAsia="zh-CN"/>
              </w:rPr>
            </w:pPr>
            <w:r>
              <w:rPr>
                <w:rFonts w:hint="eastAsia"/>
                <w:lang w:val="en-US" w:eastAsia="zh-CN"/>
              </w:rPr>
              <w:t>2</w:t>
            </w:r>
          </w:p>
        </w:tc>
        <w:tc>
          <w:tcPr>
            <w:tcW w:w="1518" w:type="dxa"/>
            <w:vAlign w:val="center"/>
          </w:tcPr>
          <w:p>
            <w:pPr>
              <w:pStyle w:val="100"/>
              <w:widowControl w:val="0"/>
              <w:bidi w:val="0"/>
              <w:adjustRightInd w:val="0"/>
              <w:snapToGrid w:val="0"/>
              <w:rPr>
                <w:rFonts w:hint="default"/>
                <w:lang w:val="en-US" w:eastAsia="zh-CN"/>
              </w:rPr>
            </w:pPr>
            <w:r>
              <w:rPr>
                <w:rFonts w:hint="eastAsia"/>
                <w:lang w:val="en-US" w:eastAsia="zh-CN"/>
              </w:rPr>
              <w:t>西厂界、南厂界</w:t>
            </w:r>
          </w:p>
        </w:tc>
        <w:tc>
          <w:tcPr>
            <w:tcW w:w="912" w:type="dxa"/>
            <w:vAlign w:val="center"/>
          </w:tcPr>
          <w:p>
            <w:pPr>
              <w:pStyle w:val="100"/>
              <w:widowControl w:val="0"/>
              <w:bidi w:val="0"/>
              <w:adjustRightInd w:val="0"/>
              <w:snapToGrid w:val="0"/>
              <w:rPr>
                <w:lang w:val="en-US" w:eastAsia="zh-CN"/>
              </w:rPr>
            </w:pPr>
            <w:r>
              <w:t>3类</w:t>
            </w:r>
          </w:p>
        </w:tc>
        <w:tc>
          <w:tcPr>
            <w:tcW w:w="1420" w:type="dxa"/>
            <w:vAlign w:val="center"/>
          </w:tcPr>
          <w:p>
            <w:pPr>
              <w:pStyle w:val="100"/>
              <w:widowControl w:val="0"/>
              <w:bidi w:val="0"/>
              <w:adjustRightInd w:val="0"/>
              <w:snapToGrid w:val="0"/>
              <w:rPr>
                <w:rFonts w:hint="eastAsia"/>
                <w:lang w:val="en-US" w:eastAsia="zh-CN"/>
              </w:rPr>
            </w:pPr>
            <w:r>
              <w:rPr>
                <w:rFonts w:hint="eastAsia"/>
              </w:rPr>
              <w:t>6</w:t>
            </w:r>
            <w:r>
              <w:t>5</w:t>
            </w:r>
          </w:p>
        </w:tc>
        <w:tc>
          <w:tcPr>
            <w:tcW w:w="1603" w:type="dxa"/>
            <w:vAlign w:val="center"/>
          </w:tcPr>
          <w:p>
            <w:pPr>
              <w:pStyle w:val="100"/>
              <w:widowControl w:val="0"/>
              <w:bidi w:val="0"/>
              <w:adjustRightInd w:val="0"/>
              <w:snapToGrid w:val="0"/>
              <w:rPr>
                <w:rFonts w:hint="eastAsia"/>
                <w:lang w:val="en-US" w:eastAsia="zh-CN"/>
              </w:rPr>
            </w:pPr>
            <w:r>
              <w:rPr>
                <w:rFonts w:hint="eastAsia"/>
              </w:rPr>
              <w:t>5</w:t>
            </w:r>
            <w:r>
              <w:t>5</w:t>
            </w:r>
          </w:p>
        </w:tc>
        <w:tc>
          <w:tcPr>
            <w:tcW w:w="2384" w:type="dxa"/>
            <w:vAlign w:val="center"/>
          </w:tcPr>
          <w:p>
            <w:pPr>
              <w:pStyle w:val="100"/>
              <w:widowControl w:val="0"/>
              <w:bidi w:val="0"/>
              <w:adjustRightInd w:val="0"/>
              <w:snapToGrid w:val="0"/>
              <w:rPr>
                <w:rFonts w:hint="eastAsia"/>
                <w:lang w:val="en-US" w:eastAsia="zh-CN"/>
              </w:rPr>
            </w:pPr>
            <w:r>
              <w:rPr>
                <w:rFonts w:hint="eastAsia"/>
              </w:rPr>
              <w:t>《工业企业厂界环境噪声排放标准》（GB12348-2008）</w:t>
            </w:r>
          </w:p>
        </w:tc>
      </w:tr>
    </w:tbl>
    <w:p>
      <w:pPr>
        <w:pStyle w:val="104"/>
      </w:pPr>
      <w:r>
        <w:t>固体废弃物</w:t>
      </w:r>
    </w:p>
    <w:p>
      <w:pPr>
        <w:pStyle w:val="103"/>
        <w:bidi w:val="0"/>
      </w:pPr>
      <w:r>
        <w:t>固体废弃物排放执行《一般工业固体废物贮存、处置场污染控制标准》（GB18599-2001）及其修改单</w:t>
      </w:r>
      <w:r>
        <w:rPr>
          <w:rFonts w:hint="eastAsia"/>
        </w:rPr>
        <w:t>、</w:t>
      </w:r>
      <w:r>
        <w:t>《危险废物贮存污染控制标准》（GB18597-2001）及其修改单和《中华人民共和国固体废弃物污染环境防治法》中的有关规定。</w:t>
      </w:r>
    </w:p>
    <w:p>
      <w:pPr>
        <w:pStyle w:val="102"/>
      </w:pPr>
      <w:r>
        <w:rPr>
          <w:rFonts w:hint="eastAsia"/>
        </w:rPr>
        <w:t>总量控制</w:t>
      </w:r>
    </w:p>
    <w:p>
      <w:pPr>
        <w:pStyle w:val="104"/>
      </w:pPr>
      <w:r>
        <w:rPr>
          <w:rFonts w:hint="eastAsia"/>
        </w:rPr>
        <w:t>总量控制指标</w:t>
      </w:r>
    </w:p>
    <w:p>
      <w:pPr>
        <w:pStyle w:val="103"/>
        <w:bidi w:val="0"/>
      </w:pPr>
      <w:r>
        <w:t>根据“十</w:t>
      </w:r>
      <w:r>
        <w:rPr>
          <w:rFonts w:hint="eastAsia"/>
        </w:rPr>
        <w:t>三</w:t>
      </w:r>
      <w:r>
        <w:t>五”总量控制要求以及《关于印发江苏省建设项目主要污染物排放总量区域平衡方案审核管理办法的通知》苏环办[2011]71号，在“十</w:t>
      </w:r>
      <w:r>
        <w:rPr>
          <w:rFonts w:hint="eastAsia"/>
        </w:rPr>
        <w:t>三</w:t>
      </w:r>
      <w:r>
        <w:t>五”期间对化学需氧量（COD）、氨氮（NH3-N）、二氧化硫（SO2）、氮氧化物（NOX）进行总量控制。</w:t>
      </w:r>
      <w:r>
        <w:rPr>
          <w:rFonts w:hint="eastAsia"/>
        </w:rPr>
        <w:t>拟建项目</w:t>
      </w:r>
      <w:r>
        <w:t>污染物总量控制指标</w:t>
      </w:r>
      <w:r>
        <w:rPr>
          <w:rFonts w:hint="eastAsia"/>
        </w:rPr>
        <w:t>见表4-</w:t>
      </w:r>
      <w:r>
        <w:rPr>
          <w:rFonts w:hint="eastAsia"/>
          <w:lang w:val="en-US" w:eastAsia="zh-CN"/>
        </w:rPr>
        <w:t>10</w:t>
      </w:r>
      <w:r>
        <w:rPr>
          <w:rFonts w:hint="eastAsia"/>
        </w:rPr>
        <w:t>。</w:t>
      </w:r>
    </w:p>
    <w:p>
      <w:pPr>
        <w:pStyle w:val="273"/>
        <w:bidi w:val="0"/>
        <w:rPr>
          <w:rFonts w:hint="eastAsia"/>
        </w:rPr>
      </w:pPr>
      <w:r>
        <w:rPr>
          <w:rFonts w:hint="eastAsia"/>
        </w:rPr>
        <w:t>表4-</w:t>
      </w:r>
      <w:r>
        <w:rPr>
          <w:rFonts w:hint="eastAsia"/>
          <w:lang w:val="en-US" w:eastAsia="zh-CN"/>
        </w:rPr>
        <w:t>10</w:t>
      </w:r>
      <w:r>
        <w:rPr>
          <w:rFonts w:hint="eastAsia"/>
        </w:rPr>
        <w:t xml:space="preserve">  污染物总量控制指标    单位：t/a</w:t>
      </w:r>
    </w:p>
    <w:tbl>
      <w:tblPr>
        <w:tblStyle w:val="260"/>
        <w:tblW w:w="84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1"/>
        <w:gridCol w:w="664"/>
        <w:gridCol w:w="189"/>
        <w:gridCol w:w="854"/>
        <w:gridCol w:w="1128"/>
        <w:gridCol w:w="1173"/>
        <w:gridCol w:w="1305"/>
        <w:gridCol w:w="1172"/>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61" w:type="dxa"/>
            <w:vAlign w:val="center"/>
          </w:tcPr>
          <w:p>
            <w:pPr>
              <w:pStyle w:val="100"/>
              <w:widowControl w:val="0"/>
              <w:bidi w:val="0"/>
              <w:adjustRightInd w:val="0"/>
              <w:snapToGrid w:val="0"/>
            </w:pPr>
            <w:r>
              <w:rPr>
                <w:rFonts w:hint="eastAsia"/>
              </w:rPr>
              <w:t>环境要素</w:t>
            </w:r>
          </w:p>
        </w:tc>
        <w:tc>
          <w:tcPr>
            <w:tcW w:w="1707" w:type="dxa"/>
            <w:gridSpan w:val="3"/>
            <w:vAlign w:val="center"/>
          </w:tcPr>
          <w:p>
            <w:pPr>
              <w:pStyle w:val="100"/>
              <w:widowControl w:val="0"/>
              <w:bidi w:val="0"/>
              <w:adjustRightInd w:val="0"/>
              <w:snapToGrid w:val="0"/>
            </w:pPr>
            <w:r>
              <w:rPr>
                <w:rFonts w:hint="eastAsia"/>
              </w:rPr>
              <w:t>污染物名称</w:t>
            </w:r>
          </w:p>
        </w:tc>
        <w:tc>
          <w:tcPr>
            <w:tcW w:w="1128" w:type="dxa"/>
            <w:vAlign w:val="center"/>
          </w:tcPr>
          <w:p>
            <w:pPr>
              <w:pStyle w:val="100"/>
              <w:widowControl w:val="0"/>
              <w:bidi w:val="0"/>
              <w:adjustRightInd w:val="0"/>
              <w:snapToGrid w:val="0"/>
            </w:pPr>
            <w:r>
              <w:rPr>
                <w:rFonts w:hint="eastAsia"/>
              </w:rPr>
              <w:t>搬迁前排放量</w:t>
            </w:r>
          </w:p>
        </w:tc>
        <w:tc>
          <w:tcPr>
            <w:tcW w:w="1173" w:type="dxa"/>
            <w:vAlign w:val="center"/>
          </w:tcPr>
          <w:p>
            <w:pPr>
              <w:pStyle w:val="100"/>
              <w:widowControl w:val="0"/>
              <w:bidi w:val="0"/>
              <w:adjustRightInd w:val="0"/>
              <w:snapToGrid w:val="0"/>
            </w:pPr>
            <w:r>
              <w:rPr>
                <w:rFonts w:hint="eastAsia"/>
              </w:rPr>
              <w:t>搬迁后排放量</w:t>
            </w:r>
          </w:p>
        </w:tc>
        <w:tc>
          <w:tcPr>
            <w:tcW w:w="1305" w:type="dxa"/>
            <w:vAlign w:val="center"/>
          </w:tcPr>
          <w:p>
            <w:pPr>
              <w:pStyle w:val="100"/>
              <w:widowControl w:val="0"/>
              <w:bidi w:val="0"/>
              <w:adjustRightInd w:val="0"/>
              <w:snapToGrid w:val="0"/>
            </w:pPr>
            <w:r>
              <w:rPr>
                <w:rFonts w:hint="eastAsia"/>
              </w:rPr>
              <w:t>以新带老削减量</w:t>
            </w:r>
          </w:p>
        </w:tc>
        <w:tc>
          <w:tcPr>
            <w:tcW w:w="1172" w:type="dxa"/>
            <w:vAlign w:val="center"/>
          </w:tcPr>
          <w:p>
            <w:pPr>
              <w:pStyle w:val="100"/>
              <w:widowControl w:val="0"/>
              <w:bidi w:val="0"/>
              <w:adjustRightInd w:val="0"/>
              <w:snapToGrid w:val="0"/>
            </w:pPr>
            <w:r>
              <w:rPr>
                <w:rFonts w:hint="eastAsia"/>
              </w:rPr>
              <w:t>搬迁前后增减量</w:t>
            </w:r>
          </w:p>
        </w:tc>
        <w:tc>
          <w:tcPr>
            <w:tcW w:w="1038" w:type="dxa"/>
            <w:vAlign w:val="center"/>
          </w:tcPr>
          <w:p>
            <w:pPr>
              <w:pStyle w:val="100"/>
              <w:widowControl w:val="0"/>
              <w:bidi w:val="0"/>
              <w:adjustRightInd w:val="0"/>
              <w:snapToGrid w:val="0"/>
            </w:pPr>
            <w:r>
              <w:rPr>
                <w:rFonts w:hint="eastAsia"/>
              </w:rPr>
              <w:t>新增申请量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restart"/>
            <w:vAlign w:val="center"/>
          </w:tcPr>
          <w:p>
            <w:pPr>
              <w:pStyle w:val="100"/>
              <w:widowControl w:val="0"/>
              <w:bidi w:val="0"/>
              <w:adjustRightInd w:val="0"/>
              <w:snapToGrid w:val="0"/>
            </w:pPr>
            <w:r>
              <w:t>废水</w:t>
            </w:r>
          </w:p>
        </w:tc>
        <w:tc>
          <w:tcPr>
            <w:tcW w:w="664" w:type="dxa"/>
            <w:vMerge w:val="restart"/>
            <w:vAlign w:val="center"/>
          </w:tcPr>
          <w:p>
            <w:pPr>
              <w:pStyle w:val="100"/>
              <w:widowControl w:val="0"/>
              <w:bidi w:val="0"/>
              <w:adjustRightInd w:val="0"/>
              <w:snapToGrid w:val="0"/>
            </w:pPr>
            <w:r>
              <w:rPr>
                <w:rFonts w:hint="eastAsia"/>
              </w:rPr>
              <w:t>生活污水</w:t>
            </w:r>
          </w:p>
        </w:tc>
        <w:tc>
          <w:tcPr>
            <w:tcW w:w="1043" w:type="dxa"/>
            <w:gridSpan w:val="2"/>
            <w:vAlign w:val="center"/>
          </w:tcPr>
          <w:p>
            <w:pPr>
              <w:pStyle w:val="100"/>
              <w:widowControl w:val="0"/>
              <w:bidi w:val="0"/>
              <w:adjustRightInd w:val="0"/>
              <w:snapToGrid w:val="0"/>
            </w:pPr>
            <w:r>
              <w:t>废水量</w:t>
            </w:r>
          </w:p>
        </w:tc>
        <w:tc>
          <w:tcPr>
            <w:tcW w:w="1128" w:type="dxa"/>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1173" w:type="dxa"/>
            <w:vAlign w:val="center"/>
          </w:tcPr>
          <w:p>
            <w:pPr>
              <w:pStyle w:val="100"/>
              <w:widowControl w:val="0"/>
              <w:bidi w:val="0"/>
              <w:adjustRightInd w:val="0"/>
              <w:snapToGrid w:val="0"/>
            </w:pPr>
            <w:r>
              <w:rPr>
                <w:rFonts w:hint="eastAsia"/>
              </w:rPr>
              <w:t>856.8</w:t>
            </w:r>
          </w:p>
        </w:tc>
        <w:tc>
          <w:tcPr>
            <w:tcW w:w="1305" w:type="dxa"/>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1172" w:type="dxa"/>
            <w:vAlign w:val="center"/>
          </w:tcPr>
          <w:p>
            <w:pPr>
              <w:pStyle w:val="100"/>
              <w:widowControl w:val="0"/>
              <w:bidi w:val="0"/>
              <w:adjustRightInd w:val="0"/>
              <w:snapToGrid w:val="0"/>
              <w:rPr>
                <w:rFonts w:hint="default"/>
                <w:lang w:val="en-US" w:eastAsia="zh-CN"/>
              </w:rPr>
            </w:pPr>
            <w:r>
              <w:rPr>
                <w:rFonts w:hint="eastAsia"/>
                <w:lang w:val="en-US" w:eastAsia="zh-CN"/>
              </w:rPr>
              <w:t>+431.8</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vAlign w:val="center"/>
          </w:tcPr>
          <w:p>
            <w:pPr>
              <w:pStyle w:val="100"/>
              <w:widowControl w:val="0"/>
              <w:bidi w:val="0"/>
              <w:adjustRightInd w:val="0"/>
              <w:snapToGrid w:val="0"/>
            </w:pPr>
          </w:p>
        </w:tc>
        <w:tc>
          <w:tcPr>
            <w:tcW w:w="664" w:type="dxa"/>
            <w:vMerge w:val="continue"/>
            <w:vAlign w:val="center"/>
          </w:tcPr>
          <w:p>
            <w:pPr>
              <w:pStyle w:val="100"/>
              <w:widowControl w:val="0"/>
              <w:bidi w:val="0"/>
              <w:adjustRightInd w:val="0"/>
              <w:snapToGrid w:val="0"/>
            </w:pPr>
          </w:p>
        </w:tc>
        <w:tc>
          <w:tcPr>
            <w:tcW w:w="1043" w:type="dxa"/>
            <w:gridSpan w:val="2"/>
            <w:vAlign w:val="center"/>
          </w:tcPr>
          <w:p>
            <w:pPr>
              <w:pStyle w:val="100"/>
              <w:widowControl w:val="0"/>
              <w:bidi w:val="0"/>
              <w:adjustRightInd w:val="0"/>
              <w:snapToGrid w:val="0"/>
            </w:pPr>
            <w:r>
              <w:rPr>
                <w:rFonts w:hint="eastAsia"/>
              </w:rPr>
              <w:t>COD</w:t>
            </w:r>
          </w:p>
        </w:tc>
        <w:tc>
          <w:tcPr>
            <w:tcW w:w="1128" w:type="dxa"/>
            <w:vAlign w:val="center"/>
          </w:tcPr>
          <w:p>
            <w:pPr>
              <w:pStyle w:val="100"/>
              <w:widowControl w:val="0"/>
              <w:bidi w:val="0"/>
              <w:adjustRightInd w:val="0"/>
              <w:snapToGrid w:val="0"/>
              <w:rPr>
                <w:rFonts w:hint="default"/>
                <w:lang w:val="en-US" w:eastAsia="zh-CN"/>
              </w:rPr>
            </w:pPr>
            <w:r>
              <w:rPr>
                <w:rFonts w:hint="eastAsia"/>
                <w:lang w:val="en-US" w:eastAsia="zh-CN"/>
              </w:rPr>
              <w:t>0.149</w:t>
            </w:r>
          </w:p>
        </w:tc>
        <w:tc>
          <w:tcPr>
            <w:tcW w:w="1173" w:type="dxa"/>
            <w:vAlign w:val="center"/>
          </w:tcPr>
          <w:p>
            <w:pPr>
              <w:pStyle w:val="100"/>
              <w:widowControl w:val="0"/>
              <w:bidi w:val="0"/>
              <w:adjustRightInd w:val="0"/>
              <w:snapToGrid w:val="0"/>
            </w:pPr>
            <w:r>
              <w:rPr>
                <w:rFonts w:hint="eastAsia"/>
              </w:rPr>
              <w:t>0.3</w:t>
            </w:r>
          </w:p>
        </w:tc>
        <w:tc>
          <w:tcPr>
            <w:tcW w:w="1305" w:type="dxa"/>
            <w:vAlign w:val="center"/>
          </w:tcPr>
          <w:p>
            <w:pPr>
              <w:pStyle w:val="100"/>
              <w:widowControl w:val="0"/>
              <w:bidi w:val="0"/>
              <w:adjustRightInd w:val="0"/>
              <w:snapToGrid w:val="0"/>
              <w:rPr>
                <w:rFonts w:hint="default"/>
                <w:lang w:val="en-US" w:eastAsia="zh-CN"/>
              </w:rPr>
            </w:pPr>
            <w:r>
              <w:rPr>
                <w:rFonts w:hint="eastAsia"/>
                <w:lang w:val="en-US" w:eastAsia="zh-CN"/>
              </w:rPr>
              <w:t>0.149</w:t>
            </w:r>
          </w:p>
        </w:tc>
        <w:tc>
          <w:tcPr>
            <w:tcW w:w="1172" w:type="dxa"/>
            <w:vAlign w:val="center"/>
          </w:tcPr>
          <w:p>
            <w:pPr>
              <w:pStyle w:val="100"/>
              <w:widowControl w:val="0"/>
              <w:bidi w:val="0"/>
              <w:adjustRightInd w:val="0"/>
              <w:snapToGrid w:val="0"/>
              <w:rPr>
                <w:rFonts w:hint="default"/>
                <w:lang w:val="en-US" w:eastAsia="zh-CN"/>
              </w:rPr>
            </w:pPr>
            <w:r>
              <w:rPr>
                <w:rFonts w:hint="eastAsia"/>
                <w:lang w:val="en-US" w:eastAsia="zh-CN"/>
              </w:rPr>
              <w:t>+0.151</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vAlign w:val="center"/>
          </w:tcPr>
          <w:p>
            <w:pPr>
              <w:pStyle w:val="100"/>
              <w:widowControl w:val="0"/>
              <w:bidi w:val="0"/>
              <w:adjustRightInd w:val="0"/>
              <w:snapToGrid w:val="0"/>
            </w:pPr>
          </w:p>
        </w:tc>
        <w:tc>
          <w:tcPr>
            <w:tcW w:w="664" w:type="dxa"/>
            <w:vMerge w:val="continue"/>
            <w:vAlign w:val="center"/>
          </w:tcPr>
          <w:p>
            <w:pPr>
              <w:pStyle w:val="100"/>
              <w:widowControl w:val="0"/>
              <w:bidi w:val="0"/>
              <w:adjustRightInd w:val="0"/>
              <w:snapToGrid w:val="0"/>
            </w:pPr>
          </w:p>
        </w:tc>
        <w:tc>
          <w:tcPr>
            <w:tcW w:w="1043" w:type="dxa"/>
            <w:gridSpan w:val="2"/>
            <w:vAlign w:val="center"/>
          </w:tcPr>
          <w:p>
            <w:pPr>
              <w:pStyle w:val="100"/>
              <w:widowControl w:val="0"/>
              <w:bidi w:val="0"/>
              <w:adjustRightInd w:val="0"/>
              <w:snapToGrid w:val="0"/>
            </w:pPr>
            <w:r>
              <w:rPr>
                <w:rFonts w:hint="eastAsia"/>
              </w:rPr>
              <w:t>氨氮</w:t>
            </w:r>
          </w:p>
        </w:tc>
        <w:tc>
          <w:tcPr>
            <w:tcW w:w="1128" w:type="dxa"/>
            <w:vAlign w:val="center"/>
          </w:tcPr>
          <w:p>
            <w:pPr>
              <w:pStyle w:val="100"/>
              <w:widowControl w:val="0"/>
              <w:bidi w:val="0"/>
              <w:adjustRightInd w:val="0"/>
              <w:snapToGrid w:val="0"/>
              <w:rPr>
                <w:rFonts w:hint="default"/>
                <w:lang w:val="en-US" w:eastAsia="zh-CN"/>
              </w:rPr>
            </w:pPr>
            <w:r>
              <w:rPr>
                <w:rFonts w:hint="eastAsia"/>
                <w:lang w:val="en-US" w:eastAsia="zh-CN"/>
              </w:rPr>
              <w:t>0.0128</w:t>
            </w:r>
          </w:p>
        </w:tc>
        <w:tc>
          <w:tcPr>
            <w:tcW w:w="1173" w:type="dxa"/>
            <w:vAlign w:val="center"/>
          </w:tcPr>
          <w:p>
            <w:pPr>
              <w:pStyle w:val="100"/>
              <w:widowControl w:val="0"/>
              <w:bidi w:val="0"/>
              <w:adjustRightInd w:val="0"/>
              <w:snapToGrid w:val="0"/>
            </w:pPr>
            <w:r>
              <w:rPr>
                <w:rFonts w:hint="eastAsia"/>
              </w:rPr>
              <w:t>0.026</w:t>
            </w:r>
          </w:p>
        </w:tc>
        <w:tc>
          <w:tcPr>
            <w:tcW w:w="1305" w:type="dxa"/>
            <w:vAlign w:val="center"/>
          </w:tcPr>
          <w:p>
            <w:pPr>
              <w:pStyle w:val="100"/>
              <w:widowControl w:val="0"/>
              <w:bidi w:val="0"/>
              <w:adjustRightInd w:val="0"/>
              <w:snapToGrid w:val="0"/>
              <w:rPr>
                <w:rFonts w:hint="default"/>
                <w:lang w:val="en-US" w:eastAsia="zh-CN"/>
              </w:rPr>
            </w:pPr>
            <w:r>
              <w:rPr>
                <w:rFonts w:hint="eastAsia"/>
                <w:lang w:val="en-US" w:eastAsia="zh-CN"/>
              </w:rPr>
              <w:t>0.0128</w:t>
            </w:r>
          </w:p>
        </w:tc>
        <w:tc>
          <w:tcPr>
            <w:tcW w:w="1172" w:type="dxa"/>
            <w:vAlign w:val="center"/>
          </w:tcPr>
          <w:p>
            <w:pPr>
              <w:pStyle w:val="100"/>
              <w:widowControl w:val="0"/>
              <w:bidi w:val="0"/>
              <w:adjustRightInd w:val="0"/>
              <w:snapToGrid w:val="0"/>
              <w:rPr>
                <w:rFonts w:hint="default"/>
                <w:lang w:val="en-US" w:eastAsia="zh-CN"/>
              </w:rPr>
            </w:pPr>
            <w:r>
              <w:rPr>
                <w:rFonts w:hint="eastAsia"/>
                <w:lang w:val="en-US" w:eastAsia="zh-CN"/>
              </w:rPr>
              <w:t>+0.0132</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61" w:type="dxa"/>
            <w:vMerge w:val="continue"/>
            <w:vAlign w:val="center"/>
          </w:tcPr>
          <w:p>
            <w:pPr>
              <w:pStyle w:val="100"/>
              <w:widowControl w:val="0"/>
              <w:bidi w:val="0"/>
              <w:adjustRightInd w:val="0"/>
              <w:snapToGrid w:val="0"/>
            </w:pPr>
          </w:p>
        </w:tc>
        <w:tc>
          <w:tcPr>
            <w:tcW w:w="664" w:type="dxa"/>
            <w:vMerge w:val="continue"/>
            <w:vAlign w:val="center"/>
          </w:tcPr>
          <w:p>
            <w:pPr>
              <w:pStyle w:val="100"/>
              <w:widowControl w:val="0"/>
              <w:bidi w:val="0"/>
              <w:adjustRightInd w:val="0"/>
              <w:snapToGrid w:val="0"/>
            </w:pPr>
          </w:p>
        </w:tc>
        <w:tc>
          <w:tcPr>
            <w:tcW w:w="1043" w:type="dxa"/>
            <w:gridSpan w:val="2"/>
            <w:vAlign w:val="center"/>
          </w:tcPr>
          <w:p>
            <w:pPr>
              <w:pStyle w:val="100"/>
              <w:widowControl w:val="0"/>
              <w:bidi w:val="0"/>
              <w:adjustRightInd w:val="0"/>
              <w:snapToGrid w:val="0"/>
            </w:pPr>
            <w:r>
              <w:rPr>
                <w:rFonts w:hint="eastAsia"/>
              </w:rPr>
              <w:t>总氮</w:t>
            </w:r>
          </w:p>
        </w:tc>
        <w:tc>
          <w:tcPr>
            <w:tcW w:w="1128" w:type="dxa"/>
            <w:vAlign w:val="center"/>
          </w:tcPr>
          <w:p>
            <w:pPr>
              <w:pStyle w:val="100"/>
              <w:widowControl w:val="0"/>
              <w:bidi w:val="0"/>
              <w:adjustRightInd w:val="0"/>
              <w:snapToGrid w:val="0"/>
              <w:rPr>
                <w:rFonts w:hint="default"/>
                <w:lang w:val="en-US" w:eastAsia="zh-CN"/>
              </w:rPr>
            </w:pPr>
            <w:r>
              <w:rPr>
                <w:rFonts w:hint="eastAsia"/>
              </w:rPr>
              <w:t>0.</w:t>
            </w:r>
            <w:r>
              <w:rPr>
                <w:rFonts w:hint="eastAsia"/>
                <w:lang w:val="en-US" w:eastAsia="zh-CN"/>
              </w:rPr>
              <w:t>017</w:t>
            </w:r>
          </w:p>
        </w:tc>
        <w:tc>
          <w:tcPr>
            <w:tcW w:w="1173" w:type="dxa"/>
            <w:vAlign w:val="center"/>
          </w:tcPr>
          <w:p>
            <w:pPr>
              <w:pStyle w:val="100"/>
              <w:widowControl w:val="0"/>
              <w:bidi w:val="0"/>
              <w:adjustRightInd w:val="0"/>
              <w:snapToGrid w:val="0"/>
            </w:pPr>
            <w:r>
              <w:rPr>
                <w:rFonts w:hint="eastAsia"/>
              </w:rPr>
              <w:t>0.034</w:t>
            </w:r>
          </w:p>
        </w:tc>
        <w:tc>
          <w:tcPr>
            <w:tcW w:w="1305" w:type="dxa"/>
            <w:vAlign w:val="center"/>
          </w:tcPr>
          <w:p>
            <w:pPr>
              <w:pStyle w:val="100"/>
              <w:widowControl w:val="0"/>
              <w:bidi w:val="0"/>
              <w:adjustRightInd w:val="0"/>
              <w:snapToGrid w:val="0"/>
              <w:rPr>
                <w:rFonts w:hint="default"/>
                <w:lang w:val="en-US" w:eastAsia="zh-CN"/>
              </w:rPr>
            </w:pPr>
            <w:r>
              <w:rPr>
                <w:rFonts w:hint="eastAsia"/>
              </w:rPr>
              <w:t>0</w:t>
            </w:r>
            <w:r>
              <w:rPr>
                <w:rFonts w:hint="eastAsia"/>
                <w:lang w:val="en-US" w:eastAsia="zh-CN"/>
              </w:rPr>
              <w:t>.017</w:t>
            </w:r>
          </w:p>
        </w:tc>
        <w:tc>
          <w:tcPr>
            <w:tcW w:w="1172" w:type="dxa"/>
            <w:vAlign w:val="center"/>
          </w:tcPr>
          <w:p>
            <w:pPr>
              <w:pStyle w:val="100"/>
              <w:widowControl w:val="0"/>
              <w:bidi w:val="0"/>
              <w:adjustRightInd w:val="0"/>
              <w:snapToGrid w:val="0"/>
              <w:rPr>
                <w:rFonts w:hint="default"/>
                <w:lang w:val="en-US" w:eastAsia="zh-CN"/>
              </w:rPr>
            </w:pPr>
            <w:r>
              <w:rPr>
                <w:rFonts w:hint="eastAsia"/>
                <w:lang w:val="en-US" w:eastAsia="zh-CN"/>
              </w:rPr>
              <w:t>+0.017</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vAlign w:val="center"/>
          </w:tcPr>
          <w:p>
            <w:pPr>
              <w:pStyle w:val="100"/>
              <w:widowControl w:val="0"/>
              <w:bidi w:val="0"/>
              <w:adjustRightInd w:val="0"/>
              <w:snapToGrid w:val="0"/>
            </w:pPr>
          </w:p>
        </w:tc>
        <w:tc>
          <w:tcPr>
            <w:tcW w:w="664" w:type="dxa"/>
            <w:vMerge w:val="continue"/>
            <w:vAlign w:val="center"/>
          </w:tcPr>
          <w:p>
            <w:pPr>
              <w:pStyle w:val="100"/>
              <w:widowControl w:val="0"/>
              <w:bidi w:val="0"/>
              <w:adjustRightInd w:val="0"/>
              <w:snapToGrid w:val="0"/>
            </w:pPr>
          </w:p>
        </w:tc>
        <w:tc>
          <w:tcPr>
            <w:tcW w:w="1043" w:type="dxa"/>
            <w:gridSpan w:val="2"/>
            <w:vAlign w:val="center"/>
          </w:tcPr>
          <w:p>
            <w:pPr>
              <w:pStyle w:val="100"/>
              <w:widowControl w:val="0"/>
              <w:bidi w:val="0"/>
              <w:adjustRightInd w:val="0"/>
              <w:snapToGrid w:val="0"/>
            </w:pPr>
            <w:r>
              <w:rPr>
                <w:rFonts w:hint="eastAsia"/>
              </w:rPr>
              <w:t>总磷</w:t>
            </w:r>
          </w:p>
        </w:tc>
        <w:tc>
          <w:tcPr>
            <w:tcW w:w="1128" w:type="dxa"/>
            <w:vAlign w:val="center"/>
          </w:tcPr>
          <w:p>
            <w:pPr>
              <w:pStyle w:val="100"/>
              <w:widowControl w:val="0"/>
              <w:bidi w:val="0"/>
              <w:adjustRightInd w:val="0"/>
              <w:snapToGrid w:val="0"/>
              <w:rPr>
                <w:rFonts w:hint="default"/>
                <w:lang w:val="en-US" w:eastAsia="zh-CN"/>
              </w:rPr>
            </w:pPr>
            <w:r>
              <w:rPr>
                <w:rFonts w:hint="eastAsia"/>
                <w:lang w:val="en-US" w:eastAsia="zh-CN"/>
              </w:rPr>
              <w:t>0.0017</w:t>
            </w:r>
          </w:p>
        </w:tc>
        <w:tc>
          <w:tcPr>
            <w:tcW w:w="1173" w:type="dxa"/>
            <w:vAlign w:val="center"/>
          </w:tcPr>
          <w:p>
            <w:pPr>
              <w:pStyle w:val="100"/>
              <w:widowControl w:val="0"/>
              <w:bidi w:val="0"/>
              <w:adjustRightInd w:val="0"/>
              <w:snapToGrid w:val="0"/>
            </w:pPr>
            <w:r>
              <w:rPr>
                <w:rFonts w:hint="eastAsia"/>
              </w:rPr>
              <w:t>0.003</w:t>
            </w:r>
          </w:p>
        </w:tc>
        <w:tc>
          <w:tcPr>
            <w:tcW w:w="1305" w:type="dxa"/>
            <w:vAlign w:val="center"/>
          </w:tcPr>
          <w:p>
            <w:pPr>
              <w:pStyle w:val="100"/>
              <w:widowControl w:val="0"/>
              <w:bidi w:val="0"/>
              <w:adjustRightInd w:val="0"/>
              <w:snapToGrid w:val="0"/>
              <w:rPr>
                <w:rFonts w:hint="default"/>
                <w:lang w:val="en-US" w:eastAsia="zh-CN"/>
              </w:rPr>
            </w:pPr>
            <w:r>
              <w:rPr>
                <w:rFonts w:hint="eastAsia"/>
              </w:rPr>
              <w:t>0</w:t>
            </w:r>
            <w:r>
              <w:rPr>
                <w:rFonts w:hint="eastAsia"/>
                <w:lang w:val="en-US" w:eastAsia="zh-CN"/>
              </w:rPr>
              <w:t>.0017</w:t>
            </w:r>
          </w:p>
        </w:tc>
        <w:tc>
          <w:tcPr>
            <w:tcW w:w="1172" w:type="dxa"/>
            <w:vAlign w:val="center"/>
          </w:tcPr>
          <w:p>
            <w:pPr>
              <w:pStyle w:val="100"/>
              <w:widowControl w:val="0"/>
              <w:bidi w:val="0"/>
              <w:adjustRightInd w:val="0"/>
              <w:snapToGrid w:val="0"/>
              <w:rPr>
                <w:rFonts w:hint="default"/>
                <w:lang w:val="en-US" w:eastAsia="zh-CN"/>
              </w:rPr>
            </w:pPr>
            <w:r>
              <w:rPr>
                <w:rFonts w:hint="eastAsia"/>
                <w:lang w:val="en-US" w:eastAsia="zh-CN"/>
              </w:rPr>
              <w:t>+0.0013</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1" w:type="dxa"/>
            <w:vMerge w:val="continue"/>
            <w:vAlign w:val="center"/>
          </w:tcPr>
          <w:p>
            <w:pPr>
              <w:pStyle w:val="100"/>
              <w:widowControl w:val="0"/>
              <w:bidi w:val="0"/>
              <w:adjustRightInd w:val="0"/>
              <w:snapToGrid w:val="0"/>
              <w:rPr>
                <w:rFonts w:hint="eastAsia"/>
                <w:lang w:eastAsia="zh-CN"/>
              </w:rPr>
            </w:pPr>
            <w:r>
              <w:rPr>
                <w:rFonts w:hint="eastAsia"/>
                <w:lang w:eastAsia="zh-CN"/>
              </w:rPr>
              <w:t xml:space="preserve"> </w:t>
            </w:r>
          </w:p>
        </w:tc>
        <w:tc>
          <w:tcPr>
            <w:tcW w:w="664" w:type="dxa"/>
            <w:vMerge w:val="continue"/>
            <w:vAlign w:val="center"/>
          </w:tcPr>
          <w:p>
            <w:pPr>
              <w:pStyle w:val="100"/>
              <w:widowControl w:val="0"/>
              <w:bidi w:val="0"/>
              <w:adjustRightInd w:val="0"/>
              <w:snapToGrid w:val="0"/>
            </w:pPr>
          </w:p>
        </w:tc>
        <w:tc>
          <w:tcPr>
            <w:tcW w:w="1043" w:type="dxa"/>
            <w:gridSpan w:val="2"/>
            <w:vAlign w:val="center"/>
          </w:tcPr>
          <w:p>
            <w:pPr>
              <w:pStyle w:val="100"/>
              <w:widowControl w:val="0"/>
              <w:bidi w:val="0"/>
              <w:adjustRightInd w:val="0"/>
              <w:snapToGrid w:val="0"/>
            </w:pPr>
            <w:r>
              <w:rPr>
                <w:rFonts w:hint="eastAsia"/>
              </w:rPr>
              <w:t>悬浮物</w:t>
            </w:r>
          </w:p>
        </w:tc>
        <w:tc>
          <w:tcPr>
            <w:tcW w:w="1128" w:type="dxa"/>
            <w:vAlign w:val="center"/>
          </w:tcPr>
          <w:p>
            <w:pPr>
              <w:pStyle w:val="100"/>
              <w:widowControl w:val="0"/>
              <w:bidi w:val="0"/>
              <w:adjustRightInd w:val="0"/>
              <w:snapToGrid w:val="0"/>
              <w:rPr>
                <w:rFonts w:hint="default"/>
                <w:lang w:val="en-US" w:eastAsia="zh-CN"/>
              </w:rPr>
            </w:pPr>
            <w:r>
              <w:rPr>
                <w:rFonts w:hint="eastAsia"/>
                <w:lang w:val="en-US" w:eastAsia="zh-CN"/>
              </w:rPr>
              <w:t>0.094</w:t>
            </w:r>
          </w:p>
        </w:tc>
        <w:tc>
          <w:tcPr>
            <w:tcW w:w="1173" w:type="dxa"/>
            <w:vAlign w:val="center"/>
          </w:tcPr>
          <w:p>
            <w:pPr>
              <w:pStyle w:val="100"/>
              <w:widowControl w:val="0"/>
              <w:bidi w:val="0"/>
              <w:adjustRightInd w:val="0"/>
              <w:snapToGrid w:val="0"/>
            </w:pPr>
            <w:r>
              <w:rPr>
                <w:rFonts w:hint="eastAsia"/>
              </w:rPr>
              <w:t>0.19</w:t>
            </w:r>
          </w:p>
        </w:tc>
        <w:tc>
          <w:tcPr>
            <w:tcW w:w="1305" w:type="dxa"/>
            <w:vAlign w:val="center"/>
          </w:tcPr>
          <w:p>
            <w:pPr>
              <w:pStyle w:val="100"/>
              <w:widowControl w:val="0"/>
              <w:bidi w:val="0"/>
              <w:adjustRightInd w:val="0"/>
              <w:snapToGrid w:val="0"/>
              <w:rPr>
                <w:rFonts w:hint="default"/>
                <w:lang w:val="en-US" w:eastAsia="zh-CN"/>
              </w:rPr>
            </w:pPr>
            <w:r>
              <w:rPr>
                <w:rFonts w:hint="eastAsia"/>
                <w:lang w:val="en-US" w:eastAsia="zh-CN"/>
              </w:rPr>
              <w:t>0.094</w:t>
            </w:r>
          </w:p>
        </w:tc>
        <w:tc>
          <w:tcPr>
            <w:tcW w:w="1172" w:type="dxa"/>
            <w:vAlign w:val="center"/>
          </w:tcPr>
          <w:p>
            <w:pPr>
              <w:pStyle w:val="100"/>
              <w:widowControl w:val="0"/>
              <w:bidi w:val="0"/>
              <w:adjustRightInd w:val="0"/>
              <w:snapToGrid w:val="0"/>
              <w:rPr>
                <w:rFonts w:hint="default"/>
                <w:lang w:val="en-US" w:eastAsia="zh-CN"/>
              </w:rPr>
            </w:pPr>
            <w:r>
              <w:rPr>
                <w:rFonts w:hint="eastAsia"/>
                <w:lang w:val="en-US" w:eastAsia="zh-CN"/>
              </w:rPr>
              <w:t>+0.096</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961" w:type="dxa"/>
            <w:vMerge w:val="continue"/>
            <w:vAlign w:val="center"/>
          </w:tcPr>
          <w:p>
            <w:pPr>
              <w:pStyle w:val="100"/>
              <w:widowControl w:val="0"/>
              <w:bidi w:val="0"/>
              <w:adjustRightInd w:val="0"/>
              <w:snapToGrid w:val="0"/>
            </w:pPr>
          </w:p>
        </w:tc>
        <w:tc>
          <w:tcPr>
            <w:tcW w:w="853" w:type="dxa"/>
            <w:gridSpan w:val="2"/>
            <w:vMerge w:val="restart"/>
            <w:vAlign w:val="center"/>
          </w:tcPr>
          <w:p>
            <w:pPr>
              <w:pStyle w:val="100"/>
              <w:widowControl w:val="0"/>
              <w:bidi w:val="0"/>
              <w:adjustRightInd w:val="0"/>
              <w:snapToGrid w:val="0"/>
              <w:rPr>
                <w:rFonts w:hint="eastAsia"/>
                <w:lang w:val="en-US" w:eastAsia="zh-CN"/>
              </w:rPr>
            </w:pPr>
            <w:r>
              <w:rPr>
                <w:rFonts w:hint="eastAsia"/>
                <w:lang w:val="en-US" w:eastAsia="zh-CN"/>
              </w:rPr>
              <w:t>VOCs</w:t>
            </w:r>
          </w:p>
        </w:tc>
        <w:tc>
          <w:tcPr>
            <w:tcW w:w="854" w:type="dxa"/>
            <w:vAlign w:val="center"/>
          </w:tcPr>
          <w:p>
            <w:pPr>
              <w:pStyle w:val="100"/>
              <w:widowControl w:val="0"/>
              <w:bidi w:val="0"/>
              <w:adjustRightInd w:val="0"/>
              <w:snapToGrid w:val="0"/>
            </w:pPr>
            <w:r>
              <w:rPr>
                <w:rFonts w:hint="eastAsia"/>
              </w:rPr>
              <w:t>有组织</w:t>
            </w:r>
          </w:p>
        </w:tc>
        <w:tc>
          <w:tcPr>
            <w:tcW w:w="1128" w:type="dxa"/>
            <w:vAlign w:val="center"/>
          </w:tcPr>
          <w:p>
            <w:pPr>
              <w:pStyle w:val="100"/>
              <w:widowControl w:val="0"/>
              <w:bidi w:val="0"/>
              <w:adjustRightInd w:val="0"/>
              <w:snapToGrid w:val="0"/>
              <w:rPr>
                <w:rFonts w:hint="eastAsia"/>
                <w:lang w:eastAsia="zh-CN"/>
              </w:rPr>
            </w:pPr>
            <w:r>
              <w:rPr>
                <w:rFonts w:hint="eastAsia"/>
                <w:lang w:val="en-US" w:eastAsia="zh-CN"/>
              </w:rPr>
              <w:t>/</w:t>
            </w:r>
          </w:p>
        </w:tc>
        <w:tc>
          <w:tcPr>
            <w:tcW w:w="1173" w:type="dxa"/>
            <w:vAlign w:val="center"/>
          </w:tcPr>
          <w:p>
            <w:pPr>
              <w:pStyle w:val="100"/>
              <w:widowControl w:val="0"/>
              <w:bidi w:val="0"/>
              <w:adjustRightInd w:val="0"/>
              <w:snapToGrid w:val="0"/>
            </w:pPr>
            <w:r>
              <w:rPr>
                <w:rFonts w:hint="eastAsia"/>
              </w:rPr>
              <w:t>0.0387</w:t>
            </w:r>
          </w:p>
        </w:tc>
        <w:tc>
          <w:tcPr>
            <w:tcW w:w="1305" w:type="dxa"/>
            <w:vAlign w:val="center"/>
          </w:tcPr>
          <w:p>
            <w:pPr>
              <w:pStyle w:val="100"/>
              <w:widowControl w:val="0"/>
              <w:bidi w:val="0"/>
              <w:adjustRightInd w:val="0"/>
              <w:snapToGrid w:val="0"/>
            </w:pPr>
            <w:r>
              <w:rPr>
                <w:rFonts w:hint="eastAsia"/>
              </w:rPr>
              <w:t>0</w:t>
            </w:r>
          </w:p>
        </w:tc>
        <w:tc>
          <w:tcPr>
            <w:tcW w:w="1172" w:type="dxa"/>
            <w:vAlign w:val="center"/>
          </w:tcPr>
          <w:p>
            <w:pPr>
              <w:pStyle w:val="100"/>
              <w:widowControl w:val="0"/>
              <w:bidi w:val="0"/>
              <w:adjustRightInd w:val="0"/>
              <w:snapToGrid w:val="0"/>
              <w:rPr>
                <w:rFonts w:hint="default"/>
                <w:lang w:val="en-US" w:eastAsia="zh-CN"/>
              </w:rPr>
            </w:pPr>
            <w:r>
              <w:rPr>
                <w:rFonts w:hint="eastAsia"/>
              </w:rPr>
              <w:t>+0.</w:t>
            </w:r>
            <w:r>
              <w:rPr>
                <w:rFonts w:hint="eastAsia"/>
                <w:lang w:val="en-US" w:eastAsia="zh-CN"/>
              </w:rPr>
              <w:t>0387</w:t>
            </w:r>
          </w:p>
        </w:tc>
        <w:tc>
          <w:tcPr>
            <w:tcW w:w="1038" w:type="dxa"/>
            <w:vMerge w:val="restart"/>
            <w:vAlign w:val="center"/>
          </w:tcPr>
          <w:p>
            <w:pPr>
              <w:pStyle w:val="100"/>
              <w:widowControl w:val="0"/>
              <w:bidi w:val="0"/>
              <w:adjustRightInd w:val="0"/>
              <w:snapToGrid w:val="0"/>
              <w:rPr>
                <w:rFonts w:hint="default"/>
                <w:lang w:val="en-US" w:eastAsia="zh-CN"/>
              </w:rPr>
            </w:pPr>
            <w:r>
              <w:rPr>
                <w:rFonts w:hint="eastAsia"/>
                <w:lang w:val="en-US" w:eastAsia="zh-CN"/>
              </w:rPr>
              <w:t>0.0817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961" w:type="dxa"/>
            <w:vMerge w:val="continue"/>
            <w:vAlign w:val="center"/>
          </w:tcPr>
          <w:p>
            <w:pPr>
              <w:pStyle w:val="100"/>
              <w:widowControl w:val="0"/>
              <w:bidi w:val="0"/>
              <w:adjustRightInd w:val="0"/>
              <w:snapToGrid w:val="0"/>
            </w:pPr>
          </w:p>
        </w:tc>
        <w:tc>
          <w:tcPr>
            <w:tcW w:w="853" w:type="dxa"/>
            <w:gridSpan w:val="2"/>
            <w:vMerge w:val="continue"/>
            <w:vAlign w:val="center"/>
          </w:tcPr>
          <w:p>
            <w:pPr>
              <w:pStyle w:val="100"/>
              <w:widowControl w:val="0"/>
              <w:bidi w:val="0"/>
              <w:adjustRightInd w:val="0"/>
              <w:snapToGrid w:val="0"/>
            </w:pPr>
          </w:p>
        </w:tc>
        <w:tc>
          <w:tcPr>
            <w:tcW w:w="854" w:type="dxa"/>
            <w:vAlign w:val="center"/>
          </w:tcPr>
          <w:p>
            <w:pPr>
              <w:pStyle w:val="100"/>
              <w:widowControl w:val="0"/>
              <w:bidi w:val="0"/>
              <w:adjustRightInd w:val="0"/>
              <w:snapToGrid w:val="0"/>
            </w:pPr>
            <w:r>
              <w:rPr>
                <w:rFonts w:hint="eastAsia"/>
              </w:rPr>
              <w:t>无组织</w:t>
            </w:r>
          </w:p>
        </w:tc>
        <w:tc>
          <w:tcPr>
            <w:tcW w:w="1128" w:type="dxa"/>
            <w:vAlign w:val="center"/>
          </w:tcPr>
          <w:p>
            <w:pPr>
              <w:pStyle w:val="100"/>
              <w:widowControl w:val="0"/>
              <w:bidi w:val="0"/>
              <w:adjustRightInd w:val="0"/>
              <w:snapToGrid w:val="0"/>
              <w:rPr>
                <w:rFonts w:hint="eastAsia"/>
                <w:lang w:val="en-US" w:eastAsia="zh-CN"/>
              </w:rPr>
            </w:pPr>
            <w:r>
              <w:rPr>
                <w:rFonts w:hint="eastAsia"/>
                <w:lang w:val="en-US" w:eastAsia="zh-CN"/>
              </w:rPr>
              <w:t>/</w:t>
            </w:r>
          </w:p>
        </w:tc>
        <w:tc>
          <w:tcPr>
            <w:tcW w:w="1173" w:type="dxa"/>
            <w:vAlign w:val="center"/>
          </w:tcPr>
          <w:p>
            <w:pPr>
              <w:pStyle w:val="100"/>
              <w:widowControl w:val="0"/>
              <w:bidi w:val="0"/>
              <w:adjustRightInd w:val="0"/>
              <w:snapToGrid w:val="0"/>
            </w:pPr>
            <w:r>
              <w:rPr>
                <w:rFonts w:hint="eastAsia"/>
              </w:rPr>
              <w:t>0.043</w:t>
            </w:r>
          </w:p>
        </w:tc>
        <w:tc>
          <w:tcPr>
            <w:tcW w:w="1305" w:type="dxa"/>
            <w:vAlign w:val="center"/>
          </w:tcPr>
          <w:p>
            <w:pPr>
              <w:pStyle w:val="100"/>
              <w:widowControl w:val="0"/>
              <w:bidi w:val="0"/>
              <w:adjustRightInd w:val="0"/>
              <w:snapToGrid w:val="0"/>
            </w:pPr>
            <w:r>
              <w:rPr>
                <w:rFonts w:hint="eastAsia"/>
              </w:rPr>
              <w:t>0</w:t>
            </w:r>
          </w:p>
        </w:tc>
        <w:tc>
          <w:tcPr>
            <w:tcW w:w="1172" w:type="dxa"/>
            <w:vAlign w:val="center"/>
          </w:tcPr>
          <w:p>
            <w:pPr>
              <w:pStyle w:val="100"/>
              <w:widowControl w:val="0"/>
              <w:bidi w:val="0"/>
              <w:adjustRightInd w:val="0"/>
              <w:snapToGrid w:val="0"/>
              <w:rPr>
                <w:rFonts w:hint="default"/>
                <w:lang w:val="en-US" w:eastAsia="zh-CN"/>
              </w:rPr>
            </w:pPr>
            <w:r>
              <w:rPr>
                <w:rFonts w:hint="eastAsia"/>
              </w:rPr>
              <w:t>+0.</w:t>
            </w:r>
            <w:r>
              <w:rPr>
                <w:rFonts w:hint="eastAsia"/>
                <w:lang w:val="en-US" w:eastAsia="zh-CN"/>
              </w:rPr>
              <w:t>043</w:t>
            </w:r>
          </w:p>
        </w:tc>
        <w:tc>
          <w:tcPr>
            <w:tcW w:w="103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restart"/>
            <w:vAlign w:val="center"/>
          </w:tcPr>
          <w:p>
            <w:pPr>
              <w:pStyle w:val="100"/>
              <w:widowControl w:val="0"/>
              <w:bidi w:val="0"/>
              <w:adjustRightInd w:val="0"/>
              <w:snapToGrid w:val="0"/>
            </w:pPr>
            <w:r>
              <w:rPr>
                <w:rFonts w:hint="eastAsia"/>
              </w:rPr>
              <w:t>固 废</w:t>
            </w:r>
          </w:p>
        </w:tc>
        <w:tc>
          <w:tcPr>
            <w:tcW w:w="1707" w:type="dxa"/>
            <w:gridSpan w:val="3"/>
            <w:vAlign w:val="center"/>
          </w:tcPr>
          <w:p>
            <w:pPr>
              <w:pStyle w:val="100"/>
              <w:widowControl w:val="0"/>
              <w:bidi w:val="0"/>
              <w:adjustRightInd w:val="0"/>
              <w:snapToGrid w:val="0"/>
            </w:pPr>
            <w:r>
              <w:rPr>
                <w:rFonts w:hint="eastAsia"/>
              </w:rPr>
              <w:t>一般</w:t>
            </w:r>
            <w:r>
              <w:t>固废</w:t>
            </w:r>
          </w:p>
        </w:tc>
        <w:tc>
          <w:tcPr>
            <w:tcW w:w="1128" w:type="dxa"/>
            <w:vAlign w:val="center"/>
          </w:tcPr>
          <w:p>
            <w:pPr>
              <w:pStyle w:val="100"/>
              <w:widowControl w:val="0"/>
              <w:bidi w:val="0"/>
              <w:adjustRightInd w:val="0"/>
              <w:snapToGrid w:val="0"/>
            </w:pPr>
            <w:r>
              <w:t>0</w:t>
            </w:r>
          </w:p>
        </w:tc>
        <w:tc>
          <w:tcPr>
            <w:tcW w:w="1173" w:type="dxa"/>
            <w:vAlign w:val="center"/>
          </w:tcPr>
          <w:p>
            <w:pPr>
              <w:pStyle w:val="100"/>
              <w:widowControl w:val="0"/>
              <w:bidi w:val="0"/>
              <w:adjustRightInd w:val="0"/>
              <w:snapToGrid w:val="0"/>
            </w:pPr>
            <w:r>
              <w:t>0</w:t>
            </w:r>
          </w:p>
        </w:tc>
        <w:tc>
          <w:tcPr>
            <w:tcW w:w="1305" w:type="dxa"/>
            <w:vAlign w:val="center"/>
          </w:tcPr>
          <w:p>
            <w:pPr>
              <w:pStyle w:val="100"/>
              <w:widowControl w:val="0"/>
              <w:bidi w:val="0"/>
              <w:adjustRightInd w:val="0"/>
              <w:snapToGrid w:val="0"/>
            </w:pPr>
            <w:r>
              <w:t>0</w:t>
            </w:r>
          </w:p>
        </w:tc>
        <w:tc>
          <w:tcPr>
            <w:tcW w:w="1172" w:type="dxa"/>
            <w:vAlign w:val="center"/>
          </w:tcPr>
          <w:p>
            <w:pPr>
              <w:pStyle w:val="100"/>
              <w:widowControl w:val="0"/>
              <w:bidi w:val="0"/>
              <w:adjustRightInd w:val="0"/>
              <w:snapToGrid w:val="0"/>
            </w:pPr>
            <w:r>
              <w:t>0</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vAlign w:val="center"/>
          </w:tcPr>
          <w:p>
            <w:pPr>
              <w:pStyle w:val="100"/>
              <w:widowControl w:val="0"/>
              <w:bidi w:val="0"/>
              <w:adjustRightInd w:val="0"/>
              <w:snapToGrid w:val="0"/>
            </w:pPr>
          </w:p>
        </w:tc>
        <w:tc>
          <w:tcPr>
            <w:tcW w:w="1707" w:type="dxa"/>
            <w:gridSpan w:val="3"/>
            <w:vAlign w:val="center"/>
          </w:tcPr>
          <w:p>
            <w:pPr>
              <w:pStyle w:val="100"/>
              <w:widowControl w:val="0"/>
              <w:bidi w:val="0"/>
              <w:adjustRightInd w:val="0"/>
              <w:snapToGrid w:val="0"/>
            </w:pPr>
            <w:r>
              <w:rPr>
                <w:rFonts w:hint="eastAsia"/>
              </w:rPr>
              <w:t>危险固废</w:t>
            </w:r>
          </w:p>
        </w:tc>
        <w:tc>
          <w:tcPr>
            <w:tcW w:w="1128" w:type="dxa"/>
            <w:vAlign w:val="center"/>
          </w:tcPr>
          <w:p>
            <w:pPr>
              <w:pStyle w:val="100"/>
              <w:widowControl w:val="0"/>
              <w:bidi w:val="0"/>
              <w:adjustRightInd w:val="0"/>
              <w:snapToGrid w:val="0"/>
            </w:pPr>
            <w:r>
              <w:t>0</w:t>
            </w:r>
          </w:p>
        </w:tc>
        <w:tc>
          <w:tcPr>
            <w:tcW w:w="1173" w:type="dxa"/>
            <w:vAlign w:val="center"/>
          </w:tcPr>
          <w:p>
            <w:pPr>
              <w:pStyle w:val="100"/>
              <w:widowControl w:val="0"/>
              <w:bidi w:val="0"/>
              <w:adjustRightInd w:val="0"/>
              <w:snapToGrid w:val="0"/>
            </w:pPr>
            <w:r>
              <w:t>0</w:t>
            </w:r>
          </w:p>
        </w:tc>
        <w:tc>
          <w:tcPr>
            <w:tcW w:w="1305" w:type="dxa"/>
            <w:vAlign w:val="center"/>
          </w:tcPr>
          <w:p>
            <w:pPr>
              <w:pStyle w:val="100"/>
              <w:widowControl w:val="0"/>
              <w:bidi w:val="0"/>
              <w:adjustRightInd w:val="0"/>
              <w:snapToGrid w:val="0"/>
            </w:pPr>
            <w:r>
              <w:t>0</w:t>
            </w:r>
          </w:p>
        </w:tc>
        <w:tc>
          <w:tcPr>
            <w:tcW w:w="1172" w:type="dxa"/>
            <w:vAlign w:val="center"/>
          </w:tcPr>
          <w:p>
            <w:pPr>
              <w:pStyle w:val="100"/>
              <w:widowControl w:val="0"/>
              <w:bidi w:val="0"/>
              <w:adjustRightInd w:val="0"/>
              <w:snapToGrid w:val="0"/>
            </w:pPr>
            <w:r>
              <w:t>0</w:t>
            </w:r>
          </w:p>
        </w:tc>
        <w:tc>
          <w:tcPr>
            <w:tcW w:w="1038"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Merge w:val="continue"/>
            <w:vAlign w:val="center"/>
          </w:tcPr>
          <w:p>
            <w:pPr>
              <w:pStyle w:val="100"/>
              <w:widowControl w:val="0"/>
              <w:bidi w:val="0"/>
              <w:adjustRightInd w:val="0"/>
              <w:snapToGrid w:val="0"/>
            </w:pPr>
          </w:p>
        </w:tc>
        <w:tc>
          <w:tcPr>
            <w:tcW w:w="1707" w:type="dxa"/>
            <w:gridSpan w:val="3"/>
            <w:vAlign w:val="center"/>
          </w:tcPr>
          <w:p>
            <w:pPr>
              <w:pStyle w:val="100"/>
              <w:widowControl w:val="0"/>
              <w:bidi w:val="0"/>
              <w:adjustRightInd w:val="0"/>
              <w:snapToGrid w:val="0"/>
            </w:pPr>
            <w:r>
              <w:t>生活垃圾</w:t>
            </w:r>
          </w:p>
        </w:tc>
        <w:tc>
          <w:tcPr>
            <w:tcW w:w="1128" w:type="dxa"/>
            <w:vAlign w:val="center"/>
          </w:tcPr>
          <w:p>
            <w:pPr>
              <w:pStyle w:val="100"/>
              <w:widowControl w:val="0"/>
              <w:bidi w:val="0"/>
              <w:adjustRightInd w:val="0"/>
              <w:snapToGrid w:val="0"/>
            </w:pPr>
            <w:r>
              <w:t>0</w:t>
            </w:r>
          </w:p>
        </w:tc>
        <w:tc>
          <w:tcPr>
            <w:tcW w:w="1173" w:type="dxa"/>
            <w:vAlign w:val="center"/>
          </w:tcPr>
          <w:p>
            <w:pPr>
              <w:pStyle w:val="100"/>
              <w:widowControl w:val="0"/>
              <w:bidi w:val="0"/>
              <w:adjustRightInd w:val="0"/>
              <w:snapToGrid w:val="0"/>
            </w:pPr>
            <w:r>
              <w:t>0</w:t>
            </w:r>
          </w:p>
        </w:tc>
        <w:tc>
          <w:tcPr>
            <w:tcW w:w="1305" w:type="dxa"/>
            <w:vAlign w:val="center"/>
          </w:tcPr>
          <w:p>
            <w:pPr>
              <w:pStyle w:val="100"/>
              <w:widowControl w:val="0"/>
              <w:bidi w:val="0"/>
              <w:adjustRightInd w:val="0"/>
              <w:snapToGrid w:val="0"/>
            </w:pPr>
            <w:r>
              <w:t>0</w:t>
            </w:r>
          </w:p>
        </w:tc>
        <w:tc>
          <w:tcPr>
            <w:tcW w:w="1172" w:type="dxa"/>
            <w:vAlign w:val="center"/>
          </w:tcPr>
          <w:p>
            <w:pPr>
              <w:pStyle w:val="100"/>
              <w:widowControl w:val="0"/>
              <w:bidi w:val="0"/>
              <w:adjustRightInd w:val="0"/>
              <w:snapToGrid w:val="0"/>
            </w:pPr>
            <w:r>
              <w:t>0</w:t>
            </w:r>
          </w:p>
        </w:tc>
        <w:tc>
          <w:tcPr>
            <w:tcW w:w="1038" w:type="dxa"/>
            <w:vAlign w:val="center"/>
          </w:tcPr>
          <w:p>
            <w:pPr>
              <w:pStyle w:val="100"/>
              <w:widowControl w:val="0"/>
              <w:bidi w:val="0"/>
              <w:adjustRightInd w:val="0"/>
              <w:snapToGrid w:val="0"/>
            </w:pPr>
            <w:r>
              <w:t>/</w:t>
            </w:r>
          </w:p>
        </w:tc>
      </w:tr>
    </w:tbl>
    <w:p>
      <w:pPr>
        <w:pStyle w:val="104"/>
      </w:pPr>
      <w:r>
        <w:rPr>
          <w:rFonts w:hint="eastAsia"/>
        </w:rPr>
        <w:t>总量平衡途径分析</w:t>
      </w:r>
    </w:p>
    <w:p>
      <w:pPr>
        <w:pStyle w:val="103"/>
        <w:bidi w:val="0"/>
      </w:pPr>
      <w:r>
        <w:rPr>
          <w:rFonts w:hint="eastAsia"/>
        </w:rPr>
        <w:t>本项目新增生活污水排放量</w:t>
      </w:r>
      <w:r>
        <w:rPr>
          <w:rFonts w:hint="eastAsia"/>
          <w:lang w:val="en-US" w:eastAsia="zh-CN"/>
        </w:rPr>
        <w:t>431.8</w:t>
      </w:r>
      <w:r>
        <w:t>t/a，根据苏环办字【2017】54号文件，生活污水主要污染物排放总量指标不再需要审核区域平衡方案。</w:t>
      </w:r>
    </w:p>
    <w:p>
      <w:pPr>
        <w:pStyle w:val="103"/>
        <w:bidi w:val="0"/>
      </w:pPr>
      <w:r>
        <w:rPr>
          <w:rFonts w:hint="eastAsia"/>
        </w:rPr>
        <w:t>本项目新增</w:t>
      </w:r>
      <w:r>
        <w:rPr>
          <w:rFonts w:hint="eastAsia"/>
          <w:lang w:val="en-US" w:eastAsia="zh-CN"/>
        </w:rPr>
        <w:t>VOCs</w:t>
      </w:r>
      <w:r>
        <w:t>排放量</w:t>
      </w:r>
      <w:r>
        <w:rPr>
          <w:rFonts w:hint="eastAsia"/>
          <w:lang w:val="en-US" w:eastAsia="zh-CN"/>
        </w:rPr>
        <w:t>0.0817</w:t>
      </w:r>
      <w:r>
        <w:t>t/a</w:t>
      </w:r>
      <w:r>
        <w:rPr>
          <w:rFonts w:hint="eastAsia"/>
        </w:rPr>
        <w:t>，</w:t>
      </w:r>
      <w:r>
        <w:t>根据苏环办[2014]148号文件，</w:t>
      </w:r>
      <w:r>
        <w:rPr>
          <w:rFonts w:hint="eastAsia"/>
          <w:lang w:val="en-US" w:eastAsia="zh-CN"/>
        </w:rPr>
        <w:t>VOCs</w:t>
      </w:r>
      <w:r>
        <w:t>污染物排放总量指标向吴江区环保局申请，在吴江区域内平衡。</w:t>
      </w:r>
      <w:bookmarkEnd w:id="55"/>
    </w:p>
    <w:p>
      <w:pPr>
        <w:pStyle w:val="103"/>
      </w:pPr>
    </w:p>
    <w:p>
      <w:pPr>
        <w:pStyle w:val="103"/>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p>
      <w:pPr>
        <w:pStyle w:val="4"/>
      </w:pPr>
      <w:bookmarkStart w:id="57" w:name="_Toc20144"/>
      <w:bookmarkStart w:id="58" w:name="_Toc307515811"/>
      <w:r>
        <w:rPr>
          <w:rFonts w:hint="eastAsia"/>
        </w:rPr>
        <w:t>建设项目工程分析</w:t>
      </w:r>
      <w:r>
        <mc:AlternateContent>
          <mc:Choice Requires="wps">
            <w:drawing>
              <wp:anchor distT="0" distB="0" distL="114300" distR="114300" simplePos="0" relativeHeight="251662336" behindDoc="0" locked="0" layoutInCell="1" allowOverlap="1">
                <wp:simplePos x="0" y="0"/>
                <wp:positionH relativeFrom="column">
                  <wp:posOffset>-115570</wp:posOffset>
                </wp:positionH>
                <wp:positionV relativeFrom="page">
                  <wp:posOffset>845820</wp:posOffset>
                </wp:positionV>
                <wp:extent cx="2716530" cy="411480"/>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2716530" cy="411480"/>
                        </a:xfrm>
                        <a:prstGeom prst="rect">
                          <a:avLst/>
                        </a:prstGeom>
                        <a:solidFill>
                          <a:srgbClr val="FFFFFF">
                            <a:alpha val="0"/>
                          </a:srgbClr>
                        </a:solidFill>
                        <a:ln>
                          <a:noFill/>
                        </a:ln>
                      </wps:spPr>
                      <wps:txbx>
                        <w:txbxContent>
                          <w:p>
                            <w:pPr>
                              <w:pStyle w:val="345"/>
                            </w:pPr>
                            <w:bookmarkStart w:id="99" w:name="_Toc307515812"/>
                            <w:r>
                              <w:rPr>
                                <w:rFonts w:hint="eastAsia"/>
                              </w:rPr>
                              <w:t>五、建设项目工程分析</w:t>
                            </w:r>
                            <w:bookmarkEnd w:id="99"/>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pt;margin-top:66.6pt;height:32.4pt;width:213.9pt;mso-position-vertical-relative:page;z-index:251662336;mso-width-relative:page;mso-height-relative:page;" fillcolor="#FFFFFF" filled="t" stroked="f" coordsize="21600,21600" o:gfxdata="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oDXz3ZAAAACwEAAA8AAAAAAAAAAQAgAAAAIgAAAGRycy9kb3du&#10;cmV2LnhtbFBLAQIUABQAAAAIAIdO4kA1lu/nNwIAAF0EAAAOAAAAAAAAAAEAIAAAACgBAABkcnMv&#10;ZTJvRG9jLnhtbFBLBQYAAAAABgAGAFkBAADRBQAAAAA=&#10;">
                <v:fill on="t" opacity="0f" focussize="0,0"/>
                <v:stroke on="f"/>
                <v:imagedata o:title=""/>
                <o:lock v:ext="edit" aspectratio="f"/>
                <v:textbox>
                  <w:txbxContent>
                    <w:p>
                      <w:pPr>
                        <w:pStyle w:val="345"/>
                      </w:pPr>
                      <w:bookmarkStart w:id="99" w:name="_Toc307515812"/>
                      <w:r>
                        <w:rPr>
                          <w:rFonts w:hint="eastAsia"/>
                        </w:rPr>
                        <w:t>五、建设项目工程分析</w:t>
                      </w:r>
                      <w:bookmarkEnd w:id="99"/>
                    </w:p>
                  </w:txbxContent>
                </v:textbox>
              </v:shape>
            </w:pict>
          </mc:Fallback>
        </mc:AlternateContent>
      </w:r>
      <w:bookmarkEnd w:id="57"/>
    </w:p>
    <w:p>
      <w:pPr>
        <w:pStyle w:val="102"/>
      </w:pPr>
      <w:r>
        <w:t>工艺流程简述</w:t>
      </w:r>
      <w:bookmarkEnd w:id="58"/>
    </w:p>
    <w:p>
      <w:pPr>
        <w:pStyle w:val="104"/>
      </w:pPr>
      <w:r>
        <w:rPr>
          <w:rFonts w:hint="eastAsia"/>
        </w:rPr>
        <w:t>施工期工艺流程</w:t>
      </w:r>
    </w:p>
    <w:p>
      <w:pPr>
        <w:pStyle w:val="103"/>
        <w:bidi w:val="0"/>
      </w:pPr>
      <w:r>
        <w:rPr>
          <w:rFonts w:hint="eastAsia"/>
        </w:rPr>
        <w:t>项目建设期对环境的影响主要表现为：施工扬尘、施工废水、施工机械噪声以及施工队伍的生活排污。施工流程及各阶段主要污染物产生见图5-1。</w:t>
      </w:r>
    </w:p>
    <w:p>
      <w:pPr>
        <w:pStyle w:val="103"/>
        <w:ind w:firstLine="480"/>
      </w:pPr>
      <w:r>
        <w:object>
          <v:shape id="_x0000_i1025" o:spt="75" type="#_x0000_t75" style="height:152.4pt;width:364.4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7" r:id="rId13">
            <o:LockedField>false</o:LockedField>
          </o:OLEObject>
        </w:object>
      </w:r>
    </w:p>
    <w:p>
      <w:pPr>
        <w:pStyle w:val="134"/>
      </w:pPr>
      <w:r>
        <w:t>图</w:t>
      </w:r>
      <w:r>
        <w:rPr>
          <w:rFonts w:hint="eastAsia"/>
        </w:rPr>
        <w:t xml:space="preserve">5-1 </w:t>
      </w:r>
      <w:r>
        <w:t>施工流程及产污环节图</w:t>
      </w:r>
    </w:p>
    <w:p>
      <w:pPr>
        <w:pStyle w:val="103"/>
        <w:bidi w:val="0"/>
        <w:rPr>
          <w:rFonts w:hint="eastAsia"/>
        </w:rPr>
      </w:pPr>
      <w:r>
        <w:rPr>
          <w:rFonts w:hint="eastAsia"/>
        </w:rPr>
        <w:t>建设项目总占地面积为2938m2，基础工程主要为设备基础。主体工程为</w:t>
      </w:r>
      <w:r>
        <w:rPr>
          <w:rFonts w:hint="eastAsia"/>
          <w:lang w:val="en-US" w:eastAsia="zh-CN"/>
        </w:rPr>
        <w:t>生产线的部署</w:t>
      </w:r>
      <w:r>
        <w:rPr>
          <w:rFonts w:hint="eastAsia"/>
        </w:rPr>
        <w:t>，附属工程为电信工程、自控工程。施工时间计划于202</w:t>
      </w:r>
      <w:r>
        <w:rPr>
          <w:rFonts w:hint="eastAsia"/>
          <w:lang w:val="en-US" w:eastAsia="zh-CN"/>
        </w:rPr>
        <w:t>1</w:t>
      </w:r>
      <w:r>
        <w:rPr>
          <w:rFonts w:hint="eastAsia"/>
        </w:rPr>
        <w:t>年</w:t>
      </w:r>
      <w:r>
        <w:rPr>
          <w:rFonts w:hint="eastAsia"/>
          <w:lang w:val="en-US" w:eastAsia="zh-CN"/>
        </w:rPr>
        <w:t>1</w:t>
      </w:r>
      <w:r>
        <w:rPr>
          <w:rFonts w:hint="eastAsia"/>
        </w:rPr>
        <w:t>月</w:t>
      </w:r>
      <w:r>
        <w:rPr>
          <w:rFonts w:hint="eastAsia"/>
          <w:lang w:val="en-US" w:eastAsia="zh-CN"/>
        </w:rPr>
        <w:t>4</w:t>
      </w:r>
      <w:r>
        <w:rPr>
          <w:rFonts w:hint="eastAsia"/>
        </w:rPr>
        <w:t>日起至2021年</w:t>
      </w:r>
      <w:r>
        <w:rPr>
          <w:rFonts w:hint="eastAsia"/>
          <w:lang w:val="en-US" w:eastAsia="zh-CN"/>
        </w:rPr>
        <w:t>2</w:t>
      </w:r>
      <w:r>
        <w:rPr>
          <w:rFonts w:hint="eastAsia"/>
        </w:rPr>
        <w:t>月</w:t>
      </w:r>
      <w:r>
        <w:rPr>
          <w:rFonts w:hint="eastAsia"/>
          <w:lang w:val="en-US" w:eastAsia="zh-CN"/>
        </w:rPr>
        <w:t>28</w:t>
      </w:r>
      <w:r>
        <w:rPr>
          <w:rFonts w:hint="eastAsia"/>
        </w:rPr>
        <w:t>日止。</w:t>
      </w: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3"/>
        <w:rPr>
          <w:rFonts w:hint="eastAsia"/>
        </w:rPr>
      </w:pPr>
    </w:p>
    <w:p>
      <w:pPr>
        <w:pStyle w:val="104"/>
      </w:pPr>
      <w:r>
        <w:pict>
          <v:shape id="_x0000_s1031" o:spid="_x0000_s1031" o:spt="75" type="#_x0000_t75" style="position:absolute;left:0pt;margin-left:-55.15pt;margin-top:13.7pt;height:323.4pt;width:596.85pt;z-index:251668480;mso-width-relative:page;mso-height-relative:page;" o:ole="t" filled="f" o:preferrelative="t" stroked="f" coordsize="21600,21600">
            <v:path/>
            <v:fill on="f" focussize="0,0"/>
            <v:stroke on="f"/>
            <v:imagedata r:id="rId16" o:title=""/>
            <o:lock v:ext="edit" aspectratio="t"/>
          </v:shape>
          <o:OLEObject Type="Embed" ProgID="Visio.Drawing.15" ShapeID="_x0000_s1031" DrawAspect="Content" ObjectID="_1468075728" r:id="rId15">
            <o:LockedField>false</o:LockedField>
          </o:OLEObject>
        </w:pict>
      </w:r>
      <w:r>
        <w:rPr>
          <w:rFonts w:hint="eastAsia"/>
        </w:rPr>
        <w:t>运营期工艺流程</w:t>
      </w:r>
    </w:p>
    <w:p>
      <w:pPr>
        <w:pStyle w:val="103"/>
        <w:ind w:firstLine="480"/>
      </w:pPr>
    </w:p>
    <w:p>
      <w:pPr>
        <w:pStyle w:val="103"/>
        <w:ind w:firstLine="480"/>
      </w:pPr>
    </w:p>
    <w:p>
      <w:pPr>
        <w:pStyle w:val="103"/>
        <w:ind w:firstLine="480"/>
      </w:pPr>
    </w:p>
    <w:p>
      <w:pPr>
        <w:pStyle w:val="103"/>
        <w:ind w:firstLine="480"/>
      </w:pPr>
    </w:p>
    <w:p>
      <w:pPr>
        <w:pStyle w:val="103"/>
        <w:ind w:firstLine="480"/>
      </w:pPr>
    </w:p>
    <w:p>
      <w:pPr>
        <w:pStyle w:val="103"/>
        <w:ind w:firstLine="480"/>
      </w:pPr>
    </w:p>
    <w:p>
      <w:pPr>
        <w:pStyle w:val="103"/>
        <w:ind w:firstLine="480"/>
      </w:pPr>
    </w:p>
    <w:p>
      <w:pPr>
        <w:pStyle w:val="103"/>
        <w:ind w:firstLine="480"/>
      </w:pPr>
    </w:p>
    <w:p>
      <w:pPr>
        <w:pStyle w:val="103"/>
        <w:ind w:firstLine="480"/>
      </w:pPr>
    </w:p>
    <w:p>
      <w:pPr>
        <w:pStyle w:val="103"/>
        <w:ind w:firstLine="480"/>
      </w:pPr>
    </w:p>
    <w:p>
      <w:pPr>
        <w:pStyle w:val="103"/>
        <w:ind w:firstLine="480"/>
      </w:pPr>
    </w:p>
    <w:p>
      <w:pPr>
        <w:pStyle w:val="134"/>
        <w:rPr>
          <w:highlight w:val="yellow"/>
        </w:rPr>
      </w:pPr>
    </w:p>
    <w:p>
      <w:pPr>
        <w:pStyle w:val="5"/>
        <w:rPr>
          <w:highlight w:val="yellow"/>
        </w:rPr>
      </w:pPr>
    </w:p>
    <w:p>
      <w:pPr>
        <w:pStyle w:val="5"/>
        <w:rPr>
          <w:highlight w:val="yellow"/>
        </w:rPr>
      </w:pPr>
    </w:p>
    <w:p>
      <w:pPr>
        <w:pStyle w:val="134"/>
        <w:rPr>
          <w:highlight w:val="none"/>
        </w:rPr>
      </w:pPr>
      <w:r>
        <w:pict>
          <v:shape id="_x0000_s1026" o:spid="_x0000_s1026" o:spt="75" type="#_x0000_t75" style="position:absolute;left:0pt;margin-left:67.3pt;margin-top:0.8pt;height:150.65pt;width:340.1pt;z-index:-251648000;mso-width-relative:page;mso-height-relative:page;" o:ole="t" filled="f" o:preferrelative="t" stroked="f" coordsize="21600,21600">
            <v:path/>
            <v:fill on="f" focussize="0,0"/>
            <v:stroke on="f"/>
            <v:imagedata r:id="rId18" o:title=""/>
            <o:lock v:ext="edit" aspectratio="t"/>
          </v:shape>
          <o:OLEObject Type="Embed" ProgID="Visio.Drawing.15" ShapeID="_x0000_s1026" DrawAspect="Content" ObjectID="_1468075729" r:id="rId17">
            <o:LockedField>false</o:LockedField>
          </o:OLEObject>
        </w:pict>
      </w:r>
      <w:r>
        <w:rPr>
          <w:highlight w:val="none"/>
        </w:rPr>
        <w:t>图5-1</w:t>
      </w:r>
      <w:r>
        <w:rPr>
          <w:rFonts w:hint="eastAsia"/>
          <w:highlight w:val="none"/>
        </w:rPr>
        <w:t xml:space="preserve"> 电脑键盘开关按键</w:t>
      </w:r>
      <w:r>
        <w:rPr>
          <w:highlight w:val="none"/>
        </w:rPr>
        <w:t>工艺流程图</w:t>
      </w:r>
    </w:p>
    <w:p>
      <w:pPr>
        <w:pStyle w:val="5"/>
      </w:pPr>
    </w:p>
    <w:p>
      <w:pPr>
        <w:pStyle w:val="134"/>
      </w:pPr>
    </w:p>
    <w:p>
      <w:pPr>
        <w:pStyle w:val="134"/>
      </w:pPr>
    </w:p>
    <w:p>
      <w:pPr>
        <w:pStyle w:val="134"/>
      </w:pPr>
    </w:p>
    <w:p>
      <w:pPr>
        <w:pStyle w:val="134"/>
      </w:pPr>
      <w:r>
        <w:rPr>
          <w:rFonts w:hint="eastAsia"/>
        </w:rPr>
        <w:t>图5-2 PET薄膜工艺流程图</w:t>
      </w:r>
    </w:p>
    <w:p>
      <w:pPr>
        <w:pStyle w:val="104"/>
      </w:pPr>
      <w:r>
        <w:rPr>
          <w:rFonts w:hint="eastAsia"/>
        </w:rPr>
        <w:t>工艺流程说明</w:t>
      </w:r>
      <w:r>
        <w:t>：</w:t>
      </w:r>
    </w:p>
    <w:p>
      <w:pPr>
        <w:pStyle w:val="103"/>
        <w:bidi w:val="0"/>
      </w:pPr>
      <w:r>
        <w:rPr>
          <w:rFonts w:hint="eastAsia"/>
        </w:rPr>
        <w:t>（1）电脑键盘开关按键工艺流程</w:t>
      </w:r>
    </w:p>
    <w:p>
      <w:pPr>
        <w:pStyle w:val="103"/>
        <w:bidi w:val="0"/>
      </w:pPr>
      <w:r>
        <w:rPr>
          <w:rFonts w:hint="eastAsia"/>
        </w:rPr>
        <w:t>1、印刷：PET薄膜通过印刷机将水性油墨印刷在PET薄膜上，再继续传送至下一设备。该工序会使用水性油墨会产生废油墨桶S1</w:t>
      </w:r>
      <w:r>
        <w:rPr>
          <w:rFonts w:hint="eastAsia"/>
          <w:lang w:eastAsia="zh-CN"/>
        </w:rPr>
        <w:t>，</w:t>
      </w:r>
      <w:r>
        <w:rPr>
          <w:rFonts w:hint="eastAsia"/>
          <w:lang w:val="en-US" w:eastAsia="zh-CN"/>
        </w:rPr>
        <w:t>使用的原料PET会产生外包装废纸箱S5，擦拭机台会产生废抹布S6</w:t>
      </w:r>
      <w:r>
        <w:rPr>
          <w:rFonts w:hint="eastAsia"/>
        </w:rPr>
        <w:t>。</w:t>
      </w:r>
    </w:p>
    <w:p>
      <w:pPr>
        <w:pStyle w:val="103"/>
        <w:bidi w:val="0"/>
      </w:pPr>
      <w:r>
        <w:rPr>
          <w:rFonts w:hint="eastAsia"/>
        </w:rPr>
        <w:t>2、烘干</w:t>
      </w:r>
      <w:r>
        <w:rPr>
          <w:rFonts w:hint="eastAsia"/>
          <w:lang w:eastAsia="zh-CN"/>
        </w:rPr>
        <w:t>：</w:t>
      </w:r>
      <w:r>
        <w:rPr>
          <w:rFonts w:hint="eastAsia"/>
        </w:rPr>
        <w:t>将上述印刷好的PET接入烘箱，将水性油墨进行烘干处理</w:t>
      </w:r>
      <w:r>
        <w:rPr>
          <w:rFonts w:hint="eastAsia"/>
          <w:lang w:eastAsia="zh-CN"/>
        </w:rPr>
        <w:t>（</w:t>
      </w:r>
      <w:r>
        <w:rPr>
          <w:rFonts w:hint="eastAsia"/>
          <w:lang w:val="en-US" w:eastAsia="zh-CN"/>
        </w:rPr>
        <w:t>烘干温度在80℃左右，PET性质稳定，在此温度下不会分解）</w:t>
      </w:r>
      <w:r>
        <w:rPr>
          <w:rFonts w:hint="eastAsia"/>
        </w:rPr>
        <w:t>再传送至下一设备。该工序会产生油墨挥发废气G1</w:t>
      </w:r>
      <w:r>
        <w:rPr>
          <w:rFonts w:hint="eastAsia"/>
          <w:lang w:eastAsia="zh-CN"/>
        </w:rPr>
        <w:t>，</w:t>
      </w:r>
      <w:r>
        <w:rPr>
          <w:rFonts w:hint="eastAsia"/>
          <w:lang w:val="en-US" w:eastAsia="zh-CN"/>
        </w:rPr>
        <w:t>油墨中挥发组分均为有机物，且油墨不含甲烷，所以产生的废气以非甲烷总烃计</w:t>
      </w:r>
      <w:r>
        <w:rPr>
          <w:rFonts w:hint="eastAsia"/>
        </w:rPr>
        <w:t>。</w:t>
      </w:r>
    </w:p>
    <w:p>
      <w:pPr>
        <w:pStyle w:val="103"/>
        <w:bidi w:val="0"/>
      </w:pPr>
      <w:r>
        <w:rPr>
          <w:rFonts w:hint="eastAsia"/>
        </w:rPr>
        <w:t>3、上胶：将水胶涂抹在刷好并烘干油墨后的PET上，使印刷的字不容易剥落，上胶完成后再接入下一设备。该工序会产生水胶的外包装废纸箱S2。</w:t>
      </w:r>
    </w:p>
    <w:p>
      <w:pPr>
        <w:pStyle w:val="103"/>
        <w:bidi w:val="0"/>
      </w:pPr>
      <w:r>
        <w:rPr>
          <w:rFonts w:hint="eastAsia"/>
        </w:rPr>
        <w:t>4、烘干：将涂抹的水胶进行烘干处理，使其固化。该过程会产生胶水挥发废气G2</w:t>
      </w:r>
      <w:r>
        <w:rPr>
          <w:rFonts w:hint="eastAsia"/>
          <w:lang w:eastAsia="zh-CN"/>
        </w:rPr>
        <w:t>，</w:t>
      </w:r>
      <w:r>
        <w:rPr>
          <w:rFonts w:hint="eastAsia"/>
          <w:lang w:val="en-US" w:eastAsia="zh-CN"/>
        </w:rPr>
        <w:t>胶水中挥发组分均为有机物，且胶水不含甲烷，所以产生的废气以非甲烷总烃计</w:t>
      </w:r>
      <w:r>
        <w:rPr>
          <w:rFonts w:hint="eastAsia"/>
        </w:rPr>
        <w:t>。。</w:t>
      </w:r>
    </w:p>
    <w:p>
      <w:pPr>
        <w:pStyle w:val="103"/>
        <w:bidi w:val="0"/>
      </w:pPr>
      <w:r>
        <w:rPr>
          <w:rFonts w:hint="eastAsia"/>
        </w:rPr>
        <w:t>5、冲切：将完成上述设备的PET送入冲床进行冲切，形成电脑键盘开关按键的外形。</w:t>
      </w:r>
    </w:p>
    <w:p>
      <w:pPr>
        <w:pStyle w:val="103"/>
        <w:bidi w:val="0"/>
      </w:pPr>
      <w:r>
        <w:rPr>
          <w:rFonts w:hint="eastAsia"/>
        </w:rPr>
        <w:t>6、检验：对冲切后的PET进行检验，检验合格便作为成品送入成品仓，检验不合格便产生废薄膜S4。</w:t>
      </w:r>
    </w:p>
    <w:p>
      <w:pPr>
        <w:pStyle w:val="103"/>
        <w:bidi w:val="0"/>
      </w:pPr>
      <w:r>
        <w:rPr>
          <w:rFonts w:hint="eastAsia"/>
        </w:rPr>
        <w:t>（1）水性油墨：项目水性油墨印刷在印刷车间内进行，使用的水性油墨不涉及调配。本项目水性油墨通过印刷机印刷到PET薄膜表面，再进入烘箱进行烘干处理，该过程在密闭的印刷车间内进行，产生的油墨挥发废气G1通过废气治理设施，利用二级活性炭吸附处理后</w:t>
      </w:r>
      <w:r>
        <w:rPr>
          <w:rFonts w:hint="eastAsia"/>
          <w:lang w:eastAsia="zh-CN"/>
        </w:rPr>
        <w:t>（</w:t>
      </w:r>
      <w:r>
        <w:rPr>
          <w:rFonts w:hint="eastAsia"/>
          <w:lang w:val="en-US" w:eastAsia="zh-CN"/>
        </w:rPr>
        <w:t>收集效率90%，处理效率90%</w:t>
      </w:r>
      <w:r>
        <w:rPr>
          <w:rFonts w:hint="eastAsia"/>
          <w:lang w:eastAsia="zh-CN"/>
        </w:rPr>
        <w:t>）</w:t>
      </w:r>
      <w:r>
        <w:rPr>
          <w:rFonts w:hint="eastAsia"/>
        </w:rPr>
        <w:t>通过15米高的排气筒DA001有组织排放。产生的水性油墨外包装的废油墨罐S1存入危险固废仓库后交给有资质单位进行处理。</w:t>
      </w:r>
    </w:p>
    <w:p>
      <w:pPr>
        <w:pStyle w:val="103"/>
        <w:bidi w:val="0"/>
      </w:pPr>
      <w:r>
        <w:rPr>
          <w:rFonts w:hint="eastAsia"/>
        </w:rPr>
        <w:t>（2）水胶:给印刷烘干后的PET上胶，使薄膜表面印刷的内容更加牢固且不易掉落，使用的水胶不涉及调配。上胶完成后再接入烘箱将上好的水胶进行烘干处理，该过程与印刷在同一密闭的印刷车间内进行，产生的胶水挥发废气G2通过废气治理设施，利用二级活性炭吸附处理后</w:t>
      </w:r>
      <w:r>
        <w:rPr>
          <w:rFonts w:hint="eastAsia"/>
          <w:lang w:eastAsia="zh-CN"/>
        </w:rPr>
        <w:t>（</w:t>
      </w:r>
      <w:r>
        <w:rPr>
          <w:rFonts w:hint="eastAsia"/>
          <w:lang w:val="en-US" w:eastAsia="zh-CN"/>
        </w:rPr>
        <w:t>收集效率90%，处理效率90%</w:t>
      </w:r>
      <w:r>
        <w:rPr>
          <w:rFonts w:hint="eastAsia"/>
          <w:lang w:eastAsia="zh-CN"/>
        </w:rPr>
        <w:t>）</w:t>
      </w:r>
      <w:r>
        <w:rPr>
          <w:rFonts w:hint="eastAsia"/>
        </w:rPr>
        <w:t>通过15米高的排气筒DA001有组织排放。产生的水胶外包装的废纸箱S2存入一般固废仓库回收利用。</w:t>
      </w:r>
    </w:p>
    <w:p>
      <w:pPr>
        <w:pStyle w:val="103"/>
        <w:bidi w:val="0"/>
      </w:pPr>
      <w:r>
        <w:rPr>
          <w:rFonts w:hint="eastAsia"/>
        </w:rPr>
        <w:t>（2）PET薄膜工艺流程</w:t>
      </w:r>
    </w:p>
    <w:p>
      <w:pPr>
        <w:pStyle w:val="103"/>
        <w:bidi w:val="0"/>
      </w:pPr>
      <w:r>
        <w:rPr>
          <w:rFonts w:hint="eastAsia"/>
        </w:rPr>
        <w:t>1、模切：将原料PET薄膜送入模切机进行模切得到基本形状。该工段会产生边角料S1，</w:t>
      </w:r>
      <w:r>
        <w:rPr>
          <w:rFonts w:hint="eastAsia"/>
          <w:lang w:val="en-US" w:eastAsia="zh-CN"/>
        </w:rPr>
        <w:t>使用的原料PET会产生外包装废纸箱S3，</w:t>
      </w:r>
      <w:r>
        <w:rPr>
          <w:rFonts w:hint="eastAsia"/>
        </w:rPr>
        <w:t>存入一般固废仓库。</w:t>
      </w:r>
    </w:p>
    <w:p>
      <w:pPr>
        <w:pStyle w:val="103"/>
        <w:bidi w:val="0"/>
      </w:pPr>
      <w:r>
        <w:rPr>
          <w:rFonts w:hint="eastAsia"/>
        </w:rPr>
        <w:t>2、冲压：将模切好的PET薄膜送入冲床进行冲压成型。</w:t>
      </w:r>
    </w:p>
    <w:p>
      <w:pPr>
        <w:pStyle w:val="103"/>
        <w:bidi w:val="0"/>
      </w:pPr>
      <w:r>
        <w:rPr>
          <w:rFonts w:hint="eastAsia"/>
        </w:rPr>
        <w:t>3、检验：对冲压后的PET薄膜进行检验，合格的即为成品PET薄膜，不合格的作为S4废薄膜存入一般固废仓库回收利用。</w:t>
      </w:r>
    </w:p>
    <w:p>
      <w:pPr>
        <w:pStyle w:val="273"/>
        <w:bidi w:val="0"/>
        <w:rPr>
          <w:rFonts w:hint="eastAsia"/>
        </w:rPr>
      </w:pPr>
      <w:r>
        <w:rPr>
          <w:rFonts w:hint="eastAsia"/>
        </w:rPr>
        <w:t>表5-1  本项目物料平衡表    单位：t/a</w:t>
      </w:r>
    </w:p>
    <w:tbl>
      <w:tblPr>
        <w:tblStyle w:val="260"/>
        <w:tblW w:w="92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013"/>
        <w:gridCol w:w="846"/>
        <w:gridCol w:w="1234"/>
        <w:gridCol w:w="942"/>
        <w:gridCol w:w="951"/>
        <w:gridCol w:w="923"/>
        <w:gridCol w:w="919"/>
        <w:gridCol w:w="1112"/>
        <w:gridCol w:w="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83" w:type="dxa"/>
            <w:vMerge w:val="restart"/>
            <w:vAlign w:val="center"/>
          </w:tcPr>
          <w:p>
            <w:pPr>
              <w:pStyle w:val="100"/>
              <w:widowControl w:val="0"/>
              <w:bidi w:val="0"/>
              <w:adjustRightInd w:val="0"/>
              <w:snapToGrid w:val="0"/>
            </w:pPr>
            <w:bookmarkStart w:id="59" w:name="_Hlk13667994"/>
            <w:r>
              <w:rPr>
                <w:rFonts w:hint="eastAsia"/>
              </w:rPr>
              <w:t>序号</w:t>
            </w:r>
          </w:p>
        </w:tc>
        <w:tc>
          <w:tcPr>
            <w:tcW w:w="1859" w:type="dxa"/>
            <w:gridSpan w:val="2"/>
            <w:vAlign w:val="center"/>
          </w:tcPr>
          <w:p>
            <w:pPr>
              <w:pStyle w:val="100"/>
              <w:widowControl w:val="0"/>
              <w:bidi w:val="0"/>
              <w:adjustRightInd w:val="0"/>
              <w:snapToGrid w:val="0"/>
            </w:pPr>
            <w:r>
              <w:rPr>
                <w:rFonts w:hint="eastAsia"/>
              </w:rPr>
              <w:t>入方</w:t>
            </w:r>
          </w:p>
        </w:tc>
        <w:tc>
          <w:tcPr>
            <w:tcW w:w="6111" w:type="dxa"/>
            <w:gridSpan w:val="7"/>
            <w:vAlign w:val="center"/>
          </w:tcPr>
          <w:p>
            <w:pPr>
              <w:pStyle w:val="100"/>
              <w:widowControl w:val="0"/>
              <w:bidi w:val="0"/>
              <w:adjustRightInd w:val="0"/>
              <w:snapToGrid w:val="0"/>
            </w:pPr>
            <w:r>
              <w:rPr>
                <w:rFonts w:hint="eastAsia"/>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136" w:hRule="atLeast"/>
          <w:jc w:val="center"/>
        </w:trPr>
        <w:tc>
          <w:tcPr>
            <w:tcW w:w="1283" w:type="dxa"/>
            <w:vMerge w:val="continue"/>
            <w:vAlign w:val="center"/>
          </w:tcPr>
          <w:p>
            <w:pPr>
              <w:pStyle w:val="100"/>
              <w:widowControl w:val="0"/>
              <w:bidi w:val="0"/>
              <w:adjustRightInd w:val="0"/>
              <w:snapToGrid w:val="0"/>
            </w:pPr>
          </w:p>
        </w:tc>
        <w:tc>
          <w:tcPr>
            <w:tcW w:w="1013" w:type="dxa"/>
            <w:vMerge w:val="restart"/>
            <w:vAlign w:val="center"/>
          </w:tcPr>
          <w:p>
            <w:pPr>
              <w:pStyle w:val="100"/>
              <w:widowControl w:val="0"/>
              <w:bidi w:val="0"/>
              <w:adjustRightInd w:val="0"/>
              <w:snapToGrid w:val="0"/>
            </w:pPr>
            <w:r>
              <w:rPr>
                <w:rFonts w:hint="eastAsia"/>
              </w:rPr>
              <w:t>物料名称</w:t>
            </w:r>
          </w:p>
        </w:tc>
        <w:tc>
          <w:tcPr>
            <w:tcW w:w="846" w:type="dxa"/>
            <w:vMerge w:val="restart"/>
            <w:vAlign w:val="center"/>
          </w:tcPr>
          <w:p>
            <w:pPr>
              <w:pStyle w:val="100"/>
              <w:widowControl w:val="0"/>
              <w:bidi w:val="0"/>
              <w:adjustRightInd w:val="0"/>
              <w:snapToGrid w:val="0"/>
            </w:pPr>
            <w:r>
              <w:rPr>
                <w:rFonts w:hint="eastAsia"/>
              </w:rPr>
              <w:t>数量（t/a）</w:t>
            </w:r>
          </w:p>
        </w:tc>
        <w:tc>
          <w:tcPr>
            <w:tcW w:w="1234" w:type="dxa"/>
            <w:vMerge w:val="restart"/>
            <w:vAlign w:val="center"/>
          </w:tcPr>
          <w:p>
            <w:pPr>
              <w:pStyle w:val="100"/>
              <w:widowControl w:val="0"/>
              <w:bidi w:val="0"/>
              <w:adjustRightInd w:val="0"/>
              <w:snapToGrid w:val="0"/>
              <w:rPr>
                <w:rFonts w:hint="eastAsia"/>
                <w:lang w:eastAsia="zh-CN"/>
              </w:rPr>
            </w:pPr>
            <w:r>
              <w:rPr>
                <w:rFonts w:hint="eastAsia"/>
              </w:rPr>
              <w:t>产品</w:t>
            </w:r>
            <w:r>
              <w:rPr>
                <w:rFonts w:hint="eastAsia"/>
                <w:lang w:eastAsia="zh-CN"/>
              </w:rPr>
              <w:t>（</w:t>
            </w:r>
            <w:r>
              <w:rPr>
                <w:rFonts w:hint="eastAsia"/>
                <w:lang w:val="en-US" w:eastAsia="zh-CN"/>
              </w:rPr>
              <w:t>t/a</w:t>
            </w:r>
            <w:r>
              <w:rPr>
                <w:rFonts w:hint="eastAsia"/>
                <w:lang w:eastAsia="zh-CN"/>
              </w:rPr>
              <w:t>）</w:t>
            </w:r>
          </w:p>
        </w:tc>
        <w:tc>
          <w:tcPr>
            <w:tcW w:w="1893" w:type="dxa"/>
            <w:gridSpan w:val="2"/>
            <w:vAlign w:val="center"/>
          </w:tcPr>
          <w:p>
            <w:pPr>
              <w:pStyle w:val="100"/>
              <w:widowControl w:val="0"/>
              <w:bidi w:val="0"/>
              <w:adjustRightInd w:val="0"/>
              <w:snapToGrid w:val="0"/>
            </w:pPr>
            <w:r>
              <w:rPr>
                <w:rFonts w:hint="eastAsia"/>
              </w:rPr>
              <w:t>废气</w:t>
            </w:r>
          </w:p>
        </w:tc>
        <w:tc>
          <w:tcPr>
            <w:tcW w:w="923" w:type="dxa"/>
            <w:vMerge w:val="restart"/>
            <w:vAlign w:val="center"/>
          </w:tcPr>
          <w:p>
            <w:pPr>
              <w:pStyle w:val="100"/>
              <w:widowControl w:val="0"/>
              <w:bidi w:val="0"/>
              <w:adjustRightInd w:val="0"/>
              <w:snapToGrid w:val="0"/>
            </w:pPr>
            <w:r>
              <w:rPr>
                <w:rFonts w:hint="eastAsia"/>
              </w:rPr>
              <w:t>废水（t/a）</w:t>
            </w:r>
          </w:p>
        </w:tc>
        <w:tc>
          <w:tcPr>
            <w:tcW w:w="919" w:type="dxa"/>
            <w:vMerge w:val="restart"/>
            <w:vAlign w:val="center"/>
          </w:tcPr>
          <w:p>
            <w:pPr>
              <w:pStyle w:val="100"/>
              <w:widowControl w:val="0"/>
              <w:bidi w:val="0"/>
              <w:adjustRightInd w:val="0"/>
              <w:snapToGrid w:val="0"/>
            </w:pPr>
            <w:r>
              <w:rPr>
                <w:rFonts w:hint="eastAsia"/>
              </w:rPr>
              <w:t>固废（t/a）</w:t>
            </w:r>
          </w:p>
        </w:tc>
        <w:tc>
          <w:tcPr>
            <w:tcW w:w="1112" w:type="dxa"/>
            <w:vMerge w:val="restart"/>
            <w:vAlign w:val="center"/>
          </w:tcPr>
          <w:p>
            <w:pPr>
              <w:pStyle w:val="100"/>
              <w:widowControl w:val="0"/>
              <w:bidi w:val="0"/>
              <w:adjustRightInd w:val="0"/>
              <w:snapToGrid w:val="0"/>
            </w:pPr>
            <w:r>
              <w:rPr>
                <w:rFonts w:hint="eastAsia"/>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129" w:hRule="atLeast"/>
          <w:jc w:val="center"/>
        </w:trPr>
        <w:tc>
          <w:tcPr>
            <w:tcW w:w="1283" w:type="dxa"/>
            <w:vMerge w:val="continue"/>
            <w:vAlign w:val="center"/>
          </w:tcPr>
          <w:p>
            <w:pPr>
              <w:pStyle w:val="100"/>
              <w:widowControl w:val="0"/>
              <w:bidi w:val="0"/>
              <w:adjustRightInd w:val="0"/>
              <w:snapToGrid w:val="0"/>
            </w:pPr>
          </w:p>
        </w:tc>
        <w:tc>
          <w:tcPr>
            <w:tcW w:w="1013" w:type="dxa"/>
            <w:vMerge w:val="continue"/>
            <w:vAlign w:val="center"/>
          </w:tcPr>
          <w:p>
            <w:pPr>
              <w:pStyle w:val="100"/>
              <w:widowControl w:val="0"/>
              <w:bidi w:val="0"/>
              <w:adjustRightInd w:val="0"/>
              <w:snapToGrid w:val="0"/>
            </w:pPr>
          </w:p>
        </w:tc>
        <w:tc>
          <w:tcPr>
            <w:tcW w:w="846" w:type="dxa"/>
            <w:vMerge w:val="continue"/>
            <w:vAlign w:val="center"/>
          </w:tcPr>
          <w:p>
            <w:pPr>
              <w:pStyle w:val="100"/>
              <w:widowControl w:val="0"/>
              <w:bidi w:val="0"/>
              <w:adjustRightInd w:val="0"/>
              <w:snapToGrid w:val="0"/>
            </w:pPr>
          </w:p>
        </w:tc>
        <w:tc>
          <w:tcPr>
            <w:tcW w:w="1234" w:type="dxa"/>
            <w:vMerge w:val="continue"/>
            <w:vAlign w:val="center"/>
          </w:tcPr>
          <w:p>
            <w:pPr>
              <w:pStyle w:val="100"/>
              <w:widowControl w:val="0"/>
              <w:bidi w:val="0"/>
              <w:adjustRightInd w:val="0"/>
              <w:snapToGrid w:val="0"/>
            </w:pPr>
          </w:p>
        </w:tc>
        <w:tc>
          <w:tcPr>
            <w:tcW w:w="942" w:type="dxa"/>
            <w:vAlign w:val="center"/>
          </w:tcPr>
          <w:p>
            <w:pPr>
              <w:pStyle w:val="100"/>
              <w:widowControl w:val="0"/>
              <w:bidi w:val="0"/>
              <w:adjustRightInd w:val="0"/>
              <w:snapToGrid w:val="0"/>
            </w:pPr>
            <w:r>
              <w:rPr>
                <w:rFonts w:hint="eastAsia"/>
              </w:rPr>
              <w:t>有组织（t/a）</w:t>
            </w:r>
          </w:p>
        </w:tc>
        <w:tc>
          <w:tcPr>
            <w:tcW w:w="951" w:type="dxa"/>
            <w:vAlign w:val="center"/>
          </w:tcPr>
          <w:p>
            <w:pPr>
              <w:pStyle w:val="100"/>
              <w:widowControl w:val="0"/>
              <w:bidi w:val="0"/>
              <w:adjustRightInd w:val="0"/>
              <w:snapToGrid w:val="0"/>
            </w:pPr>
            <w:r>
              <w:rPr>
                <w:rFonts w:hint="eastAsia"/>
              </w:rPr>
              <w:t>无组织（t/a）</w:t>
            </w:r>
          </w:p>
        </w:tc>
        <w:tc>
          <w:tcPr>
            <w:tcW w:w="923" w:type="dxa"/>
            <w:vMerge w:val="continue"/>
            <w:vAlign w:val="center"/>
          </w:tcPr>
          <w:p>
            <w:pPr>
              <w:pStyle w:val="100"/>
              <w:widowControl w:val="0"/>
              <w:bidi w:val="0"/>
              <w:adjustRightInd w:val="0"/>
              <w:snapToGrid w:val="0"/>
            </w:pPr>
          </w:p>
        </w:tc>
        <w:tc>
          <w:tcPr>
            <w:tcW w:w="919" w:type="dxa"/>
            <w:vMerge w:val="continue"/>
            <w:vAlign w:val="center"/>
          </w:tcPr>
          <w:p>
            <w:pPr>
              <w:pStyle w:val="100"/>
              <w:widowControl w:val="0"/>
              <w:bidi w:val="0"/>
              <w:adjustRightInd w:val="0"/>
              <w:snapToGrid w:val="0"/>
            </w:pPr>
          </w:p>
        </w:tc>
        <w:tc>
          <w:tcPr>
            <w:tcW w:w="1112"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164" w:hRule="atLeast"/>
          <w:jc w:val="center"/>
        </w:trPr>
        <w:tc>
          <w:tcPr>
            <w:tcW w:w="1283" w:type="dxa"/>
            <w:vAlign w:val="center"/>
          </w:tcPr>
          <w:p>
            <w:pPr>
              <w:pStyle w:val="100"/>
              <w:widowControl w:val="0"/>
              <w:bidi w:val="0"/>
              <w:adjustRightInd w:val="0"/>
              <w:snapToGrid w:val="0"/>
            </w:pPr>
            <w:r>
              <w:rPr>
                <w:rFonts w:hint="eastAsia"/>
              </w:rPr>
              <w:t>1</w:t>
            </w:r>
            <w:r>
              <w:t xml:space="preserve"> </w:t>
            </w:r>
          </w:p>
        </w:tc>
        <w:tc>
          <w:tcPr>
            <w:tcW w:w="1013" w:type="dxa"/>
            <w:vAlign w:val="center"/>
          </w:tcPr>
          <w:p>
            <w:pPr>
              <w:pStyle w:val="100"/>
              <w:widowControl w:val="0"/>
              <w:bidi w:val="0"/>
              <w:adjustRightInd w:val="0"/>
              <w:snapToGrid w:val="0"/>
            </w:pPr>
            <w:r>
              <w:rPr>
                <w:rFonts w:hint="eastAsia"/>
              </w:rPr>
              <w:t>油墨</w:t>
            </w:r>
          </w:p>
        </w:tc>
        <w:tc>
          <w:tcPr>
            <w:tcW w:w="846" w:type="dxa"/>
            <w:vAlign w:val="center"/>
          </w:tcPr>
          <w:p>
            <w:pPr>
              <w:pStyle w:val="100"/>
              <w:widowControl w:val="0"/>
              <w:bidi w:val="0"/>
              <w:adjustRightInd w:val="0"/>
              <w:snapToGrid w:val="0"/>
            </w:pPr>
            <w:r>
              <w:rPr>
                <w:rFonts w:hint="eastAsia"/>
              </w:rPr>
              <w:t>3</w:t>
            </w:r>
          </w:p>
        </w:tc>
        <w:tc>
          <w:tcPr>
            <w:tcW w:w="1234" w:type="dxa"/>
            <w:vAlign w:val="center"/>
          </w:tcPr>
          <w:p>
            <w:pPr>
              <w:pStyle w:val="100"/>
              <w:widowControl w:val="0"/>
              <w:bidi w:val="0"/>
              <w:adjustRightInd w:val="0"/>
              <w:snapToGrid w:val="0"/>
            </w:pPr>
            <w:r>
              <w:rPr>
                <w:rFonts w:hint="eastAsia"/>
                <w:lang w:val="en-US" w:eastAsia="zh-CN"/>
              </w:rPr>
              <w:t>2.45</w:t>
            </w:r>
            <w:r>
              <w:rPr>
                <w:rFonts w:hint="eastAsia"/>
              </w:rPr>
              <w:t>电脑键盘开关按键</w:t>
            </w:r>
          </w:p>
        </w:tc>
        <w:tc>
          <w:tcPr>
            <w:tcW w:w="942" w:type="dxa"/>
            <w:vAlign w:val="center"/>
          </w:tcPr>
          <w:p>
            <w:pPr>
              <w:pStyle w:val="100"/>
              <w:widowControl w:val="0"/>
              <w:bidi w:val="0"/>
              <w:adjustRightInd w:val="0"/>
              <w:snapToGrid w:val="0"/>
            </w:pPr>
            <w:r>
              <w:rPr>
                <w:rFonts w:hint="eastAsia"/>
              </w:rPr>
              <w:t>0.0162</w:t>
            </w:r>
          </w:p>
        </w:tc>
        <w:tc>
          <w:tcPr>
            <w:tcW w:w="951" w:type="dxa"/>
            <w:vAlign w:val="center"/>
          </w:tcPr>
          <w:p>
            <w:pPr>
              <w:pStyle w:val="100"/>
              <w:widowControl w:val="0"/>
              <w:bidi w:val="0"/>
              <w:adjustRightInd w:val="0"/>
              <w:snapToGrid w:val="0"/>
            </w:pPr>
            <w:r>
              <w:rPr>
                <w:rFonts w:hint="eastAsia"/>
              </w:rPr>
              <w:t>0.034</w:t>
            </w:r>
          </w:p>
        </w:tc>
        <w:tc>
          <w:tcPr>
            <w:tcW w:w="923" w:type="dxa"/>
            <w:vAlign w:val="center"/>
          </w:tcPr>
          <w:p>
            <w:pPr>
              <w:pStyle w:val="100"/>
              <w:widowControl w:val="0"/>
              <w:bidi w:val="0"/>
              <w:adjustRightInd w:val="0"/>
              <w:snapToGrid w:val="0"/>
            </w:pPr>
            <w:r>
              <w:rPr>
                <w:rFonts w:hint="eastAsia"/>
              </w:rPr>
              <w:t>/</w:t>
            </w:r>
          </w:p>
        </w:tc>
        <w:tc>
          <w:tcPr>
            <w:tcW w:w="919" w:type="dxa"/>
            <w:vAlign w:val="center"/>
          </w:tcPr>
          <w:p>
            <w:pPr>
              <w:pStyle w:val="100"/>
              <w:widowControl w:val="0"/>
              <w:bidi w:val="0"/>
              <w:adjustRightInd w:val="0"/>
              <w:snapToGrid w:val="0"/>
            </w:pPr>
            <w:r>
              <w:rPr>
                <w:rFonts w:hint="eastAsia"/>
              </w:rPr>
              <w:t>0.5</w:t>
            </w:r>
          </w:p>
        </w:tc>
        <w:tc>
          <w:tcPr>
            <w:tcW w:w="1112"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164" w:hRule="atLeast"/>
          <w:jc w:val="center"/>
        </w:trPr>
        <w:tc>
          <w:tcPr>
            <w:tcW w:w="1283" w:type="dxa"/>
            <w:vAlign w:val="center"/>
          </w:tcPr>
          <w:p>
            <w:pPr>
              <w:pStyle w:val="100"/>
              <w:widowControl w:val="0"/>
              <w:bidi w:val="0"/>
              <w:adjustRightInd w:val="0"/>
              <w:snapToGrid w:val="0"/>
            </w:pPr>
            <w:r>
              <w:rPr>
                <w:rFonts w:hint="eastAsia"/>
              </w:rPr>
              <w:t>2</w:t>
            </w:r>
          </w:p>
        </w:tc>
        <w:tc>
          <w:tcPr>
            <w:tcW w:w="1013" w:type="dxa"/>
            <w:vAlign w:val="center"/>
          </w:tcPr>
          <w:p>
            <w:pPr>
              <w:pStyle w:val="100"/>
              <w:widowControl w:val="0"/>
              <w:bidi w:val="0"/>
              <w:adjustRightInd w:val="0"/>
              <w:snapToGrid w:val="0"/>
            </w:pPr>
            <w:r>
              <w:rPr>
                <w:rFonts w:hint="eastAsia"/>
              </w:rPr>
              <w:t>水胶</w:t>
            </w:r>
          </w:p>
        </w:tc>
        <w:tc>
          <w:tcPr>
            <w:tcW w:w="846" w:type="dxa"/>
            <w:vAlign w:val="center"/>
          </w:tcPr>
          <w:p>
            <w:pPr>
              <w:pStyle w:val="100"/>
              <w:widowControl w:val="0"/>
              <w:bidi w:val="0"/>
              <w:adjustRightInd w:val="0"/>
              <w:snapToGrid w:val="0"/>
            </w:pPr>
            <w:r>
              <w:rPr>
                <w:rFonts w:hint="eastAsia"/>
              </w:rPr>
              <w:t>4</w:t>
            </w:r>
          </w:p>
        </w:tc>
        <w:tc>
          <w:tcPr>
            <w:tcW w:w="1234" w:type="dxa"/>
            <w:vAlign w:val="center"/>
          </w:tcPr>
          <w:p>
            <w:pPr>
              <w:pStyle w:val="100"/>
              <w:widowControl w:val="0"/>
              <w:bidi w:val="0"/>
              <w:adjustRightInd w:val="0"/>
              <w:snapToGrid w:val="0"/>
            </w:pPr>
            <w:r>
              <w:rPr>
                <w:rFonts w:hint="eastAsia"/>
                <w:lang w:val="en-US" w:eastAsia="zh-CN"/>
              </w:rPr>
              <w:t>3.43</w:t>
            </w:r>
            <w:r>
              <w:rPr>
                <w:rFonts w:hint="eastAsia"/>
              </w:rPr>
              <w:t>电脑键盘开关按键</w:t>
            </w:r>
          </w:p>
        </w:tc>
        <w:tc>
          <w:tcPr>
            <w:tcW w:w="942" w:type="dxa"/>
            <w:vAlign w:val="center"/>
          </w:tcPr>
          <w:p>
            <w:pPr>
              <w:pStyle w:val="100"/>
              <w:widowControl w:val="0"/>
              <w:bidi w:val="0"/>
              <w:adjustRightInd w:val="0"/>
              <w:snapToGrid w:val="0"/>
            </w:pPr>
            <w:r>
              <w:rPr>
                <w:rFonts w:hint="eastAsia"/>
              </w:rPr>
              <w:t>0.0225</w:t>
            </w:r>
          </w:p>
        </w:tc>
        <w:tc>
          <w:tcPr>
            <w:tcW w:w="951" w:type="dxa"/>
            <w:vAlign w:val="center"/>
          </w:tcPr>
          <w:p>
            <w:pPr>
              <w:pStyle w:val="100"/>
              <w:widowControl w:val="0"/>
              <w:bidi w:val="0"/>
              <w:adjustRightInd w:val="0"/>
              <w:snapToGrid w:val="0"/>
            </w:pPr>
            <w:r>
              <w:rPr>
                <w:rFonts w:hint="eastAsia"/>
              </w:rPr>
              <w:t>0.0475</w:t>
            </w:r>
          </w:p>
        </w:tc>
        <w:tc>
          <w:tcPr>
            <w:tcW w:w="923" w:type="dxa"/>
            <w:vAlign w:val="center"/>
          </w:tcPr>
          <w:p>
            <w:pPr>
              <w:pStyle w:val="100"/>
              <w:widowControl w:val="0"/>
              <w:bidi w:val="0"/>
              <w:adjustRightInd w:val="0"/>
              <w:snapToGrid w:val="0"/>
            </w:pPr>
            <w:r>
              <w:rPr>
                <w:rFonts w:hint="eastAsia"/>
              </w:rPr>
              <w:t>/</w:t>
            </w:r>
          </w:p>
        </w:tc>
        <w:tc>
          <w:tcPr>
            <w:tcW w:w="919" w:type="dxa"/>
            <w:vAlign w:val="center"/>
          </w:tcPr>
          <w:p>
            <w:pPr>
              <w:pStyle w:val="100"/>
              <w:widowControl w:val="0"/>
              <w:bidi w:val="0"/>
              <w:adjustRightInd w:val="0"/>
              <w:snapToGrid w:val="0"/>
            </w:pPr>
            <w:r>
              <w:rPr>
                <w:rFonts w:hint="eastAsia"/>
              </w:rPr>
              <w:t>0.5</w:t>
            </w:r>
          </w:p>
        </w:tc>
        <w:tc>
          <w:tcPr>
            <w:tcW w:w="1112" w:type="dxa"/>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164" w:hRule="atLeast"/>
          <w:jc w:val="center"/>
        </w:trPr>
        <w:tc>
          <w:tcPr>
            <w:tcW w:w="1283" w:type="dxa"/>
            <w:vAlign w:val="center"/>
          </w:tcPr>
          <w:p>
            <w:pPr>
              <w:pStyle w:val="100"/>
              <w:widowControl w:val="0"/>
              <w:bidi w:val="0"/>
              <w:adjustRightInd w:val="0"/>
              <w:snapToGrid w:val="0"/>
            </w:pPr>
            <w:r>
              <w:rPr>
                <w:rFonts w:hint="eastAsia"/>
              </w:rPr>
              <w:pict>
                <v:shape id="_x0000_s1032" o:spid="_x0000_s1032" o:spt="75" type="#_x0000_t75" style="position:absolute;left:0pt;margin-left:19.4pt;margin-top:27.4pt;height:235.4pt;width:413.6pt;z-index:251668480;mso-width-relative:page;mso-height-relative:page;" o:ole="t" filled="f" o:preferrelative="t" stroked="f" coordsize="21600,21600">
                  <v:path/>
                  <v:fill on="f" focussize="0,0"/>
                  <v:stroke on="f"/>
                  <v:imagedata r:id="rId20" o:title=""/>
                  <o:lock v:ext="edit" aspectratio="f"/>
                </v:shape>
                <o:OLEObject Type="Embed" ProgID="Visio.Drawing.15" ShapeID="_x0000_s1032" DrawAspect="Content" ObjectID="_1468075730" r:id="rId19">
                  <o:LockedField>false</o:LockedField>
                </o:OLEObject>
              </w:pict>
            </w:r>
            <w:r>
              <w:rPr>
                <w:rFonts w:hint="eastAsia"/>
              </w:rPr>
              <w:t>合计</w:t>
            </w:r>
          </w:p>
        </w:tc>
        <w:tc>
          <w:tcPr>
            <w:tcW w:w="1859" w:type="dxa"/>
            <w:gridSpan w:val="2"/>
            <w:vAlign w:val="center"/>
          </w:tcPr>
          <w:p>
            <w:pPr>
              <w:pStyle w:val="100"/>
              <w:widowControl w:val="0"/>
              <w:bidi w:val="0"/>
              <w:adjustRightInd w:val="0"/>
              <w:snapToGrid w:val="0"/>
            </w:pPr>
            <w:r>
              <w:rPr>
                <w:rFonts w:hint="eastAsia"/>
              </w:rPr>
              <w:t>7</w:t>
            </w:r>
          </w:p>
        </w:tc>
        <w:tc>
          <w:tcPr>
            <w:tcW w:w="1234" w:type="dxa"/>
            <w:vAlign w:val="center"/>
          </w:tcPr>
          <w:p>
            <w:pPr>
              <w:pStyle w:val="100"/>
              <w:widowControl w:val="0"/>
              <w:bidi w:val="0"/>
              <w:adjustRightInd w:val="0"/>
              <w:snapToGrid w:val="0"/>
            </w:pPr>
            <w:r>
              <w:rPr>
                <w:rFonts w:hint="eastAsia"/>
                <w:lang w:val="en-US" w:eastAsia="zh-CN"/>
              </w:rPr>
              <w:t>5.88</w:t>
            </w:r>
            <w:r>
              <w:rPr>
                <w:rFonts w:hint="eastAsia"/>
              </w:rPr>
              <w:t>电脑键盘开关按键</w:t>
            </w:r>
          </w:p>
        </w:tc>
        <w:tc>
          <w:tcPr>
            <w:tcW w:w="4847" w:type="dxa"/>
            <w:gridSpan w:val="5"/>
            <w:vAlign w:val="center"/>
          </w:tcPr>
          <w:p>
            <w:pPr>
              <w:pStyle w:val="100"/>
              <w:widowControl w:val="0"/>
              <w:bidi w:val="0"/>
              <w:adjustRightInd w:val="0"/>
              <w:snapToGrid w:val="0"/>
              <w:rPr>
                <w:rFonts w:hint="default"/>
                <w:lang w:val="en-US" w:eastAsia="zh-CN"/>
              </w:rPr>
            </w:pPr>
            <w:r>
              <w:rPr>
                <w:rFonts w:hint="eastAsia"/>
                <w:lang w:val="en-US" w:eastAsia="zh-CN"/>
              </w:rPr>
              <w:t>1.12</w:t>
            </w:r>
          </w:p>
        </w:tc>
      </w:tr>
      <w:bookmarkEnd w:id="59"/>
    </w:tbl>
    <w:p>
      <w:pPr>
        <w:pStyle w:val="103"/>
        <w:rPr>
          <w:rFonts w:hint="eastAsia" w:hAnsi="宋体" w:eastAsia="宋体" w:cs="宋体"/>
        </w:rPr>
      </w:pPr>
      <w:r>
        <w:rPr>
          <w:rFonts w:hint="eastAsia" w:hAnsi="宋体" w:eastAsia="宋体" w:cs="宋体"/>
        </w:rPr>
        <w:t>（2）水平衡</w:t>
      </w:r>
    </w:p>
    <w:p>
      <w:pPr>
        <w:pStyle w:val="103"/>
        <w:rPr>
          <w:rFonts w:hint="eastAsia" w:hAnsi="宋体" w:eastAsia="宋体" w:cs="宋体"/>
        </w:rPr>
      </w:pPr>
      <w:r>
        <w:rPr>
          <w:rFonts w:hint="eastAsia" w:hAnsi="宋体" w:eastAsia="宋体" w:cs="宋体"/>
        </w:rPr>
        <w:t>水量平衡如下图所示（单位t/a）：</w:t>
      </w:r>
    </w:p>
    <w:p>
      <w:pPr>
        <w:pStyle w:val="103"/>
        <w:rPr>
          <w:rFonts w:ascii="Times New Roman" w:cs="Times New Roman"/>
        </w:rPr>
      </w:pPr>
    </w:p>
    <w:p>
      <w:pPr>
        <w:pStyle w:val="103"/>
        <w:rPr>
          <w:rFonts w:ascii="Times New Roman" w:cs="Times New Roman"/>
        </w:rPr>
      </w:pPr>
    </w:p>
    <w:p>
      <w:pPr>
        <w:pStyle w:val="103"/>
        <w:rPr>
          <w:rFonts w:ascii="Times New Roman" w:cs="Times New Roman"/>
        </w:rPr>
      </w:pPr>
    </w:p>
    <w:p>
      <w:pPr>
        <w:pStyle w:val="103"/>
        <w:rPr>
          <w:rFonts w:ascii="Times New Roman" w:cs="Times New Roman"/>
        </w:rPr>
      </w:pPr>
    </w:p>
    <w:p>
      <w:pPr>
        <w:pStyle w:val="134"/>
        <w:rPr>
          <w:rFonts w:eastAsia="宋体"/>
          <w:color w:val="auto"/>
        </w:rPr>
      </w:pPr>
      <w:r>
        <w:rPr>
          <w:rFonts w:eastAsia="宋体"/>
          <w:color w:val="auto"/>
        </w:rPr>
        <w:t>图5-</w:t>
      </w:r>
      <w:r>
        <w:rPr>
          <w:rFonts w:hint="eastAsia" w:eastAsia="宋体"/>
          <w:color w:val="auto"/>
        </w:rPr>
        <w:t>2</w:t>
      </w:r>
      <w:r>
        <w:rPr>
          <w:rFonts w:eastAsia="宋体"/>
          <w:color w:val="auto"/>
        </w:rPr>
        <w:t xml:space="preserve">  本项目水平衡图 单位：t/a</w:t>
      </w:r>
    </w:p>
    <w:p>
      <w:pPr>
        <w:pStyle w:val="102"/>
      </w:pPr>
      <w:r>
        <w:rPr>
          <w:rFonts w:hint="eastAsia"/>
        </w:rPr>
        <w:t>主要污染工序</w:t>
      </w:r>
    </w:p>
    <w:p>
      <w:pPr>
        <w:pStyle w:val="103"/>
        <w:bidi w:val="0"/>
      </w:pPr>
      <w:r>
        <w:rPr>
          <w:rFonts w:hint="eastAsia"/>
        </w:rPr>
        <w:t>运营期</w:t>
      </w:r>
    </w:p>
    <w:p>
      <w:pPr>
        <w:pStyle w:val="103"/>
        <w:bidi w:val="0"/>
      </w:pPr>
      <w:bookmarkStart w:id="60" w:name="_Hlk13657276"/>
      <w:r>
        <w:rPr>
          <w:rFonts w:hint="eastAsia"/>
        </w:rPr>
        <w:t>根据项目物料消耗以及工艺原理、参考有关技术资料以及现有项目的产排污情况，分析本次项目产排污情况及本次项目实施后全厂的产排污情况。根据工艺分析，本项目主要污染源的产生及分布情况见表5</w:t>
      </w:r>
      <w:r>
        <w:t>-1</w:t>
      </w:r>
      <w:r>
        <w:rPr>
          <w:rFonts w:hint="eastAsia"/>
        </w:rPr>
        <w:t>。</w:t>
      </w:r>
    </w:p>
    <w:p>
      <w:pPr>
        <w:pStyle w:val="273"/>
        <w:bidi w:val="0"/>
        <w:rPr>
          <w:rFonts w:hint="eastAsia"/>
        </w:rPr>
      </w:pPr>
      <w:r>
        <w:rPr>
          <w:rFonts w:hint="eastAsia"/>
        </w:rPr>
        <w:t>表5-</w:t>
      </w:r>
      <w:r>
        <w:rPr>
          <w:rFonts w:hint="eastAsia"/>
          <w:lang w:val="en-US" w:eastAsia="zh-CN"/>
        </w:rPr>
        <w:t>2</w:t>
      </w:r>
      <w:r>
        <w:rPr>
          <w:rFonts w:hint="eastAsia"/>
        </w:rPr>
        <w:t xml:space="preserve">  本项目污染源产生及分布情况</w:t>
      </w:r>
    </w:p>
    <w:tbl>
      <w:tblPr>
        <w:tblStyle w:val="2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405"/>
        <w:gridCol w:w="1879"/>
        <w:gridCol w:w="1535"/>
        <w:gridCol w:w="1148"/>
        <w:gridCol w:w="7"/>
        <w:gridCol w:w="2136"/>
        <w:gridCol w:w="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14" w:hRule="atLeast"/>
          <w:jc w:val="center"/>
        </w:trPr>
        <w:tc>
          <w:tcPr>
            <w:tcW w:w="1169" w:type="dxa"/>
            <w:vAlign w:val="center"/>
          </w:tcPr>
          <w:p>
            <w:pPr>
              <w:pStyle w:val="100"/>
              <w:widowControl w:val="0"/>
              <w:bidi w:val="0"/>
              <w:adjustRightInd w:val="0"/>
              <w:snapToGrid w:val="0"/>
            </w:pPr>
            <w:r>
              <w:rPr>
                <w:rFonts w:hint="eastAsia"/>
              </w:rPr>
              <w:t>类别</w:t>
            </w:r>
          </w:p>
        </w:tc>
        <w:tc>
          <w:tcPr>
            <w:tcW w:w="1405" w:type="dxa"/>
            <w:vAlign w:val="center"/>
          </w:tcPr>
          <w:p>
            <w:pPr>
              <w:pStyle w:val="100"/>
              <w:widowControl w:val="0"/>
              <w:bidi w:val="0"/>
              <w:adjustRightInd w:val="0"/>
              <w:snapToGrid w:val="0"/>
            </w:pPr>
            <w:r>
              <w:rPr>
                <w:rFonts w:hint="eastAsia"/>
              </w:rPr>
              <w:t>编号</w:t>
            </w:r>
          </w:p>
        </w:tc>
        <w:tc>
          <w:tcPr>
            <w:tcW w:w="1879" w:type="dxa"/>
            <w:vAlign w:val="center"/>
          </w:tcPr>
          <w:p>
            <w:pPr>
              <w:pStyle w:val="100"/>
              <w:widowControl w:val="0"/>
              <w:bidi w:val="0"/>
              <w:adjustRightInd w:val="0"/>
              <w:snapToGrid w:val="0"/>
            </w:pPr>
            <w:r>
              <w:rPr>
                <w:rFonts w:hint="eastAsia"/>
              </w:rPr>
              <w:t>污染物名称</w:t>
            </w:r>
          </w:p>
        </w:tc>
        <w:tc>
          <w:tcPr>
            <w:tcW w:w="1535" w:type="dxa"/>
            <w:vAlign w:val="center"/>
          </w:tcPr>
          <w:p>
            <w:pPr>
              <w:pStyle w:val="100"/>
              <w:widowControl w:val="0"/>
              <w:bidi w:val="0"/>
              <w:adjustRightInd w:val="0"/>
              <w:snapToGrid w:val="0"/>
            </w:pPr>
            <w:r>
              <w:rPr>
                <w:rFonts w:hint="eastAsia"/>
              </w:rPr>
              <w:t>产生车间</w:t>
            </w:r>
          </w:p>
        </w:tc>
        <w:tc>
          <w:tcPr>
            <w:tcW w:w="1148" w:type="dxa"/>
            <w:vAlign w:val="center"/>
          </w:tcPr>
          <w:p>
            <w:pPr>
              <w:pStyle w:val="100"/>
              <w:widowControl w:val="0"/>
              <w:bidi w:val="0"/>
              <w:adjustRightInd w:val="0"/>
              <w:snapToGrid w:val="0"/>
            </w:pPr>
            <w:r>
              <w:rPr>
                <w:rFonts w:hint="eastAsia"/>
              </w:rPr>
              <w:t>产生工段</w:t>
            </w:r>
          </w:p>
        </w:tc>
        <w:tc>
          <w:tcPr>
            <w:tcW w:w="2143" w:type="dxa"/>
            <w:gridSpan w:val="2"/>
            <w:vAlign w:val="center"/>
          </w:tcPr>
          <w:p>
            <w:pPr>
              <w:pStyle w:val="100"/>
              <w:widowControl w:val="0"/>
              <w:bidi w:val="0"/>
              <w:adjustRightInd w:val="0"/>
              <w:snapToGrid w:val="0"/>
            </w:pPr>
            <w:r>
              <w:rPr>
                <w:rFonts w:hint="eastAsia"/>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restart"/>
            <w:vAlign w:val="center"/>
          </w:tcPr>
          <w:p>
            <w:pPr>
              <w:pStyle w:val="100"/>
              <w:widowControl w:val="0"/>
              <w:bidi w:val="0"/>
              <w:adjustRightInd w:val="0"/>
              <w:snapToGrid w:val="0"/>
            </w:pPr>
            <w:r>
              <w:rPr>
                <w:rFonts w:hint="eastAsia"/>
              </w:rPr>
              <w:t>废气</w:t>
            </w:r>
          </w:p>
        </w:tc>
        <w:tc>
          <w:tcPr>
            <w:tcW w:w="1405" w:type="dxa"/>
            <w:vAlign w:val="center"/>
          </w:tcPr>
          <w:p>
            <w:pPr>
              <w:pStyle w:val="100"/>
              <w:widowControl w:val="0"/>
              <w:bidi w:val="0"/>
              <w:adjustRightInd w:val="0"/>
              <w:snapToGrid w:val="0"/>
            </w:pPr>
            <w:r>
              <w:rPr>
                <w:rFonts w:hint="eastAsia"/>
              </w:rPr>
              <w:t>G</w:t>
            </w:r>
            <w:r>
              <w:t>1</w:t>
            </w:r>
          </w:p>
        </w:tc>
        <w:tc>
          <w:tcPr>
            <w:tcW w:w="1879" w:type="dxa"/>
            <w:vAlign w:val="center"/>
          </w:tcPr>
          <w:p>
            <w:pPr>
              <w:pStyle w:val="100"/>
              <w:widowControl w:val="0"/>
              <w:bidi w:val="0"/>
              <w:adjustRightInd w:val="0"/>
              <w:snapToGrid w:val="0"/>
            </w:pPr>
            <w:r>
              <w:rPr>
                <w:rFonts w:hint="eastAsia"/>
              </w:rPr>
              <w:t>油墨挥发废气</w:t>
            </w:r>
          </w:p>
        </w:tc>
        <w:tc>
          <w:tcPr>
            <w:tcW w:w="1535" w:type="dxa"/>
            <w:vAlign w:val="center"/>
          </w:tcPr>
          <w:p>
            <w:pPr>
              <w:pStyle w:val="100"/>
              <w:widowControl w:val="0"/>
              <w:bidi w:val="0"/>
              <w:adjustRightInd w:val="0"/>
              <w:snapToGrid w:val="0"/>
            </w:pPr>
            <w:r>
              <w:rPr>
                <w:rFonts w:hint="eastAsia"/>
              </w:rPr>
              <w:t>印刷车间</w:t>
            </w:r>
          </w:p>
        </w:tc>
        <w:tc>
          <w:tcPr>
            <w:tcW w:w="1148" w:type="dxa"/>
            <w:vAlign w:val="center"/>
          </w:tcPr>
          <w:p>
            <w:pPr>
              <w:pStyle w:val="100"/>
              <w:widowControl w:val="0"/>
              <w:bidi w:val="0"/>
              <w:adjustRightInd w:val="0"/>
              <w:snapToGrid w:val="0"/>
            </w:pPr>
            <w:r>
              <w:rPr>
                <w:rFonts w:hint="eastAsia"/>
              </w:rPr>
              <w:t>印刷</w:t>
            </w:r>
          </w:p>
        </w:tc>
        <w:tc>
          <w:tcPr>
            <w:tcW w:w="2143" w:type="dxa"/>
            <w:gridSpan w:val="2"/>
            <w:vAlign w:val="center"/>
          </w:tcPr>
          <w:p>
            <w:pPr>
              <w:pStyle w:val="100"/>
              <w:widowControl w:val="0"/>
              <w:bidi w:val="0"/>
              <w:adjustRightInd w:val="0"/>
              <w:snapToGrid w:val="0"/>
            </w:pPr>
            <w:r>
              <w:rPr>
                <w:rFonts w:hint="eastAsi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pPr>
            <w:r>
              <w:rPr>
                <w:rFonts w:hint="eastAsia"/>
              </w:rPr>
              <w:t>G</w:t>
            </w:r>
            <w:r>
              <w:t>2</w:t>
            </w:r>
          </w:p>
        </w:tc>
        <w:tc>
          <w:tcPr>
            <w:tcW w:w="1879" w:type="dxa"/>
            <w:vAlign w:val="center"/>
          </w:tcPr>
          <w:p>
            <w:pPr>
              <w:pStyle w:val="100"/>
              <w:widowControl w:val="0"/>
              <w:bidi w:val="0"/>
              <w:adjustRightInd w:val="0"/>
              <w:snapToGrid w:val="0"/>
            </w:pPr>
            <w:r>
              <w:rPr>
                <w:rFonts w:hint="eastAsia"/>
              </w:rPr>
              <w:t>水胶挥发废气</w:t>
            </w:r>
          </w:p>
        </w:tc>
        <w:tc>
          <w:tcPr>
            <w:tcW w:w="1535" w:type="dxa"/>
            <w:vAlign w:val="center"/>
          </w:tcPr>
          <w:p>
            <w:pPr>
              <w:pStyle w:val="100"/>
              <w:widowControl w:val="0"/>
              <w:bidi w:val="0"/>
              <w:adjustRightInd w:val="0"/>
              <w:snapToGrid w:val="0"/>
            </w:pPr>
            <w:r>
              <w:rPr>
                <w:rFonts w:hint="eastAsia"/>
              </w:rPr>
              <w:t>印刷车间</w:t>
            </w:r>
          </w:p>
        </w:tc>
        <w:tc>
          <w:tcPr>
            <w:tcW w:w="1148" w:type="dxa"/>
            <w:vAlign w:val="center"/>
          </w:tcPr>
          <w:p>
            <w:pPr>
              <w:pStyle w:val="100"/>
              <w:widowControl w:val="0"/>
              <w:bidi w:val="0"/>
              <w:adjustRightInd w:val="0"/>
              <w:snapToGrid w:val="0"/>
            </w:pPr>
            <w:r>
              <w:rPr>
                <w:rFonts w:hint="eastAsia"/>
              </w:rPr>
              <w:t>上胶</w:t>
            </w:r>
          </w:p>
        </w:tc>
        <w:tc>
          <w:tcPr>
            <w:tcW w:w="2143" w:type="dxa"/>
            <w:gridSpan w:val="2"/>
            <w:vAlign w:val="center"/>
          </w:tcPr>
          <w:p>
            <w:pPr>
              <w:pStyle w:val="100"/>
              <w:widowControl w:val="0"/>
              <w:bidi w:val="0"/>
              <w:adjustRightInd w:val="0"/>
              <w:snapToGrid w:val="0"/>
            </w:pPr>
            <w:r>
              <w:rPr>
                <w:rFonts w:hint="eastAsi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Align w:val="center"/>
          </w:tcPr>
          <w:p>
            <w:pPr>
              <w:pStyle w:val="100"/>
              <w:widowControl w:val="0"/>
              <w:bidi w:val="0"/>
              <w:adjustRightInd w:val="0"/>
              <w:snapToGrid w:val="0"/>
              <w:rPr>
                <w:rFonts w:hint="default"/>
                <w:lang w:val="en-US" w:eastAsia="zh-CN"/>
              </w:rPr>
            </w:pPr>
            <w:r>
              <w:rPr>
                <w:rFonts w:hint="eastAsia"/>
                <w:lang w:val="en-US" w:eastAsia="zh-CN"/>
              </w:rPr>
              <w:t>废水</w:t>
            </w:r>
          </w:p>
        </w:tc>
        <w:tc>
          <w:tcPr>
            <w:tcW w:w="1405" w:type="dxa"/>
            <w:vAlign w:val="center"/>
          </w:tcPr>
          <w:p>
            <w:pPr>
              <w:pStyle w:val="100"/>
              <w:widowControl w:val="0"/>
              <w:bidi w:val="0"/>
              <w:adjustRightInd w:val="0"/>
              <w:snapToGrid w:val="0"/>
            </w:pPr>
            <w:r>
              <w:rPr>
                <w:rFonts w:hint="eastAsia"/>
              </w:rPr>
              <w:t>W1</w:t>
            </w:r>
          </w:p>
        </w:tc>
        <w:tc>
          <w:tcPr>
            <w:tcW w:w="1879" w:type="dxa"/>
            <w:vAlign w:val="center"/>
          </w:tcPr>
          <w:p>
            <w:pPr>
              <w:pStyle w:val="100"/>
              <w:widowControl w:val="0"/>
              <w:bidi w:val="0"/>
              <w:adjustRightInd w:val="0"/>
              <w:snapToGrid w:val="0"/>
            </w:pPr>
            <w:r>
              <w:rPr>
                <w:rFonts w:hint="eastAsia"/>
              </w:rPr>
              <w:t>生活污水</w:t>
            </w:r>
          </w:p>
        </w:tc>
        <w:tc>
          <w:tcPr>
            <w:tcW w:w="1535" w:type="dxa"/>
            <w:vAlign w:val="center"/>
          </w:tcPr>
          <w:p>
            <w:pPr>
              <w:pStyle w:val="100"/>
              <w:widowControl w:val="0"/>
              <w:bidi w:val="0"/>
              <w:adjustRightInd w:val="0"/>
              <w:snapToGrid w:val="0"/>
            </w:pPr>
            <w:r>
              <w:rPr>
                <w:rFonts w:hint="eastAsia"/>
              </w:rPr>
              <w:t>公辅工程</w:t>
            </w:r>
          </w:p>
        </w:tc>
        <w:tc>
          <w:tcPr>
            <w:tcW w:w="1148" w:type="dxa"/>
            <w:vAlign w:val="center"/>
          </w:tcPr>
          <w:p>
            <w:pPr>
              <w:pStyle w:val="100"/>
              <w:widowControl w:val="0"/>
              <w:bidi w:val="0"/>
              <w:adjustRightInd w:val="0"/>
              <w:snapToGrid w:val="0"/>
            </w:pPr>
            <w:r>
              <w:rPr>
                <w:rFonts w:hint="eastAsia"/>
              </w:rPr>
              <w:t>员工生活</w:t>
            </w:r>
          </w:p>
        </w:tc>
        <w:tc>
          <w:tcPr>
            <w:tcW w:w="2143" w:type="dxa"/>
            <w:gridSpan w:val="2"/>
            <w:vAlign w:val="center"/>
          </w:tcPr>
          <w:p>
            <w:pPr>
              <w:pStyle w:val="100"/>
              <w:widowControl w:val="0"/>
              <w:bidi w:val="0"/>
              <w:adjustRightInd w:val="0"/>
              <w:snapToGrid w:val="0"/>
            </w:pPr>
            <w:r>
              <w:t>COD</w:t>
            </w:r>
            <w:r>
              <w:rPr>
                <w:rFonts w:hint="eastAsia"/>
              </w:rPr>
              <w:t>、</w:t>
            </w:r>
            <w:r>
              <w:t>SS</w:t>
            </w:r>
            <w:r>
              <w:rPr>
                <w:rFonts w:hint="eastAsia"/>
              </w:rPr>
              <w:t>、氨氮、总氮、总磷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169" w:type="dxa"/>
            <w:vAlign w:val="center"/>
          </w:tcPr>
          <w:p>
            <w:pPr>
              <w:pStyle w:val="100"/>
              <w:widowControl w:val="0"/>
              <w:bidi w:val="0"/>
              <w:adjustRightInd w:val="0"/>
              <w:snapToGrid w:val="0"/>
            </w:pPr>
            <w:r>
              <w:rPr>
                <w:rFonts w:hint="eastAsia"/>
              </w:rPr>
              <w:t>噪声</w:t>
            </w:r>
          </w:p>
        </w:tc>
        <w:tc>
          <w:tcPr>
            <w:tcW w:w="5974" w:type="dxa"/>
            <w:gridSpan w:val="5"/>
            <w:vAlign w:val="center"/>
          </w:tcPr>
          <w:p>
            <w:pPr>
              <w:pStyle w:val="100"/>
              <w:widowControl w:val="0"/>
              <w:bidi w:val="0"/>
              <w:adjustRightInd w:val="0"/>
              <w:snapToGrid w:val="0"/>
            </w:pPr>
            <w:r>
              <w:rPr>
                <w:rFonts w:hint="eastAsia"/>
              </w:rPr>
              <w:t>设备噪声、公用设备噪声</w:t>
            </w:r>
          </w:p>
        </w:tc>
        <w:tc>
          <w:tcPr>
            <w:tcW w:w="2143" w:type="dxa"/>
            <w:gridSpan w:val="2"/>
            <w:vAlign w:val="center"/>
          </w:tcPr>
          <w:p>
            <w:pPr>
              <w:pStyle w:val="100"/>
              <w:widowControl w:val="0"/>
              <w:bidi w:val="0"/>
              <w:adjustRightInd w:val="0"/>
              <w:snapToGrid w:val="0"/>
            </w:pPr>
            <w:r>
              <w:rPr>
                <w:rFonts w:hint="eastAsia"/>
              </w:rPr>
              <w:t>等效连续</w:t>
            </w:r>
            <w:r>
              <w:t>A 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restart"/>
            <w:vAlign w:val="center"/>
          </w:tcPr>
          <w:p>
            <w:pPr>
              <w:pStyle w:val="100"/>
              <w:widowControl w:val="0"/>
              <w:bidi w:val="0"/>
              <w:adjustRightInd w:val="0"/>
              <w:snapToGrid w:val="0"/>
            </w:pPr>
            <w:r>
              <w:rPr>
                <w:rFonts w:hint="eastAsia"/>
              </w:rPr>
              <w:t>副产物</w:t>
            </w:r>
          </w:p>
        </w:tc>
        <w:tc>
          <w:tcPr>
            <w:tcW w:w="1405" w:type="dxa"/>
            <w:vAlign w:val="center"/>
          </w:tcPr>
          <w:p>
            <w:pPr>
              <w:pStyle w:val="100"/>
              <w:widowControl w:val="0"/>
              <w:bidi w:val="0"/>
              <w:adjustRightInd w:val="0"/>
              <w:snapToGrid w:val="0"/>
            </w:pPr>
            <w:r>
              <w:rPr>
                <w:rFonts w:hint="eastAsia"/>
              </w:rPr>
              <w:t>S</w:t>
            </w:r>
            <w:r>
              <w:t>1</w:t>
            </w:r>
          </w:p>
        </w:tc>
        <w:tc>
          <w:tcPr>
            <w:tcW w:w="1879" w:type="dxa"/>
            <w:vAlign w:val="center"/>
          </w:tcPr>
          <w:p>
            <w:pPr>
              <w:pStyle w:val="100"/>
              <w:widowControl w:val="0"/>
              <w:bidi w:val="0"/>
              <w:adjustRightInd w:val="0"/>
              <w:snapToGrid w:val="0"/>
            </w:pPr>
            <w:r>
              <w:rPr>
                <w:rFonts w:hint="eastAsia"/>
              </w:rPr>
              <w:t>废油墨罐</w:t>
            </w:r>
          </w:p>
        </w:tc>
        <w:tc>
          <w:tcPr>
            <w:tcW w:w="1535" w:type="dxa"/>
            <w:vAlign w:val="center"/>
          </w:tcPr>
          <w:p>
            <w:pPr>
              <w:pStyle w:val="100"/>
              <w:widowControl w:val="0"/>
              <w:bidi w:val="0"/>
              <w:adjustRightInd w:val="0"/>
              <w:snapToGrid w:val="0"/>
            </w:pPr>
            <w:r>
              <w:rPr>
                <w:rFonts w:hint="eastAsia"/>
              </w:rPr>
              <w:t>印刷车间</w:t>
            </w:r>
          </w:p>
        </w:tc>
        <w:tc>
          <w:tcPr>
            <w:tcW w:w="1148" w:type="dxa"/>
            <w:vAlign w:val="center"/>
          </w:tcPr>
          <w:p>
            <w:pPr>
              <w:pStyle w:val="100"/>
              <w:widowControl w:val="0"/>
              <w:bidi w:val="0"/>
              <w:adjustRightInd w:val="0"/>
              <w:snapToGrid w:val="0"/>
            </w:pPr>
            <w:r>
              <w:rPr>
                <w:rFonts w:hint="eastAsia"/>
              </w:rPr>
              <w:t>印刷</w:t>
            </w:r>
          </w:p>
        </w:tc>
        <w:tc>
          <w:tcPr>
            <w:tcW w:w="2143" w:type="dxa"/>
            <w:gridSpan w:val="2"/>
            <w:vAlign w:val="center"/>
          </w:tcPr>
          <w:p>
            <w:pPr>
              <w:pStyle w:val="100"/>
              <w:widowControl w:val="0"/>
              <w:bidi w:val="0"/>
              <w:adjustRightInd w:val="0"/>
              <w:snapToGrid w:val="0"/>
            </w:pPr>
            <w:r>
              <w:rPr>
                <w:rFonts w:hint="eastAsia"/>
                <w:lang w:val="en-US" w:eastAsia="zh-CN"/>
              </w:rPr>
              <w:t>水性</w:t>
            </w:r>
            <w:r>
              <w:rPr>
                <w:rFonts w:hint="eastAsia"/>
              </w:rPr>
              <w:t>油墨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pPr>
            <w:r>
              <w:rPr>
                <w:rFonts w:hint="eastAsia"/>
              </w:rPr>
              <w:t>S2</w:t>
            </w:r>
          </w:p>
        </w:tc>
        <w:tc>
          <w:tcPr>
            <w:tcW w:w="1879" w:type="dxa"/>
            <w:vAlign w:val="center"/>
          </w:tcPr>
          <w:p>
            <w:pPr>
              <w:pStyle w:val="100"/>
              <w:widowControl w:val="0"/>
              <w:bidi w:val="0"/>
              <w:adjustRightInd w:val="0"/>
              <w:snapToGrid w:val="0"/>
            </w:pPr>
            <w:r>
              <w:rPr>
                <w:rFonts w:hint="eastAsia"/>
              </w:rPr>
              <w:t>废胶水罐</w:t>
            </w:r>
          </w:p>
        </w:tc>
        <w:tc>
          <w:tcPr>
            <w:tcW w:w="1535" w:type="dxa"/>
            <w:vAlign w:val="center"/>
          </w:tcPr>
          <w:p>
            <w:pPr>
              <w:pStyle w:val="100"/>
              <w:widowControl w:val="0"/>
              <w:bidi w:val="0"/>
              <w:adjustRightInd w:val="0"/>
              <w:snapToGrid w:val="0"/>
            </w:pPr>
            <w:r>
              <w:rPr>
                <w:rFonts w:hint="eastAsia"/>
              </w:rPr>
              <w:t>印刷车间</w:t>
            </w:r>
          </w:p>
        </w:tc>
        <w:tc>
          <w:tcPr>
            <w:tcW w:w="1148" w:type="dxa"/>
            <w:vAlign w:val="center"/>
          </w:tcPr>
          <w:p>
            <w:pPr>
              <w:pStyle w:val="100"/>
              <w:widowControl w:val="0"/>
              <w:bidi w:val="0"/>
              <w:adjustRightInd w:val="0"/>
              <w:snapToGrid w:val="0"/>
            </w:pPr>
            <w:r>
              <w:rPr>
                <w:rFonts w:hint="eastAsia"/>
              </w:rPr>
              <w:t>上胶</w:t>
            </w:r>
          </w:p>
        </w:tc>
        <w:tc>
          <w:tcPr>
            <w:tcW w:w="2143" w:type="dxa"/>
            <w:gridSpan w:val="2"/>
            <w:vAlign w:val="center"/>
          </w:tcPr>
          <w:p>
            <w:pPr>
              <w:pStyle w:val="100"/>
              <w:widowControl w:val="0"/>
              <w:bidi w:val="0"/>
              <w:adjustRightInd w:val="0"/>
              <w:snapToGrid w:val="0"/>
            </w:pPr>
            <w:r>
              <w:rPr>
                <w:rFonts w:hint="eastAsia"/>
              </w:rPr>
              <w:t>水</w:t>
            </w:r>
            <w:r>
              <w:rPr>
                <w:rFonts w:hint="eastAsia"/>
                <w:lang w:val="en-US" w:eastAsia="zh-CN"/>
              </w:rPr>
              <w:t>性</w:t>
            </w:r>
            <w:r>
              <w:rPr>
                <w:rFonts w:hint="eastAsia"/>
              </w:rPr>
              <w:t>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pPr>
            <w:r>
              <w:rPr>
                <w:rFonts w:hint="eastAsia"/>
              </w:rPr>
              <w:t>S3</w:t>
            </w:r>
          </w:p>
        </w:tc>
        <w:tc>
          <w:tcPr>
            <w:tcW w:w="1879" w:type="dxa"/>
            <w:vAlign w:val="center"/>
          </w:tcPr>
          <w:p>
            <w:pPr>
              <w:pStyle w:val="100"/>
              <w:widowControl w:val="0"/>
              <w:bidi w:val="0"/>
              <w:adjustRightInd w:val="0"/>
              <w:snapToGrid w:val="0"/>
            </w:pPr>
            <w:r>
              <w:rPr>
                <w:rFonts w:hint="eastAsia"/>
              </w:rPr>
              <w:t>废活性炭</w:t>
            </w:r>
          </w:p>
        </w:tc>
        <w:tc>
          <w:tcPr>
            <w:tcW w:w="1535" w:type="dxa"/>
            <w:vAlign w:val="center"/>
          </w:tcPr>
          <w:p>
            <w:pPr>
              <w:pStyle w:val="100"/>
              <w:widowControl w:val="0"/>
              <w:bidi w:val="0"/>
              <w:adjustRightInd w:val="0"/>
              <w:snapToGrid w:val="0"/>
            </w:pPr>
            <w:r>
              <w:rPr>
                <w:rFonts w:hint="eastAsia"/>
              </w:rPr>
              <w:t>印刷车间</w:t>
            </w:r>
          </w:p>
        </w:tc>
        <w:tc>
          <w:tcPr>
            <w:tcW w:w="1148" w:type="dxa"/>
            <w:vAlign w:val="center"/>
          </w:tcPr>
          <w:p>
            <w:pPr>
              <w:pStyle w:val="100"/>
              <w:widowControl w:val="0"/>
              <w:bidi w:val="0"/>
              <w:adjustRightInd w:val="0"/>
              <w:snapToGrid w:val="0"/>
            </w:pPr>
            <w:r>
              <w:rPr>
                <w:rFonts w:hint="eastAsia"/>
              </w:rPr>
              <w:t>废气治理</w:t>
            </w:r>
          </w:p>
        </w:tc>
        <w:tc>
          <w:tcPr>
            <w:tcW w:w="2143" w:type="dxa"/>
            <w:gridSpan w:val="2"/>
            <w:vAlign w:val="center"/>
          </w:tcPr>
          <w:p>
            <w:pPr>
              <w:pStyle w:val="100"/>
              <w:widowControl w:val="0"/>
              <w:bidi w:val="0"/>
              <w:adjustRightInd w:val="0"/>
              <w:snapToGrid w:val="0"/>
              <w:rPr>
                <w:rFonts w:hint="default"/>
                <w:lang w:val="en-US" w:eastAsia="zh-CN"/>
              </w:rPr>
            </w:pPr>
            <w:r>
              <w:rPr>
                <w:rFonts w:hint="eastAsia"/>
                <w:lang w:val="en-US" w:eastAsia="zh-CN"/>
              </w:rPr>
              <w:t>废</w:t>
            </w:r>
            <w:r>
              <w:rPr>
                <w:rFonts w:hint="eastAsia"/>
              </w:rPr>
              <w:t>活性炭</w:t>
            </w:r>
            <w:r>
              <w:rPr>
                <w:rFonts w:hint="eastAsia"/>
                <w:lang w:eastAsia="zh-CN"/>
              </w:rPr>
              <w:t>、</w:t>
            </w:r>
            <w:r>
              <w:rPr>
                <w:rFonts w:hint="eastAsia"/>
                <w:lang w:val="en-US" w:eastAsia="zh-CN"/>
              </w:rPr>
              <w:t>吸附的有机废气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rPr>
                <w:rFonts w:hint="eastAsia"/>
                <w:lang w:val="en-US" w:eastAsia="zh-CN"/>
              </w:rPr>
            </w:pPr>
            <w:r>
              <w:rPr>
                <w:rFonts w:hint="eastAsia"/>
              </w:rPr>
              <w:t>S</w:t>
            </w:r>
            <w:r>
              <w:rPr>
                <w:rFonts w:hint="eastAsia"/>
                <w:lang w:val="en-US" w:eastAsia="zh-CN"/>
              </w:rPr>
              <w:t>4</w:t>
            </w:r>
          </w:p>
        </w:tc>
        <w:tc>
          <w:tcPr>
            <w:tcW w:w="1879" w:type="dxa"/>
            <w:vAlign w:val="center"/>
          </w:tcPr>
          <w:p>
            <w:pPr>
              <w:pStyle w:val="100"/>
              <w:widowControl w:val="0"/>
              <w:bidi w:val="0"/>
              <w:adjustRightInd w:val="0"/>
              <w:snapToGrid w:val="0"/>
              <w:rPr>
                <w:lang w:val="en-US" w:eastAsia="zh-CN"/>
              </w:rPr>
            </w:pPr>
            <w:r>
              <w:rPr>
                <w:rFonts w:hint="eastAsia"/>
              </w:rPr>
              <w:t>不合格品</w:t>
            </w:r>
          </w:p>
        </w:tc>
        <w:tc>
          <w:tcPr>
            <w:tcW w:w="1535" w:type="dxa"/>
            <w:vAlign w:val="center"/>
          </w:tcPr>
          <w:p>
            <w:pPr>
              <w:pStyle w:val="100"/>
              <w:widowControl w:val="0"/>
              <w:bidi w:val="0"/>
              <w:adjustRightInd w:val="0"/>
              <w:snapToGrid w:val="0"/>
              <w:rPr>
                <w:lang w:val="en-US" w:eastAsia="zh-CN"/>
              </w:rPr>
            </w:pPr>
            <w:r>
              <w:rPr>
                <w:rFonts w:hint="eastAsia"/>
              </w:rPr>
              <w:t>印刷车间、冲压车间</w:t>
            </w:r>
          </w:p>
        </w:tc>
        <w:tc>
          <w:tcPr>
            <w:tcW w:w="1148" w:type="dxa"/>
            <w:vAlign w:val="center"/>
          </w:tcPr>
          <w:p>
            <w:pPr>
              <w:pStyle w:val="100"/>
              <w:widowControl w:val="0"/>
              <w:bidi w:val="0"/>
              <w:adjustRightInd w:val="0"/>
              <w:snapToGrid w:val="0"/>
              <w:rPr>
                <w:lang w:val="en-US" w:eastAsia="zh-CN"/>
              </w:rPr>
            </w:pPr>
            <w:r>
              <w:rPr>
                <w:rFonts w:hint="eastAsia"/>
              </w:rPr>
              <w:t>检验</w:t>
            </w:r>
          </w:p>
        </w:tc>
        <w:tc>
          <w:tcPr>
            <w:tcW w:w="2143" w:type="dxa"/>
            <w:gridSpan w:val="2"/>
            <w:vAlign w:val="center"/>
          </w:tcPr>
          <w:p>
            <w:pPr>
              <w:pStyle w:val="100"/>
              <w:widowControl w:val="0"/>
              <w:bidi w:val="0"/>
              <w:adjustRightInd w:val="0"/>
              <w:snapToGrid w:val="0"/>
              <w:rPr>
                <w:lang w:val="en-US" w:eastAsia="zh-CN"/>
              </w:rPr>
            </w:pPr>
            <w:r>
              <w:rPr>
                <w:rFonts w:hint="eastAsia"/>
              </w:rPr>
              <w:t>PET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rPr>
                <w:rFonts w:hint="eastAsia"/>
                <w:lang w:val="en-US" w:eastAsia="zh-CN"/>
              </w:rPr>
            </w:pPr>
            <w:r>
              <w:rPr>
                <w:rFonts w:hint="eastAsia"/>
              </w:rPr>
              <w:t>S</w:t>
            </w:r>
            <w:r>
              <w:rPr>
                <w:rFonts w:hint="eastAsia"/>
                <w:lang w:val="en-US" w:eastAsia="zh-CN"/>
              </w:rPr>
              <w:t>5</w:t>
            </w:r>
          </w:p>
        </w:tc>
        <w:tc>
          <w:tcPr>
            <w:tcW w:w="1879" w:type="dxa"/>
            <w:vAlign w:val="center"/>
          </w:tcPr>
          <w:p>
            <w:pPr>
              <w:pStyle w:val="100"/>
              <w:widowControl w:val="0"/>
              <w:bidi w:val="0"/>
              <w:adjustRightInd w:val="0"/>
              <w:snapToGrid w:val="0"/>
              <w:rPr>
                <w:rFonts w:hint="default"/>
                <w:lang w:val="en-US" w:eastAsia="zh-CN"/>
              </w:rPr>
            </w:pPr>
            <w:r>
              <w:rPr>
                <w:rFonts w:hint="eastAsia"/>
                <w:lang w:val="en-US" w:eastAsia="zh-CN"/>
              </w:rPr>
              <w:t>废纸箱</w:t>
            </w:r>
          </w:p>
        </w:tc>
        <w:tc>
          <w:tcPr>
            <w:tcW w:w="1535" w:type="dxa"/>
            <w:vAlign w:val="center"/>
          </w:tcPr>
          <w:p>
            <w:pPr>
              <w:pStyle w:val="100"/>
              <w:widowControl w:val="0"/>
              <w:bidi w:val="0"/>
              <w:adjustRightInd w:val="0"/>
              <w:snapToGrid w:val="0"/>
              <w:rPr>
                <w:rFonts w:hint="default"/>
                <w:lang w:val="en-US" w:eastAsia="zh-CN"/>
              </w:rPr>
            </w:pPr>
            <w:r>
              <w:rPr>
                <w:rFonts w:hint="eastAsia"/>
                <w:lang w:val="en-US" w:eastAsia="zh-CN"/>
              </w:rPr>
              <w:t>印刷车间、冲压车间</w:t>
            </w:r>
          </w:p>
        </w:tc>
        <w:tc>
          <w:tcPr>
            <w:tcW w:w="1148" w:type="dxa"/>
            <w:vAlign w:val="center"/>
          </w:tcPr>
          <w:p>
            <w:pPr>
              <w:pStyle w:val="100"/>
              <w:widowControl w:val="0"/>
              <w:bidi w:val="0"/>
              <w:adjustRightInd w:val="0"/>
              <w:snapToGrid w:val="0"/>
              <w:rPr>
                <w:rFonts w:hint="default"/>
                <w:lang w:val="en-US" w:eastAsia="zh-CN"/>
              </w:rPr>
            </w:pPr>
            <w:r>
              <w:rPr>
                <w:rFonts w:hint="eastAsia"/>
                <w:lang w:val="en-US" w:eastAsia="zh-CN"/>
              </w:rPr>
              <w:t>包装</w:t>
            </w:r>
          </w:p>
        </w:tc>
        <w:tc>
          <w:tcPr>
            <w:tcW w:w="2143" w:type="dxa"/>
            <w:gridSpan w:val="2"/>
            <w:vAlign w:val="center"/>
          </w:tcPr>
          <w:p>
            <w:pPr>
              <w:pStyle w:val="100"/>
              <w:widowControl w:val="0"/>
              <w:bidi w:val="0"/>
              <w:adjustRightInd w:val="0"/>
              <w:snapToGrid w:val="0"/>
              <w:rPr>
                <w:rFonts w:hint="default"/>
                <w:lang w:val="en-US" w:eastAsia="zh-CN"/>
              </w:rPr>
            </w:pPr>
            <w:r>
              <w:rPr>
                <w:rFonts w:hint="eastAsia"/>
                <w:lang w:val="en-US" w:eastAsia="zh-CN"/>
              </w:rPr>
              <w:t>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rPr>
                <w:rFonts w:hint="eastAsia"/>
                <w:lang w:val="en-US" w:eastAsia="zh-CN"/>
              </w:rPr>
            </w:pPr>
            <w:r>
              <w:rPr>
                <w:rFonts w:hint="eastAsia"/>
              </w:rPr>
              <w:t>S</w:t>
            </w:r>
            <w:r>
              <w:rPr>
                <w:rFonts w:hint="eastAsia"/>
                <w:lang w:val="en-US" w:eastAsia="zh-CN"/>
              </w:rPr>
              <w:t>6</w:t>
            </w:r>
          </w:p>
        </w:tc>
        <w:tc>
          <w:tcPr>
            <w:tcW w:w="1879" w:type="dxa"/>
            <w:vAlign w:val="center"/>
          </w:tcPr>
          <w:p>
            <w:pPr>
              <w:pStyle w:val="100"/>
              <w:widowControl w:val="0"/>
              <w:bidi w:val="0"/>
              <w:adjustRightInd w:val="0"/>
              <w:snapToGrid w:val="0"/>
              <w:rPr>
                <w:rFonts w:hint="eastAsia"/>
                <w:lang w:val="en-US" w:eastAsia="zh-CN"/>
              </w:rPr>
            </w:pPr>
            <w:r>
              <w:rPr>
                <w:rFonts w:hint="eastAsia"/>
              </w:rPr>
              <w:t>边角料</w:t>
            </w:r>
          </w:p>
        </w:tc>
        <w:tc>
          <w:tcPr>
            <w:tcW w:w="1535" w:type="dxa"/>
            <w:vAlign w:val="center"/>
          </w:tcPr>
          <w:p>
            <w:pPr>
              <w:pStyle w:val="100"/>
              <w:widowControl w:val="0"/>
              <w:bidi w:val="0"/>
              <w:adjustRightInd w:val="0"/>
              <w:snapToGrid w:val="0"/>
              <w:rPr>
                <w:rFonts w:hint="eastAsia"/>
                <w:lang w:val="en-US" w:eastAsia="zh-CN"/>
              </w:rPr>
            </w:pPr>
            <w:r>
              <w:rPr>
                <w:rFonts w:hint="eastAsia"/>
              </w:rPr>
              <w:t>冲压车间</w:t>
            </w:r>
          </w:p>
        </w:tc>
        <w:tc>
          <w:tcPr>
            <w:tcW w:w="1148" w:type="dxa"/>
            <w:vAlign w:val="center"/>
          </w:tcPr>
          <w:p>
            <w:pPr>
              <w:pStyle w:val="100"/>
              <w:widowControl w:val="0"/>
              <w:bidi w:val="0"/>
              <w:adjustRightInd w:val="0"/>
              <w:snapToGrid w:val="0"/>
              <w:rPr>
                <w:rFonts w:hint="eastAsia"/>
                <w:lang w:val="en-US" w:eastAsia="zh-CN"/>
              </w:rPr>
            </w:pPr>
            <w:r>
              <w:rPr>
                <w:rFonts w:hint="eastAsia"/>
              </w:rPr>
              <w:t>模切</w:t>
            </w:r>
          </w:p>
        </w:tc>
        <w:tc>
          <w:tcPr>
            <w:tcW w:w="2143" w:type="dxa"/>
            <w:gridSpan w:val="2"/>
            <w:vAlign w:val="center"/>
          </w:tcPr>
          <w:p>
            <w:pPr>
              <w:pStyle w:val="100"/>
              <w:widowControl w:val="0"/>
              <w:bidi w:val="0"/>
              <w:adjustRightInd w:val="0"/>
              <w:snapToGrid w:val="0"/>
              <w:rPr>
                <w:rFonts w:hint="eastAsia"/>
                <w:lang w:val="en-US" w:eastAsia="zh-CN"/>
              </w:rPr>
            </w:pPr>
            <w:r>
              <w:rPr>
                <w:rFonts w:hint="eastAsia"/>
              </w:rPr>
              <w:t>PET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rPr>
                <w:rFonts w:hint="default"/>
                <w:lang w:val="en-US" w:eastAsia="zh-CN"/>
              </w:rPr>
            </w:pPr>
            <w:r>
              <w:rPr>
                <w:rFonts w:hint="eastAsia"/>
                <w:lang w:val="en-US" w:eastAsia="zh-CN"/>
              </w:rPr>
              <w:t>S7</w:t>
            </w:r>
          </w:p>
        </w:tc>
        <w:tc>
          <w:tcPr>
            <w:tcW w:w="1879" w:type="dxa"/>
            <w:vAlign w:val="center"/>
          </w:tcPr>
          <w:p>
            <w:pPr>
              <w:pStyle w:val="100"/>
              <w:widowControl w:val="0"/>
              <w:bidi w:val="0"/>
              <w:adjustRightInd w:val="0"/>
              <w:snapToGrid w:val="0"/>
              <w:rPr>
                <w:rFonts w:hint="default"/>
                <w:lang w:val="en-US" w:eastAsia="zh-CN"/>
              </w:rPr>
            </w:pPr>
            <w:r>
              <w:rPr>
                <w:rFonts w:hint="eastAsia"/>
                <w:lang w:val="en-US" w:eastAsia="zh-CN"/>
              </w:rPr>
              <w:t>废抹布</w:t>
            </w:r>
          </w:p>
        </w:tc>
        <w:tc>
          <w:tcPr>
            <w:tcW w:w="1535" w:type="dxa"/>
            <w:vAlign w:val="center"/>
          </w:tcPr>
          <w:p>
            <w:pPr>
              <w:pStyle w:val="100"/>
              <w:widowControl w:val="0"/>
              <w:bidi w:val="0"/>
              <w:adjustRightInd w:val="0"/>
              <w:snapToGrid w:val="0"/>
              <w:rPr>
                <w:rFonts w:hint="default"/>
                <w:lang w:val="en-US" w:eastAsia="zh-CN"/>
              </w:rPr>
            </w:pPr>
            <w:r>
              <w:rPr>
                <w:rFonts w:hint="eastAsia"/>
                <w:lang w:val="en-US" w:eastAsia="zh-CN"/>
              </w:rPr>
              <w:t>印刷车间</w:t>
            </w:r>
          </w:p>
        </w:tc>
        <w:tc>
          <w:tcPr>
            <w:tcW w:w="1148" w:type="dxa"/>
            <w:vAlign w:val="center"/>
          </w:tcPr>
          <w:p>
            <w:pPr>
              <w:pStyle w:val="100"/>
              <w:widowControl w:val="0"/>
              <w:bidi w:val="0"/>
              <w:adjustRightInd w:val="0"/>
              <w:snapToGrid w:val="0"/>
              <w:rPr>
                <w:rFonts w:hint="default"/>
                <w:lang w:val="en-US" w:eastAsia="zh-CN"/>
              </w:rPr>
            </w:pPr>
            <w:r>
              <w:rPr>
                <w:rFonts w:hint="eastAsia"/>
                <w:lang w:val="en-US" w:eastAsia="zh-CN"/>
              </w:rPr>
              <w:t>擦拭</w:t>
            </w:r>
          </w:p>
        </w:tc>
        <w:tc>
          <w:tcPr>
            <w:tcW w:w="2143" w:type="dxa"/>
            <w:gridSpan w:val="2"/>
            <w:vAlign w:val="center"/>
          </w:tcPr>
          <w:p>
            <w:pPr>
              <w:pStyle w:val="100"/>
              <w:widowControl w:val="0"/>
              <w:bidi w:val="0"/>
              <w:adjustRightInd w:val="0"/>
              <w:snapToGrid w:val="0"/>
              <w:rPr>
                <w:rFonts w:hint="default"/>
                <w:lang w:val="en-US" w:eastAsia="zh-CN"/>
              </w:rPr>
            </w:pPr>
            <w:r>
              <w:rPr>
                <w:rFonts w:hint="eastAsia"/>
                <w:lang w:val="en-US" w:eastAsia="zh-CN"/>
              </w:rPr>
              <w:t>水性油墨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0" w:hRule="atLeast"/>
          <w:jc w:val="center"/>
        </w:trPr>
        <w:tc>
          <w:tcPr>
            <w:tcW w:w="1169" w:type="dxa"/>
            <w:vMerge w:val="continue"/>
            <w:vAlign w:val="center"/>
          </w:tcPr>
          <w:p>
            <w:pPr>
              <w:pStyle w:val="100"/>
              <w:widowControl w:val="0"/>
              <w:bidi w:val="0"/>
              <w:adjustRightInd w:val="0"/>
              <w:snapToGrid w:val="0"/>
            </w:pPr>
          </w:p>
        </w:tc>
        <w:tc>
          <w:tcPr>
            <w:tcW w:w="1405" w:type="dxa"/>
            <w:vAlign w:val="center"/>
          </w:tcPr>
          <w:p>
            <w:pPr>
              <w:pStyle w:val="100"/>
              <w:widowControl w:val="0"/>
              <w:bidi w:val="0"/>
              <w:adjustRightInd w:val="0"/>
              <w:snapToGrid w:val="0"/>
              <w:rPr>
                <w:rFonts w:hint="default"/>
                <w:lang w:val="en-US" w:eastAsia="zh-CN"/>
              </w:rPr>
            </w:pPr>
            <w:r>
              <w:rPr>
                <w:rFonts w:hint="eastAsia"/>
                <w:lang w:val="en-US" w:eastAsia="zh-CN"/>
              </w:rPr>
              <w:t>S8</w:t>
            </w:r>
          </w:p>
        </w:tc>
        <w:tc>
          <w:tcPr>
            <w:tcW w:w="1879" w:type="dxa"/>
            <w:vAlign w:val="center"/>
          </w:tcPr>
          <w:p>
            <w:pPr>
              <w:pStyle w:val="100"/>
              <w:widowControl w:val="0"/>
              <w:bidi w:val="0"/>
              <w:adjustRightInd w:val="0"/>
              <w:snapToGrid w:val="0"/>
              <w:rPr>
                <w:rFonts w:hint="eastAsia"/>
                <w:lang w:val="en-US" w:eastAsia="zh-CN"/>
              </w:rPr>
            </w:pPr>
            <w:r>
              <w:rPr>
                <w:rFonts w:hint="eastAsia"/>
              </w:rPr>
              <w:t>生活垃圾</w:t>
            </w:r>
          </w:p>
        </w:tc>
        <w:tc>
          <w:tcPr>
            <w:tcW w:w="1535" w:type="dxa"/>
            <w:vAlign w:val="center"/>
          </w:tcPr>
          <w:p>
            <w:pPr>
              <w:pStyle w:val="100"/>
              <w:widowControl w:val="0"/>
              <w:bidi w:val="0"/>
              <w:adjustRightInd w:val="0"/>
              <w:snapToGrid w:val="0"/>
              <w:rPr>
                <w:rFonts w:hint="eastAsia"/>
                <w:lang w:val="en-US" w:eastAsia="zh-CN"/>
              </w:rPr>
            </w:pPr>
            <w:r>
              <w:rPr>
                <w:rFonts w:hint="eastAsia"/>
              </w:rPr>
              <w:t>公辅工程</w:t>
            </w:r>
          </w:p>
        </w:tc>
        <w:tc>
          <w:tcPr>
            <w:tcW w:w="1148" w:type="dxa"/>
            <w:vAlign w:val="center"/>
          </w:tcPr>
          <w:p>
            <w:pPr>
              <w:pStyle w:val="100"/>
              <w:widowControl w:val="0"/>
              <w:bidi w:val="0"/>
              <w:adjustRightInd w:val="0"/>
              <w:snapToGrid w:val="0"/>
              <w:rPr>
                <w:rFonts w:hint="eastAsia"/>
                <w:lang w:val="en-US" w:eastAsia="zh-CN"/>
              </w:rPr>
            </w:pPr>
            <w:r>
              <w:rPr>
                <w:rFonts w:hint="eastAsia"/>
              </w:rPr>
              <w:t>员工生活</w:t>
            </w:r>
          </w:p>
        </w:tc>
        <w:tc>
          <w:tcPr>
            <w:tcW w:w="2143" w:type="dxa"/>
            <w:gridSpan w:val="2"/>
            <w:vAlign w:val="center"/>
          </w:tcPr>
          <w:p>
            <w:pPr>
              <w:pStyle w:val="100"/>
              <w:widowControl w:val="0"/>
              <w:bidi w:val="0"/>
              <w:adjustRightInd w:val="0"/>
              <w:snapToGrid w:val="0"/>
              <w:rPr>
                <w:rFonts w:hint="eastAsia"/>
                <w:lang w:val="en-US" w:eastAsia="zh-CN"/>
              </w:rPr>
            </w:pPr>
            <w:r>
              <w:rPr>
                <w:rFonts w:hint="eastAsia"/>
              </w:rPr>
              <w:t>/</w:t>
            </w:r>
          </w:p>
        </w:tc>
      </w:tr>
      <w:bookmarkEnd w:id="60"/>
    </w:tbl>
    <w:p>
      <w:pPr>
        <w:pStyle w:val="102"/>
      </w:pPr>
      <w:r>
        <w:t>污染源强分析</w:t>
      </w:r>
    </w:p>
    <w:p>
      <w:pPr>
        <w:pStyle w:val="103"/>
        <w:bidi w:val="0"/>
      </w:pPr>
      <w:r>
        <w:rPr>
          <w:rFonts w:hint="eastAsia"/>
        </w:rPr>
        <w:t>一、施工期</w:t>
      </w:r>
    </w:p>
    <w:p>
      <w:pPr>
        <w:pStyle w:val="103"/>
        <w:bidi w:val="0"/>
      </w:pPr>
      <w:r>
        <w:t>本项目利用已建成厂房进行生产、办公，因此施工期环境影响主要为设备安装过程产生的一些机械噪声，预测源强峰值可达85dB（A）左右，为控制设备安装期间的噪声污染，施工方应尽量采用低噪声的器械，避免夜间进行高噪声污染，减轻对厂界周围声环境的影响。设备安装期的影响较短暂，随着安装调试的结束，施工期环境影响随即停止。</w:t>
      </w:r>
    </w:p>
    <w:p>
      <w:pPr>
        <w:pStyle w:val="104"/>
      </w:pPr>
      <w:r>
        <w:t>废气</w:t>
      </w:r>
    </w:p>
    <w:p>
      <w:pPr>
        <w:pStyle w:val="105"/>
      </w:pPr>
      <w:r>
        <w:rPr>
          <w:rFonts w:hint="eastAsia"/>
        </w:rPr>
        <w:t>有组织排放废气</w:t>
      </w:r>
    </w:p>
    <w:p>
      <w:pPr>
        <w:pStyle w:val="103"/>
        <w:bidi w:val="0"/>
      </w:pPr>
      <w:r>
        <w:rPr>
          <w:rFonts w:hint="eastAsia"/>
        </w:rPr>
        <w:t>1、油墨挥发废气</w:t>
      </w:r>
      <w:r>
        <w:t>G1</w:t>
      </w:r>
    </w:p>
    <w:p>
      <w:pPr>
        <w:pStyle w:val="103"/>
        <w:bidi w:val="0"/>
      </w:pPr>
      <w:r>
        <w:rPr>
          <w:rFonts w:hint="eastAsia"/>
        </w:rPr>
        <w:t>油墨挥发废气主要来自于将印刷好的油墨进行烘干处理时挥发而产生的，</w:t>
      </w:r>
      <w:r>
        <w:rPr>
          <w:rFonts w:hint="eastAsia"/>
          <w:lang w:val="en-US" w:eastAsia="zh-CN"/>
        </w:rPr>
        <w:t>本项目印刷车间为密闭空间，在上方设置集气罩，收集效率90%，风量25000m3/h，</w:t>
      </w:r>
      <w:r>
        <w:rPr>
          <w:rFonts w:hint="eastAsia"/>
        </w:rPr>
        <w:t>水性油墨易挥发组分主要包括水性聚酯树脂，水性聚氨酯，去离子水，醇类溶剂，醚类溶剂，水性助剂。其中水性聚酯树脂，水性聚氨酯，醇类溶剂，醚类溶剂，水性助剂的和占比为60%，以非甲烷总烃计。烘干所用的烘箱温度维持在80℃左右，根据以上易挥发组分的理化性质而定，该温度下挥发的质量约占总质量的10%。本项目水性油墨的年用量估算为3t/a，则该工段油墨挥发产生的非甲烷总烃为3*60%*10%=0.18t/a。本项目在印刷车间上方设置集气罩，连接</w:t>
      </w:r>
      <w:r>
        <w:rPr>
          <w:rFonts w:hint="eastAsia"/>
          <w:lang w:eastAsia="zh-CN"/>
        </w:rPr>
        <w:t>“</w:t>
      </w:r>
      <w:r>
        <w:rPr>
          <w:rFonts w:hint="eastAsia"/>
        </w:rPr>
        <w:t>二级活性炭</w:t>
      </w:r>
      <w:r>
        <w:rPr>
          <w:rFonts w:hint="eastAsia"/>
          <w:lang w:eastAsia="zh-CN"/>
        </w:rPr>
        <w:t>”</w:t>
      </w:r>
      <w:r>
        <w:rPr>
          <w:rFonts w:hint="eastAsia"/>
        </w:rPr>
        <w:t>处理设施对废气进行处理，该治理设施的废气收集率为90%，处理效率为90%，则处理的非甲烷总烃为0.18*90%*90%=0.146t/a，尾气通过15m高排气筒DA001排放，总排风量25000m3/h。其余无组织排放的非甲烷总烃包括未被处理设施收集的非甲烷总烃以及未被处理设施有效处理的非甲烷总烃总和，其量为0.18*10%+（0.18*90%*10%）=0.034t/a。</w:t>
      </w:r>
    </w:p>
    <w:p>
      <w:pPr>
        <w:pStyle w:val="103"/>
        <w:bidi w:val="0"/>
      </w:pPr>
      <w:r>
        <w:rPr>
          <w:rFonts w:hint="eastAsia"/>
        </w:rPr>
        <w:t>2、水胶挥发废气G2</w:t>
      </w:r>
    </w:p>
    <w:p>
      <w:pPr>
        <w:pStyle w:val="103"/>
        <w:bidi w:val="0"/>
      </w:pPr>
      <w:r>
        <w:rPr>
          <w:rFonts w:hint="eastAsia"/>
        </w:rPr>
        <w:t>水胶挥发废气主要来自上胶后通过烘箱进行烘干后水胶挥发出的易挥发组分，该工段与油墨挥发废气在同一印刷车间内进行，废气均通过集气罩收集。水胶的组分包括乙烯基乙酸酯和丙烯酸酯的共聚物，异丙醇，乙酸乙烯酯，壬基苯氧基聚（氧乙烯）乙醇，水，其中的乙烯基乙酸酯和丙烯酸酯的共聚物，异丙醇，乙酸乙烯酯，壬基苯氧基聚（氧乙烯）乙醇为挥发废气的主要成分，其和占比为62.5%，废气以非甲烷总烃计。根据其理化性质可判断该组分在80℃时挥发的质量占总质量的10%，本项目水胶的年用量大约为4t/a，则可以计算得出水胶挥发产生的非甲烷总烃为4*62.5%*10*=0.25t/a，废气通过印刷车间上方集气罩，连接</w:t>
      </w:r>
      <w:r>
        <w:rPr>
          <w:rFonts w:hint="eastAsia"/>
          <w:lang w:eastAsia="zh-CN"/>
        </w:rPr>
        <w:t>“</w:t>
      </w:r>
      <w:r>
        <w:rPr>
          <w:rFonts w:hint="eastAsia"/>
        </w:rPr>
        <w:t>二级活性炭</w:t>
      </w:r>
      <w:r>
        <w:rPr>
          <w:rFonts w:hint="eastAsia"/>
          <w:lang w:eastAsia="zh-CN"/>
        </w:rPr>
        <w:t>”</w:t>
      </w:r>
      <w:r>
        <w:rPr>
          <w:rFonts w:hint="eastAsia"/>
        </w:rPr>
        <w:t>废气治理设施进行处理，废气收集率为90%，处理效率为90%，则处理的非甲烷总烃为0.25*90%*90%=0.203t/a，尾气通过15m高排气筒DA001排放，总排风量25000m3/h。其余无组织排放的非甲烷总烃包括未被处理设施收集的非甲烷总烃以及未被处理设施有效处理的非甲烷总烃总和，其量为0.25*10%+（0.25*90%*10%）=0.0475t/a。</w:t>
      </w:r>
    </w:p>
    <w:p>
      <w:pPr>
        <w:pStyle w:val="103"/>
        <w:bidi w:val="0"/>
      </w:pPr>
      <w:r>
        <w:rPr>
          <w:rFonts w:hint="eastAsia"/>
        </w:rPr>
        <w:t>综上，印刷车间所有工段产生的非甲烷总烃合计0.18+0.25=0.43t/a，被有效处理的非甲烷总烃量为0.146+0.203=0.349t/a，无组织排放的非甲烷总烃为0.034+0.0475=0.0815t/a。</w:t>
      </w:r>
    </w:p>
    <w:p>
      <w:pPr>
        <w:pStyle w:val="273"/>
        <w:bidi w:val="0"/>
        <w:rPr>
          <w:rFonts w:hint="eastAsia"/>
        </w:rPr>
      </w:pPr>
      <w:bookmarkStart w:id="61" w:name="_Hlk13666771"/>
      <w:r>
        <w:rPr>
          <w:rFonts w:hint="eastAsia"/>
        </w:rPr>
        <w:t>表5-</w:t>
      </w:r>
      <w:r>
        <w:rPr>
          <w:rFonts w:hint="eastAsia"/>
          <w:lang w:val="en-US" w:eastAsia="zh-CN"/>
        </w:rPr>
        <w:t>3</w:t>
      </w:r>
      <w:r>
        <w:rPr>
          <w:rFonts w:hint="eastAsia"/>
        </w:rPr>
        <w:t xml:space="preserve">  废气污染物产生量    单位：t/a</w:t>
      </w:r>
    </w:p>
    <w:tbl>
      <w:tblPr>
        <w:tblStyle w:val="260"/>
        <w:tblW w:w="9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432"/>
        <w:gridCol w:w="1085"/>
        <w:gridCol w:w="1883"/>
        <w:gridCol w:w="1915"/>
        <w:gridCol w:w="2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89" w:type="dxa"/>
            <w:vAlign w:val="center"/>
          </w:tcPr>
          <w:p>
            <w:pPr>
              <w:pStyle w:val="100"/>
              <w:widowControl w:val="0"/>
              <w:bidi w:val="0"/>
              <w:adjustRightInd w:val="0"/>
              <w:snapToGrid w:val="0"/>
            </w:pPr>
            <w:bookmarkStart w:id="62" w:name="_Hlk7093186"/>
            <w:r>
              <w:t>序号</w:t>
            </w:r>
          </w:p>
        </w:tc>
        <w:tc>
          <w:tcPr>
            <w:tcW w:w="1432" w:type="dxa"/>
            <w:vAlign w:val="center"/>
          </w:tcPr>
          <w:p>
            <w:pPr>
              <w:pStyle w:val="100"/>
              <w:widowControl w:val="0"/>
              <w:bidi w:val="0"/>
              <w:adjustRightInd w:val="0"/>
              <w:snapToGrid w:val="0"/>
            </w:pPr>
            <w:r>
              <w:t>原料</w:t>
            </w:r>
          </w:p>
        </w:tc>
        <w:tc>
          <w:tcPr>
            <w:tcW w:w="1085" w:type="dxa"/>
            <w:vAlign w:val="center"/>
          </w:tcPr>
          <w:p>
            <w:pPr>
              <w:pStyle w:val="100"/>
              <w:widowControl w:val="0"/>
              <w:bidi w:val="0"/>
              <w:adjustRightInd w:val="0"/>
              <w:snapToGrid w:val="0"/>
            </w:pPr>
            <w:r>
              <w:rPr>
                <w:rFonts w:hint="eastAsia"/>
              </w:rPr>
              <w:t>用量</w:t>
            </w:r>
            <w:r>
              <w:t>（t/a）</w:t>
            </w:r>
          </w:p>
        </w:tc>
        <w:tc>
          <w:tcPr>
            <w:tcW w:w="1883" w:type="dxa"/>
            <w:vAlign w:val="center"/>
          </w:tcPr>
          <w:p>
            <w:pPr>
              <w:pStyle w:val="100"/>
              <w:widowControl w:val="0"/>
              <w:bidi w:val="0"/>
              <w:adjustRightInd w:val="0"/>
              <w:snapToGrid w:val="0"/>
            </w:pPr>
            <w:r>
              <w:t>污染物名称</w:t>
            </w:r>
          </w:p>
        </w:tc>
        <w:tc>
          <w:tcPr>
            <w:tcW w:w="1915" w:type="dxa"/>
            <w:vAlign w:val="center"/>
          </w:tcPr>
          <w:p>
            <w:pPr>
              <w:pStyle w:val="100"/>
              <w:widowControl w:val="0"/>
              <w:bidi w:val="0"/>
              <w:adjustRightInd w:val="0"/>
              <w:snapToGrid w:val="0"/>
            </w:pPr>
            <w:r>
              <w:rPr>
                <w:rFonts w:hint="eastAsia"/>
              </w:rPr>
              <w:t>产生</w:t>
            </w:r>
            <w:r>
              <w:t>系数kg/t</w:t>
            </w:r>
          </w:p>
        </w:tc>
        <w:tc>
          <w:tcPr>
            <w:tcW w:w="2044" w:type="dxa"/>
            <w:vAlign w:val="center"/>
          </w:tcPr>
          <w:p>
            <w:pPr>
              <w:pStyle w:val="100"/>
              <w:widowControl w:val="0"/>
              <w:bidi w:val="0"/>
              <w:adjustRightInd w:val="0"/>
              <w:snapToGrid w:val="0"/>
            </w:pPr>
            <w: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89" w:type="dxa"/>
            <w:vAlign w:val="center"/>
          </w:tcPr>
          <w:p>
            <w:pPr>
              <w:pStyle w:val="100"/>
              <w:widowControl w:val="0"/>
              <w:bidi w:val="0"/>
              <w:adjustRightInd w:val="0"/>
              <w:snapToGrid w:val="0"/>
            </w:pPr>
            <w:r>
              <w:t>1</w:t>
            </w:r>
          </w:p>
        </w:tc>
        <w:tc>
          <w:tcPr>
            <w:tcW w:w="1432" w:type="dxa"/>
            <w:vAlign w:val="center"/>
          </w:tcPr>
          <w:p>
            <w:pPr>
              <w:pStyle w:val="100"/>
              <w:widowControl w:val="0"/>
              <w:bidi w:val="0"/>
              <w:adjustRightInd w:val="0"/>
              <w:snapToGrid w:val="0"/>
            </w:pPr>
            <w:r>
              <w:rPr>
                <w:rFonts w:hint="eastAsia"/>
              </w:rPr>
              <w:t>油墨</w:t>
            </w:r>
          </w:p>
        </w:tc>
        <w:tc>
          <w:tcPr>
            <w:tcW w:w="1085" w:type="dxa"/>
            <w:vAlign w:val="center"/>
          </w:tcPr>
          <w:p>
            <w:pPr>
              <w:pStyle w:val="100"/>
              <w:widowControl w:val="0"/>
              <w:bidi w:val="0"/>
              <w:adjustRightInd w:val="0"/>
              <w:snapToGrid w:val="0"/>
            </w:pPr>
            <w:r>
              <w:rPr>
                <w:rFonts w:hint="eastAsia"/>
              </w:rPr>
              <w:t>3</w:t>
            </w:r>
          </w:p>
        </w:tc>
        <w:tc>
          <w:tcPr>
            <w:tcW w:w="1883" w:type="dxa"/>
            <w:vAlign w:val="center"/>
          </w:tcPr>
          <w:p>
            <w:pPr>
              <w:pStyle w:val="100"/>
              <w:widowControl w:val="0"/>
              <w:bidi w:val="0"/>
              <w:adjustRightInd w:val="0"/>
              <w:snapToGrid w:val="0"/>
            </w:pPr>
            <w:r>
              <w:t>非甲烷总烃</w:t>
            </w:r>
          </w:p>
        </w:tc>
        <w:tc>
          <w:tcPr>
            <w:tcW w:w="1915" w:type="dxa"/>
            <w:vAlign w:val="center"/>
          </w:tcPr>
          <w:p>
            <w:pPr>
              <w:pStyle w:val="100"/>
              <w:widowControl w:val="0"/>
              <w:bidi w:val="0"/>
              <w:adjustRightInd w:val="0"/>
              <w:snapToGrid w:val="0"/>
            </w:pPr>
            <w:r>
              <w:t>0.</w:t>
            </w:r>
            <w:r>
              <w:rPr>
                <w:rFonts w:hint="eastAsia"/>
              </w:rPr>
              <w:t>06</w:t>
            </w:r>
          </w:p>
        </w:tc>
        <w:tc>
          <w:tcPr>
            <w:tcW w:w="2044" w:type="dxa"/>
            <w:vAlign w:val="center"/>
          </w:tcPr>
          <w:p>
            <w:pPr>
              <w:pStyle w:val="100"/>
              <w:widowControl w:val="0"/>
              <w:bidi w:val="0"/>
              <w:adjustRightInd w:val="0"/>
              <w:snapToGrid w:val="0"/>
            </w:pPr>
            <w:r>
              <w:t>0.</w:t>
            </w:r>
            <w:r>
              <w:rPr>
                <w:rFonts w:hint="eastAsia"/>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89" w:type="dxa"/>
            <w:vAlign w:val="center"/>
          </w:tcPr>
          <w:p>
            <w:pPr>
              <w:pStyle w:val="100"/>
              <w:widowControl w:val="0"/>
              <w:bidi w:val="0"/>
              <w:adjustRightInd w:val="0"/>
              <w:snapToGrid w:val="0"/>
            </w:pPr>
            <w:r>
              <w:rPr>
                <w:rFonts w:hint="eastAsia"/>
              </w:rPr>
              <w:t>2</w:t>
            </w:r>
          </w:p>
        </w:tc>
        <w:tc>
          <w:tcPr>
            <w:tcW w:w="1432" w:type="dxa"/>
            <w:vAlign w:val="center"/>
          </w:tcPr>
          <w:p>
            <w:pPr>
              <w:pStyle w:val="100"/>
              <w:widowControl w:val="0"/>
              <w:bidi w:val="0"/>
              <w:adjustRightInd w:val="0"/>
              <w:snapToGrid w:val="0"/>
            </w:pPr>
            <w:r>
              <w:rPr>
                <w:rFonts w:hint="eastAsia"/>
              </w:rPr>
              <w:t>水胶</w:t>
            </w:r>
          </w:p>
        </w:tc>
        <w:tc>
          <w:tcPr>
            <w:tcW w:w="1085" w:type="dxa"/>
            <w:vAlign w:val="center"/>
          </w:tcPr>
          <w:p>
            <w:pPr>
              <w:pStyle w:val="100"/>
              <w:widowControl w:val="0"/>
              <w:bidi w:val="0"/>
              <w:adjustRightInd w:val="0"/>
              <w:snapToGrid w:val="0"/>
            </w:pPr>
            <w:r>
              <w:rPr>
                <w:rFonts w:hint="eastAsia"/>
              </w:rPr>
              <w:t>4</w:t>
            </w:r>
          </w:p>
        </w:tc>
        <w:tc>
          <w:tcPr>
            <w:tcW w:w="1883" w:type="dxa"/>
            <w:vAlign w:val="center"/>
          </w:tcPr>
          <w:p>
            <w:pPr>
              <w:pStyle w:val="100"/>
              <w:widowControl w:val="0"/>
              <w:bidi w:val="0"/>
              <w:adjustRightInd w:val="0"/>
              <w:snapToGrid w:val="0"/>
            </w:pPr>
            <w:r>
              <w:t>非甲烷总烃</w:t>
            </w:r>
          </w:p>
        </w:tc>
        <w:tc>
          <w:tcPr>
            <w:tcW w:w="1915" w:type="dxa"/>
            <w:vAlign w:val="center"/>
          </w:tcPr>
          <w:p>
            <w:pPr>
              <w:pStyle w:val="100"/>
              <w:widowControl w:val="0"/>
              <w:bidi w:val="0"/>
              <w:adjustRightInd w:val="0"/>
              <w:snapToGrid w:val="0"/>
            </w:pPr>
            <w:r>
              <w:t>0.</w:t>
            </w:r>
            <w:r>
              <w:rPr>
                <w:rFonts w:hint="eastAsia"/>
              </w:rPr>
              <w:t>0625</w:t>
            </w:r>
          </w:p>
        </w:tc>
        <w:tc>
          <w:tcPr>
            <w:tcW w:w="2044" w:type="dxa"/>
            <w:vAlign w:val="center"/>
          </w:tcPr>
          <w:p>
            <w:pPr>
              <w:pStyle w:val="100"/>
              <w:widowControl w:val="0"/>
              <w:bidi w:val="0"/>
              <w:adjustRightInd w:val="0"/>
              <w:snapToGrid w:val="0"/>
            </w:pPr>
            <w:r>
              <w:t>0.</w:t>
            </w:r>
            <w:r>
              <w:rPr>
                <w:rFonts w:hint="eastAsia"/>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89" w:type="dxa"/>
            <w:vAlign w:val="center"/>
          </w:tcPr>
          <w:p>
            <w:pPr>
              <w:pStyle w:val="100"/>
              <w:widowControl w:val="0"/>
              <w:bidi w:val="0"/>
              <w:adjustRightInd w:val="0"/>
              <w:snapToGrid w:val="0"/>
            </w:pPr>
            <w:r>
              <w:rPr>
                <w:rFonts w:hint="eastAsia"/>
              </w:rPr>
              <w:t>合计</w:t>
            </w:r>
          </w:p>
        </w:tc>
        <w:tc>
          <w:tcPr>
            <w:tcW w:w="1432" w:type="dxa"/>
            <w:vAlign w:val="center"/>
          </w:tcPr>
          <w:p>
            <w:pPr>
              <w:pStyle w:val="100"/>
              <w:widowControl w:val="0"/>
              <w:bidi w:val="0"/>
              <w:adjustRightInd w:val="0"/>
              <w:snapToGrid w:val="0"/>
            </w:pPr>
            <w:r>
              <w:rPr>
                <w:rFonts w:hint="eastAsia"/>
              </w:rPr>
              <w:t>/</w:t>
            </w:r>
          </w:p>
        </w:tc>
        <w:tc>
          <w:tcPr>
            <w:tcW w:w="1085" w:type="dxa"/>
            <w:vAlign w:val="center"/>
          </w:tcPr>
          <w:p>
            <w:pPr>
              <w:pStyle w:val="100"/>
              <w:widowControl w:val="0"/>
              <w:bidi w:val="0"/>
              <w:adjustRightInd w:val="0"/>
              <w:snapToGrid w:val="0"/>
            </w:pPr>
            <w:r>
              <w:rPr>
                <w:rFonts w:hint="eastAsia"/>
              </w:rPr>
              <w:t>/</w:t>
            </w:r>
          </w:p>
        </w:tc>
        <w:tc>
          <w:tcPr>
            <w:tcW w:w="1883" w:type="dxa"/>
            <w:vAlign w:val="center"/>
          </w:tcPr>
          <w:p>
            <w:pPr>
              <w:pStyle w:val="100"/>
              <w:widowControl w:val="0"/>
              <w:bidi w:val="0"/>
              <w:adjustRightInd w:val="0"/>
              <w:snapToGrid w:val="0"/>
            </w:pPr>
            <w:r>
              <w:t>非甲烷总烃</w:t>
            </w:r>
          </w:p>
        </w:tc>
        <w:tc>
          <w:tcPr>
            <w:tcW w:w="1915" w:type="dxa"/>
            <w:vAlign w:val="center"/>
          </w:tcPr>
          <w:p>
            <w:pPr>
              <w:pStyle w:val="100"/>
              <w:widowControl w:val="0"/>
              <w:bidi w:val="0"/>
              <w:adjustRightInd w:val="0"/>
              <w:snapToGrid w:val="0"/>
            </w:pPr>
            <w:r>
              <w:rPr>
                <w:rFonts w:hint="eastAsia"/>
              </w:rPr>
              <w:t>/</w:t>
            </w:r>
          </w:p>
        </w:tc>
        <w:tc>
          <w:tcPr>
            <w:tcW w:w="2044" w:type="dxa"/>
            <w:vAlign w:val="center"/>
          </w:tcPr>
          <w:p>
            <w:pPr>
              <w:pStyle w:val="100"/>
              <w:widowControl w:val="0"/>
              <w:bidi w:val="0"/>
              <w:adjustRightInd w:val="0"/>
              <w:snapToGrid w:val="0"/>
            </w:pPr>
            <w:r>
              <w:rPr>
                <w:rFonts w:hint="eastAsia"/>
              </w:rPr>
              <w:t>0.43</w:t>
            </w:r>
          </w:p>
        </w:tc>
      </w:tr>
      <w:bookmarkEnd w:id="61"/>
      <w:bookmarkEnd w:id="62"/>
    </w:tbl>
    <w:p>
      <w:pPr>
        <w:pStyle w:val="103"/>
        <w:bidi w:val="0"/>
      </w:pPr>
      <w:bookmarkStart w:id="63" w:name="_Hlk13667065"/>
      <w:r>
        <w:rPr>
          <w:rFonts w:hint="eastAsia"/>
        </w:rPr>
        <w:t>综上所述，本项目有组织排放废气产生及排放情况见表</w:t>
      </w:r>
      <w:r>
        <w:t>5-7。</w:t>
      </w:r>
    </w:p>
    <w:bookmarkEnd w:id="63"/>
    <w:p>
      <w:pPr>
        <w:pStyle w:val="105"/>
      </w:pPr>
      <w:r>
        <w:rPr>
          <w:rFonts w:hint="eastAsia"/>
        </w:rPr>
        <w:t>无组织排放废气</w:t>
      </w:r>
    </w:p>
    <w:p>
      <w:pPr>
        <w:pStyle w:val="103"/>
        <w:bidi w:val="0"/>
      </w:pPr>
      <w:r>
        <w:rPr>
          <w:rFonts w:hint="eastAsia"/>
        </w:rPr>
        <w:t>本项目无组织排放的废气包括油墨挥发废气和水胶挥发废气中未被收集的部分以及收集后未被有限处理的废气，均以非甲烷总烃计。其质量为0.034+0.0475=0.0815t/a。</w:t>
      </w:r>
    </w:p>
    <w:p>
      <w:pPr>
        <w:pStyle w:val="103"/>
      </w:pPr>
    </w:p>
    <w:p>
      <w:pPr>
        <w:pStyle w:val="103"/>
        <w:sectPr>
          <w:footerReference r:id="rId6" w:type="default"/>
          <w:pgSz w:w="11906" w:h="16838"/>
          <w:pgMar w:top="1985" w:right="1418" w:bottom="1418" w:left="1418" w:header="851" w:footer="992" w:gutter="0"/>
          <w:pgBorders>
            <w:top w:val="single" w:color="auto" w:sz="4" w:space="1"/>
            <w:left w:val="single" w:color="auto" w:sz="4" w:space="4"/>
            <w:bottom w:val="single" w:color="auto" w:sz="4" w:space="1"/>
            <w:right w:val="single" w:color="auto" w:sz="4" w:space="4"/>
          </w:pgBorders>
          <w:pgNumType w:fmt="numberInDash"/>
          <w:cols w:space="720" w:num="1"/>
          <w:docGrid w:linePitch="312" w:charSpace="0"/>
        </w:sectPr>
      </w:pPr>
    </w:p>
    <w:p>
      <w:pPr>
        <w:pStyle w:val="273"/>
        <w:bidi w:val="0"/>
        <w:rPr>
          <w:rFonts w:hint="eastAsia"/>
        </w:rPr>
      </w:pPr>
      <w:r>
        <w:rPr>
          <w:rFonts w:hint="eastAsia"/>
        </w:rPr>
        <w:t>表5-</w:t>
      </w:r>
      <w:r>
        <w:rPr>
          <w:rFonts w:hint="eastAsia"/>
          <w:lang w:val="en-US" w:eastAsia="zh-CN"/>
        </w:rPr>
        <w:t>4</w:t>
      </w:r>
      <w:r>
        <w:rPr>
          <w:rFonts w:hint="eastAsia"/>
        </w:rPr>
        <w:t xml:space="preserve">  有组织排放废气污染源源强及相关参数一览表</w:t>
      </w:r>
    </w:p>
    <w:tbl>
      <w:tblPr>
        <w:tblStyle w:val="87"/>
        <w:tblW w:w="133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668"/>
        <w:gridCol w:w="419"/>
        <w:gridCol w:w="419"/>
        <w:gridCol w:w="793"/>
        <w:gridCol w:w="674"/>
        <w:gridCol w:w="573"/>
        <w:gridCol w:w="725"/>
        <w:gridCol w:w="793"/>
        <w:gridCol w:w="589"/>
        <w:gridCol w:w="589"/>
        <w:gridCol w:w="420"/>
        <w:gridCol w:w="794"/>
        <w:gridCol w:w="878"/>
        <w:gridCol w:w="776"/>
        <w:gridCol w:w="794"/>
        <w:gridCol w:w="578"/>
        <w:gridCol w:w="420"/>
        <w:gridCol w:w="471"/>
        <w:gridCol w:w="420"/>
        <w:gridCol w:w="623"/>
        <w:gridCol w:w="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40" w:type="dxa"/>
            <w:vMerge w:val="restart"/>
            <w:shd w:val="clear" w:color="auto" w:fill="auto"/>
            <w:vAlign w:val="center"/>
          </w:tcPr>
          <w:p>
            <w:pPr>
              <w:pStyle w:val="100"/>
              <w:bidi w:val="0"/>
              <w:rPr>
                <w:rFonts w:hint="eastAsia"/>
              </w:rPr>
            </w:pPr>
            <w:r>
              <w:rPr>
                <w:rFonts w:hint="eastAsia"/>
              </w:rPr>
              <w:t>排气筒编号</w:t>
            </w:r>
          </w:p>
        </w:tc>
        <w:tc>
          <w:tcPr>
            <w:tcW w:w="683" w:type="dxa"/>
            <w:vMerge w:val="restart"/>
            <w:shd w:val="clear" w:color="auto" w:fill="auto"/>
            <w:vAlign w:val="center"/>
          </w:tcPr>
          <w:p>
            <w:pPr>
              <w:pStyle w:val="100"/>
              <w:bidi w:val="0"/>
              <w:rPr>
                <w:rFonts w:hint="eastAsia"/>
              </w:rPr>
            </w:pPr>
            <w:r>
              <w:rPr>
                <w:rFonts w:hint="eastAsia"/>
              </w:rPr>
              <w:t>废气编号</w:t>
            </w:r>
          </w:p>
        </w:tc>
        <w:tc>
          <w:tcPr>
            <w:tcW w:w="426" w:type="dxa"/>
            <w:vMerge w:val="restart"/>
            <w:shd w:val="clear" w:color="auto" w:fill="auto"/>
            <w:vAlign w:val="center"/>
          </w:tcPr>
          <w:p>
            <w:pPr>
              <w:pStyle w:val="100"/>
              <w:bidi w:val="0"/>
              <w:rPr>
                <w:rFonts w:hint="eastAsia"/>
              </w:rPr>
            </w:pPr>
            <w:r>
              <w:rPr>
                <w:rFonts w:hint="eastAsia"/>
              </w:rPr>
              <w:t>污染物名称</w:t>
            </w:r>
          </w:p>
        </w:tc>
        <w:tc>
          <w:tcPr>
            <w:tcW w:w="2511" w:type="dxa"/>
            <w:gridSpan w:val="4"/>
            <w:shd w:val="clear" w:color="auto" w:fill="auto"/>
            <w:vAlign w:val="center"/>
          </w:tcPr>
          <w:p>
            <w:pPr>
              <w:pStyle w:val="100"/>
              <w:bidi w:val="0"/>
              <w:rPr>
                <w:rFonts w:hint="eastAsia"/>
              </w:rPr>
            </w:pPr>
            <w:r>
              <w:rPr>
                <w:rFonts w:hint="eastAsia"/>
              </w:rPr>
              <w:t>污染物产生状况</w:t>
            </w:r>
          </w:p>
        </w:tc>
        <w:tc>
          <w:tcPr>
            <w:tcW w:w="741" w:type="dxa"/>
            <w:vMerge w:val="restart"/>
            <w:shd w:val="clear" w:color="auto" w:fill="auto"/>
            <w:vAlign w:val="center"/>
          </w:tcPr>
          <w:p>
            <w:pPr>
              <w:pStyle w:val="100"/>
              <w:bidi w:val="0"/>
              <w:rPr>
                <w:rFonts w:hint="eastAsia"/>
              </w:rPr>
            </w:pPr>
            <w:r>
              <w:rPr>
                <w:rFonts w:hint="eastAsia"/>
              </w:rPr>
              <w:t>排气量m3/h</w:t>
            </w:r>
          </w:p>
        </w:tc>
        <w:tc>
          <w:tcPr>
            <w:tcW w:w="811" w:type="dxa"/>
            <w:vMerge w:val="restart"/>
            <w:shd w:val="clear" w:color="auto" w:fill="auto"/>
            <w:vAlign w:val="center"/>
          </w:tcPr>
          <w:p>
            <w:pPr>
              <w:pStyle w:val="100"/>
              <w:bidi w:val="0"/>
              <w:rPr>
                <w:rFonts w:hint="eastAsia"/>
              </w:rPr>
            </w:pPr>
            <w:r>
              <w:rPr>
                <w:rFonts w:hint="eastAsia"/>
              </w:rPr>
              <w:t>治理措施</w:t>
            </w:r>
          </w:p>
        </w:tc>
        <w:tc>
          <w:tcPr>
            <w:tcW w:w="601" w:type="dxa"/>
            <w:vMerge w:val="restart"/>
            <w:shd w:val="clear" w:color="auto" w:fill="auto"/>
            <w:vAlign w:val="center"/>
          </w:tcPr>
          <w:p>
            <w:pPr>
              <w:pStyle w:val="100"/>
              <w:bidi w:val="0"/>
              <w:rPr>
                <w:rFonts w:hint="eastAsia"/>
              </w:rPr>
            </w:pPr>
            <w:r>
              <w:rPr>
                <w:rFonts w:hint="eastAsia"/>
              </w:rPr>
              <w:t>收集率%</w:t>
            </w:r>
          </w:p>
        </w:tc>
        <w:tc>
          <w:tcPr>
            <w:tcW w:w="601" w:type="dxa"/>
            <w:vMerge w:val="restart"/>
            <w:shd w:val="clear" w:color="auto" w:fill="auto"/>
            <w:vAlign w:val="center"/>
          </w:tcPr>
          <w:p>
            <w:pPr>
              <w:pStyle w:val="100"/>
              <w:bidi w:val="0"/>
              <w:rPr>
                <w:rFonts w:hint="eastAsia"/>
              </w:rPr>
            </w:pPr>
            <w:r>
              <w:rPr>
                <w:rFonts w:hint="eastAsia"/>
              </w:rPr>
              <w:t>处理率%</w:t>
            </w:r>
          </w:p>
        </w:tc>
        <w:tc>
          <w:tcPr>
            <w:tcW w:w="2931" w:type="dxa"/>
            <w:gridSpan w:val="4"/>
            <w:shd w:val="clear" w:color="auto" w:fill="auto"/>
            <w:vAlign w:val="center"/>
          </w:tcPr>
          <w:p>
            <w:pPr>
              <w:pStyle w:val="100"/>
              <w:bidi w:val="0"/>
              <w:rPr>
                <w:rFonts w:hint="eastAsia"/>
              </w:rPr>
            </w:pPr>
            <w:r>
              <w:rPr>
                <w:rFonts w:hint="eastAsia"/>
              </w:rPr>
              <w:t>污染物排放状况</w:t>
            </w:r>
          </w:p>
        </w:tc>
        <w:tc>
          <w:tcPr>
            <w:tcW w:w="1402" w:type="dxa"/>
            <w:gridSpan w:val="2"/>
            <w:shd w:val="clear" w:color="auto" w:fill="auto"/>
            <w:vAlign w:val="center"/>
          </w:tcPr>
          <w:p>
            <w:pPr>
              <w:pStyle w:val="100"/>
              <w:bidi w:val="0"/>
              <w:rPr>
                <w:rFonts w:hint="eastAsia"/>
              </w:rPr>
            </w:pPr>
            <w:r>
              <w:rPr>
                <w:rFonts w:hint="eastAsia"/>
              </w:rPr>
              <w:t>执行标准</w:t>
            </w:r>
          </w:p>
        </w:tc>
        <w:tc>
          <w:tcPr>
            <w:tcW w:w="1331" w:type="dxa"/>
            <w:gridSpan w:val="3"/>
            <w:shd w:val="clear" w:color="auto" w:fill="auto"/>
            <w:vAlign w:val="center"/>
          </w:tcPr>
          <w:p>
            <w:pPr>
              <w:pStyle w:val="100"/>
              <w:bidi w:val="0"/>
              <w:rPr>
                <w:rFonts w:hint="eastAsia"/>
              </w:rPr>
            </w:pPr>
            <w:r>
              <w:rPr>
                <w:rFonts w:hint="eastAsia"/>
              </w:rPr>
              <w:t>排放源参数</w:t>
            </w:r>
          </w:p>
        </w:tc>
        <w:tc>
          <w:tcPr>
            <w:tcW w:w="636" w:type="dxa"/>
            <w:vMerge w:val="restart"/>
            <w:shd w:val="clear" w:color="auto" w:fill="auto"/>
            <w:vAlign w:val="center"/>
          </w:tcPr>
          <w:p>
            <w:pPr>
              <w:pStyle w:val="100"/>
              <w:bidi w:val="0"/>
              <w:rPr>
                <w:rFonts w:hint="eastAsia"/>
              </w:rPr>
            </w:pPr>
            <w:r>
              <w:rPr>
                <w:rFonts w:hint="eastAsia"/>
              </w:rPr>
              <w:t>年排放时间h</w:t>
            </w:r>
          </w:p>
        </w:tc>
        <w:tc>
          <w:tcPr>
            <w:tcW w:w="426" w:type="dxa"/>
            <w:vMerge w:val="restart"/>
            <w:shd w:val="clear" w:color="auto" w:fill="auto"/>
            <w:vAlign w:val="center"/>
          </w:tcPr>
          <w:p>
            <w:pPr>
              <w:pStyle w:val="100"/>
              <w:bidi w:val="0"/>
              <w:rPr>
                <w:rFonts w:hint="eastAsia"/>
              </w:rPr>
            </w:pPr>
            <w:r>
              <w:rPr>
                <w:rFonts w:hint="eastAsia"/>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40" w:type="dxa"/>
            <w:vMerge w:val="continue"/>
            <w:shd w:val="clear" w:color="auto" w:fill="auto"/>
            <w:vAlign w:val="center"/>
          </w:tcPr>
          <w:p>
            <w:pPr>
              <w:pStyle w:val="100"/>
              <w:bidi w:val="0"/>
              <w:rPr>
                <w:rFonts w:hint="eastAsia"/>
              </w:rPr>
            </w:pPr>
          </w:p>
        </w:tc>
        <w:tc>
          <w:tcPr>
            <w:tcW w:w="683" w:type="dxa"/>
            <w:vMerge w:val="continue"/>
            <w:shd w:val="clear" w:color="auto" w:fill="auto"/>
            <w:vAlign w:val="center"/>
          </w:tcPr>
          <w:p>
            <w:pPr>
              <w:pStyle w:val="100"/>
              <w:bidi w:val="0"/>
              <w:rPr>
                <w:rFonts w:hint="eastAsia"/>
              </w:rPr>
            </w:pPr>
          </w:p>
        </w:tc>
        <w:tc>
          <w:tcPr>
            <w:tcW w:w="426" w:type="dxa"/>
            <w:vMerge w:val="continue"/>
            <w:shd w:val="clear" w:color="auto" w:fill="auto"/>
            <w:vAlign w:val="center"/>
          </w:tcPr>
          <w:p>
            <w:pPr>
              <w:pStyle w:val="100"/>
              <w:bidi w:val="0"/>
              <w:rPr>
                <w:rFonts w:hint="eastAsia"/>
              </w:rPr>
            </w:pPr>
          </w:p>
        </w:tc>
        <w:tc>
          <w:tcPr>
            <w:tcW w:w="426" w:type="dxa"/>
            <w:shd w:val="clear" w:color="auto" w:fill="auto"/>
            <w:vAlign w:val="center"/>
          </w:tcPr>
          <w:p>
            <w:pPr>
              <w:pStyle w:val="100"/>
              <w:bidi w:val="0"/>
              <w:rPr>
                <w:rFonts w:hint="eastAsia"/>
              </w:rPr>
            </w:pPr>
            <w:r>
              <w:rPr>
                <w:rFonts w:hint="eastAsia"/>
              </w:rPr>
              <w:t>核算方法</w:t>
            </w:r>
          </w:p>
        </w:tc>
        <w:tc>
          <w:tcPr>
            <w:tcW w:w="812" w:type="dxa"/>
            <w:shd w:val="clear" w:color="auto" w:fill="auto"/>
            <w:vAlign w:val="center"/>
          </w:tcPr>
          <w:p>
            <w:pPr>
              <w:pStyle w:val="100"/>
              <w:bidi w:val="0"/>
              <w:rPr>
                <w:rFonts w:hint="eastAsia"/>
              </w:rPr>
            </w:pPr>
            <w:r>
              <w:rPr>
                <w:rFonts w:hint="eastAsia"/>
              </w:rPr>
              <w:t>浓度mg/m3</w:t>
            </w:r>
          </w:p>
        </w:tc>
        <w:tc>
          <w:tcPr>
            <w:tcW w:w="689" w:type="dxa"/>
            <w:shd w:val="clear" w:color="auto" w:fill="auto"/>
            <w:vAlign w:val="center"/>
          </w:tcPr>
          <w:p>
            <w:pPr>
              <w:pStyle w:val="100"/>
              <w:bidi w:val="0"/>
              <w:rPr>
                <w:rFonts w:hint="eastAsia"/>
              </w:rPr>
            </w:pPr>
            <w:r>
              <w:rPr>
                <w:rFonts w:hint="eastAsia"/>
              </w:rPr>
              <w:t>速率kg/h</w:t>
            </w:r>
          </w:p>
        </w:tc>
        <w:tc>
          <w:tcPr>
            <w:tcW w:w="584" w:type="dxa"/>
            <w:shd w:val="clear" w:color="auto" w:fill="auto"/>
            <w:vAlign w:val="center"/>
          </w:tcPr>
          <w:p>
            <w:pPr>
              <w:pStyle w:val="100"/>
              <w:bidi w:val="0"/>
              <w:rPr>
                <w:rFonts w:hint="eastAsia"/>
              </w:rPr>
            </w:pPr>
            <w:r>
              <w:rPr>
                <w:rFonts w:hint="eastAsia"/>
              </w:rPr>
              <w:t>产生量t/a</w:t>
            </w:r>
          </w:p>
        </w:tc>
        <w:tc>
          <w:tcPr>
            <w:tcW w:w="741" w:type="dxa"/>
            <w:vMerge w:val="continue"/>
            <w:shd w:val="clear" w:color="auto" w:fill="auto"/>
            <w:vAlign w:val="center"/>
          </w:tcPr>
          <w:p>
            <w:pPr>
              <w:pStyle w:val="100"/>
              <w:bidi w:val="0"/>
              <w:rPr>
                <w:rFonts w:hint="eastAsia"/>
              </w:rPr>
            </w:pPr>
          </w:p>
        </w:tc>
        <w:tc>
          <w:tcPr>
            <w:tcW w:w="811" w:type="dxa"/>
            <w:vMerge w:val="continue"/>
            <w:shd w:val="clear" w:color="auto" w:fill="auto"/>
            <w:vAlign w:val="center"/>
          </w:tcPr>
          <w:p>
            <w:pPr>
              <w:pStyle w:val="100"/>
              <w:bidi w:val="0"/>
              <w:rPr>
                <w:rFonts w:hint="eastAsia"/>
              </w:rPr>
            </w:pPr>
          </w:p>
        </w:tc>
        <w:tc>
          <w:tcPr>
            <w:tcW w:w="601" w:type="dxa"/>
            <w:vMerge w:val="continue"/>
            <w:shd w:val="clear" w:color="auto" w:fill="auto"/>
            <w:vAlign w:val="center"/>
          </w:tcPr>
          <w:p>
            <w:pPr>
              <w:pStyle w:val="100"/>
              <w:bidi w:val="0"/>
              <w:rPr>
                <w:rFonts w:hint="eastAsia"/>
              </w:rPr>
            </w:pPr>
          </w:p>
        </w:tc>
        <w:tc>
          <w:tcPr>
            <w:tcW w:w="601" w:type="dxa"/>
            <w:vMerge w:val="continue"/>
            <w:shd w:val="clear" w:color="auto" w:fill="auto"/>
            <w:vAlign w:val="center"/>
          </w:tcPr>
          <w:p>
            <w:pPr>
              <w:pStyle w:val="100"/>
              <w:bidi w:val="0"/>
              <w:rPr>
                <w:rFonts w:hint="eastAsia"/>
              </w:rPr>
            </w:pPr>
          </w:p>
        </w:tc>
        <w:tc>
          <w:tcPr>
            <w:tcW w:w="426" w:type="dxa"/>
            <w:shd w:val="clear" w:color="auto" w:fill="auto"/>
            <w:vAlign w:val="center"/>
          </w:tcPr>
          <w:p>
            <w:pPr>
              <w:pStyle w:val="100"/>
              <w:bidi w:val="0"/>
              <w:rPr>
                <w:rFonts w:hint="eastAsia"/>
              </w:rPr>
            </w:pPr>
            <w:r>
              <w:rPr>
                <w:rFonts w:hint="eastAsia"/>
              </w:rPr>
              <w:t>核实方法</w:t>
            </w:r>
          </w:p>
        </w:tc>
        <w:tc>
          <w:tcPr>
            <w:tcW w:w="812" w:type="dxa"/>
            <w:shd w:val="clear" w:color="auto" w:fill="auto"/>
            <w:vAlign w:val="center"/>
          </w:tcPr>
          <w:p>
            <w:pPr>
              <w:pStyle w:val="100"/>
              <w:bidi w:val="0"/>
              <w:rPr>
                <w:rFonts w:hint="eastAsia"/>
              </w:rPr>
            </w:pPr>
            <w:r>
              <w:rPr>
                <w:rFonts w:hint="eastAsia"/>
              </w:rPr>
              <w:t>浓度mg/m3</w:t>
            </w:r>
          </w:p>
        </w:tc>
        <w:tc>
          <w:tcPr>
            <w:tcW w:w="899" w:type="dxa"/>
            <w:shd w:val="clear" w:color="auto" w:fill="auto"/>
            <w:vAlign w:val="center"/>
          </w:tcPr>
          <w:p>
            <w:pPr>
              <w:pStyle w:val="100"/>
              <w:bidi w:val="0"/>
              <w:rPr>
                <w:rFonts w:hint="eastAsia"/>
              </w:rPr>
            </w:pPr>
            <w:r>
              <w:rPr>
                <w:rFonts w:hint="eastAsia"/>
              </w:rPr>
              <w:t>速率</w:t>
            </w:r>
          </w:p>
          <w:p>
            <w:pPr>
              <w:pStyle w:val="100"/>
              <w:bidi w:val="0"/>
              <w:rPr>
                <w:rFonts w:hint="eastAsia"/>
              </w:rPr>
            </w:pPr>
            <w:r>
              <w:rPr>
                <w:rFonts w:hint="eastAsia"/>
              </w:rPr>
              <w:t>kg/h</w:t>
            </w:r>
          </w:p>
        </w:tc>
        <w:tc>
          <w:tcPr>
            <w:tcW w:w="794" w:type="dxa"/>
            <w:shd w:val="clear" w:color="auto" w:fill="auto"/>
            <w:vAlign w:val="center"/>
          </w:tcPr>
          <w:p>
            <w:pPr>
              <w:pStyle w:val="100"/>
              <w:bidi w:val="0"/>
              <w:rPr>
                <w:rFonts w:hint="eastAsia"/>
              </w:rPr>
            </w:pPr>
            <w:r>
              <w:rPr>
                <w:rFonts w:hint="eastAsia"/>
              </w:rPr>
              <w:t>排放量t/a</w:t>
            </w:r>
          </w:p>
        </w:tc>
        <w:tc>
          <w:tcPr>
            <w:tcW w:w="812" w:type="dxa"/>
            <w:shd w:val="clear" w:color="auto" w:fill="auto"/>
            <w:vAlign w:val="center"/>
          </w:tcPr>
          <w:p>
            <w:pPr>
              <w:pStyle w:val="100"/>
              <w:bidi w:val="0"/>
              <w:rPr>
                <w:rFonts w:hint="eastAsia"/>
              </w:rPr>
            </w:pPr>
            <w:r>
              <w:rPr>
                <w:rFonts w:hint="eastAsia"/>
              </w:rPr>
              <w:t>浓度</w:t>
            </w:r>
          </w:p>
          <w:p>
            <w:pPr>
              <w:pStyle w:val="100"/>
              <w:bidi w:val="0"/>
              <w:rPr>
                <w:rFonts w:hint="eastAsia"/>
              </w:rPr>
            </w:pPr>
            <w:r>
              <w:rPr>
                <w:rFonts w:hint="eastAsia"/>
              </w:rPr>
              <w:t>mg/m3</w:t>
            </w:r>
          </w:p>
        </w:tc>
        <w:tc>
          <w:tcPr>
            <w:tcW w:w="590" w:type="dxa"/>
            <w:shd w:val="clear" w:color="auto" w:fill="auto"/>
            <w:vAlign w:val="center"/>
          </w:tcPr>
          <w:p>
            <w:pPr>
              <w:pStyle w:val="100"/>
              <w:bidi w:val="0"/>
              <w:rPr>
                <w:rFonts w:hint="eastAsia"/>
              </w:rPr>
            </w:pPr>
            <w:r>
              <w:rPr>
                <w:rFonts w:hint="eastAsia"/>
              </w:rPr>
              <w:t>速率kg/h</w:t>
            </w:r>
          </w:p>
        </w:tc>
        <w:tc>
          <w:tcPr>
            <w:tcW w:w="426" w:type="dxa"/>
            <w:shd w:val="clear" w:color="auto" w:fill="auto"/>
            <w:vAlign w:val="center"/>
          </w:tcPr>
          <w:p>
            <w:pPr>
              <w:pStyle w:val="100"/>
              <w:bidi w:val="0"/>
              <w:rPr>
                <w:rFonts w:hint="eastAsia"/>
              </w:rPr>
            </w:pPr>
            <w:r>
              <w:rPr>
                <w:rFonts w:hint="eastAsia"/>
              </w:rPr>
              <w:t>高度m</w:t>
            </w:r>
          </w:p>
        </w:tc>
        <w:tc>
          <w:tcPr>
            <w:tcW w:w="479" w:type="dxa"/>
            <w:shd w:val="clear" w:color="auto" w:fill="auto"/>
            <w:vAlign w:val="center"/>
          </w:tcPr>
          <w:p>
            <w:pPr>
              <w:pStyle w:val="100"/>
              <w:bidi w:val="0"/>
              <w:rPr>
                <w:rFonts w:hint="eastAsia"/>
              </w:rPr>
            </w:pPr>
            <w:r>
              <w:rPr>
                <w:rFonts w:hint="eastAsia"/>
              </w:rPr>
              <w:t>直径m</w:t>
            </w:r>
          </w:p>
        </w:tc>
        <w:tc>
          <w:tcPr>
            <w:tcW w:w="426" w:type="dxa"/>
            <w:shd w:val="clear" w:color="auto" w:fill="auto"/>
            <w:vAlign w:val="center"/>
          </w:tcPr>
          <w:p>
            <w:pPr>
              <w:pStyle w:val="100"/>
              <w:bidi w:val="0"/>
              <w:rPr>
                <w:rFonts w:hint="eastAsia"/>
              </w:rPr>
            </w:pPr>
            <w:r>
              <w:rPr>
                <w:rFonts w:hint="eastAsia"/>
              </w:rPr>
              <w:t>温度</w:t>
            </w:r>
          </w:p>
          <w:p>
            <w:pPr>
              <w:pStyle w:val="100"/>
              <w:bidi w:val="0"/>
              <w:rPr>
                <w:rFonts w:hint="eastAsia"/>
              </w:rPr>
            </w:pPr>
            <w:r>
              <w:rPr>
                <w:rFonts w:hint="eastAsia"/>
              </w:rPr>
              <w:t>℃</w:t>
            </w:r>
          </w:p>
        </w:tc>
        <w:tc>
          <w:tcPr>
            <w:tcW w:w="636" w:type="dxa"/>
            <w:vMerge w:val="continue"/>
            <w:shd w:val="clear" w:color="auto" w:fill="auto"/>
            <w:vAlign w:val="center"/>
          </w:tcPr>
          <w:p>
            <w:pPr>
              <w:pStyle w:val="100"/>
              <w:bidi w:val="0"/>
              <w:rPr>
                <w:rFonts w:hint="eastAsia"/>
              </w:rPr>
            </w:pPr>
          </w:p>
        </w:tc>
        <w:tc>
          <w:tcPr>
            <w:tcW w:w="426" w:type="dxa"/>
            <w:vMerge w:val="continue"/>
            <w:shd w:val="clear" w:color="auto" w:fill="auto"/>
            <w:vAlign w:val="center"/>
          </w:tcPr>
          <w:p>
            <w:pPr>
              <w:pStyle w:val="100"/>
              <w:bidi w:val="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40" w:type="dxa"/>
            <w:shd w:val="clear" w:color="auto" w:fill="auto"/>
            <w:vAlign w:val="center"/>
          </w:tcPr>
          <w:p>
            <w:pPr>
              <w:pStyle w:val="100"/>
              <w:bidi w:val="0"/>
              <w:rPr>
                <w:rFonts w:hint="eastAsia"/>
              </w:rPr>
            </w:pPr>
            <w:r>
              <w:rPr>
                <w:rFonts w:hint="eastAsia"/>
              </w:rPr>
              <w:t>DA001</w:t>
            </w:r>
          </w:p>
        </w:tc>
        <w:tc>
          <w:tcPr>
            <w:tcW w:w="683" w:type="dxa"/>
            <w:shd w:val="clear" w:color="auto" w:fill="auto"/>
            <w:vAlign w:val="center"/>
          </w:tcPr>
          <w:p>
            <w:pPr>
              <w:pStyle w:val="100"/>
              <w:bidi w:val="0"/>
              <w:rPr>
                <w:rFonts w:hint="eastAsia"/>
              </w:rPr>
            </w:pPr>
            <w:r>
              <w:rPr>
                <w:rFonts w:hint="eastAsia"/>
              </w:rPr>
              <w:t>G1、G2</w:t>
            </w:r>
          </w:p>
        </w:tc>
        <w:tc>
          <w:tcPr>
            <w:tcW w:w="426" w:type="dxa"/>
            <w:shd w:val="clear" w:color="auto" w:fill="auto"/>
            <w:vAlign w:val="center"/>
          </w:tcPr>
          <w:p>
            <w:pPr>
              <w:pStyle w:val="100"/>
              <w:bidi w:val="0"/>
              <w:rPr>
                <w:rFonts w:hint="eastAsia"/>
              </w:rPr>
            </w:pPr>
            <w:r>
              <w:rPr>
                <w:rFonts w:hint="eastAsia"/>
              </w:rPr>
              <w:t>非甲烷总烃</w:t>
            </w:r>
          </w:p>
        </w:tc>
        <w:tc>
          <w:tcPr>
            <w:tcW w:w="426" w:type="dxa"/>
            <w:shd w:val="clear" w:color="auto" w:fill="auto"/>
            <w:vAlign w:val="center"/>
          </w:tcPr>
          <w:p>
            <w:pPr>
              <w:pStyle w:val="100"/>
              <w:bidi w:val="0"/>
              <w:rPr>
                <w:rFonts w:hint="eastAsia"/>
              </w:rPr>
            </w:pPr>
            <w:r>
              <w:rPr>
                <w:rFonts w:hint="eastAsia"/>
              </w:rPr>
              <w:t>类比法</w:t>
            </w:r>
          </w:p>
        </w:tc>
        <w:tc>
          <w:tcPr>
            <w:tcW w:w="812" w:type="dxa"/>
            <w:shd w:val="clear" w:color="auto" w:fill="auto"/>
            <w:vAlign w:val="center"/>
          </w:tcPr>
          <w:p>
            <w:pPr>
              <w:pStyle w:val="100"/>
              <w:bidi w:val="0"/>
              <w:rPr>
                <w:rFonts w:hint="eastAsia"/>
              </w:rPr>
            </w:pPr>
            <w:r>
              <w:rPr>
                <w:rFonts w:hint="eastAsia"/>
              </w:rPr>
              <w:t>2.88</w:t>
            </w:r>
          </w:p>
        </w:tc>
        <w:tc>
          <w:tcPr>
            <w:tcW w:w="689" w:type="dxa"/>
            <w:shd w:val="clear" w:color="auto" w:fill="auto"/>
            <w:vAlign w:val="center"/>
          </w:tcPr>
          <w:p>
            <w:pPr>
              <w:pStyle w:val="100"/>
              <w:bidi w:val="0"/>
              <w:rPr>
                <w:rFonts w:hint="eastAsia"/>
              </w:rPr>
            </w:pPr>
            <w:r>
              <w:rPr>
                <w:rFonts w:hint="eastAsia"/>
              </w:rPr>
              <w:t>0.072</w:t>
            </w:r>
          </w:p>
        </w:tc>
        <w:tc>
          <w:tcPr>
            <w:tcW w:w="584" w:type="dxa"/>
            <w:shd w:val="clear" w:color="auto" w:fill="auto"/>
            <w:vAlign w:val="center"/>
          </w:tcPr>
          <w:p>
            <w:pPr>
              <w:pStyle w:val="100"/>
              <w:bidi w:val="0"/>
              <w:rPr>
                <w:rFonts w:hint="eastAsia"/>
              </w:rPr>
            </w:pPr>
            <w:r>
              <w:rPr>
                <w:rFonts w:hint="eastAsia"/>
              </w:rPr>
              <w:t>0.43</w:t>
            </w:r>
          </w:p>
        </w:tc>
        <w:tc>
          <w:tcPr>
            <w:tcW w:w="741" w:type="dxa"/>
            <w:shd w:val="clear" w:color="auto" w:fill="auto"/>
            <w:vAlign w:val="center"/>
          </w:tcPr>
          <w:p>
            <w:pPr>
              <w:pStyle w:val="100"/>
              <w:bidi w:val="0"/>
              <w:rPr>
                <w:rFonts w:hint="eastAsia"/>
              </w:rPr>
            </w:pPr>
            <w:r>
              <w:rPr>
                <w:rFonts w:hint="eastAsia"/>
              </w:rPr>
              <w:t>25000</w:t>
            </w:r>
          </w:p>
        </w:tc>
        <w:tc>
          <w:tcPr>
            <w:tcW w:w="811" w:type="dxa"/>
            <w:shd w:val="clear" w:color="auto" w:fill="auto"/>
            <w:vAlign w:val="center"/>
          </w:tcPr>
          <w:p>
            <w:pPr>
              <w:pStyle w:val="100"/>
              <w:bidi w:val="0"/>
              <w:rPr>
                <w:rFonts w:hint="eastAsia"/>
              </w:rPr>
            </w:pPr>
            <w:r>
              <w:rPr>
                <w:rFonts w:hint="eastAsia"/>
              </w:rPr>
              <w:t>二级活性炭处理设施TA001</w:t>
            </w:r>
          </w:p>
        </w:tc>
        <w:tc>
          <w:tcPr>
            <w:tcW w:w="601" w:type="dxa"/>
            <w:shd w:val="clear" w:color="auto" w:fill="auto"/>
            <w:vAlign w:val="center"/>
          </w:tcPr>
          <w:p>
            <w:pPr>
              <w:pStyle w:val="100"/>
              <w:bidi w:val="0"/>
              <w:rPr>
                <w:rFonts w:hint="eastAsia"/>
              </w:rPr>
            </w:pPr>
            <w:r>
              <w:rPr>
                <w:rFonts w:hint="eastAsia"/>
              </w:rPr>
              <w:t>90</w:t>
            </w:r>
          </w:p>
        </w:tc>
        <w:tc>
          <w:tcPr>
            <w:tcW w:w="601" w:type="dxa"/>
            <w:shd w:val="clear" w:color="auto" w:fill="auto"/>
            <w:vAlign w:val="center"/>
          </w:tcPr>
          <w:p>
            <w:pPr>
              <w:pStyle w:val="100"/>
              <w:bidi w:val="0"/>
              <w:rPr>
                <w:rFonts w:hint="eastAsia"/>
              </w:rPr>
            </w:pPr>
            <w:r>
              <w:rPr>
                <w:rFonts w:hint="eastAsia"/>
              </w:rPr>
              <w:t>90</w:t>
            </w:r>
          </w:p>
        </w:tc>
        <w:tc>
          <w:tcPr>
            <w:tcW w:w="426" w:type="dxa"/>
            <w:shd w:val="clear" w:color="auto" w:fill="auto"/>
            <w:vAlign w:val="center"/>
          </w:tcPr>
          <w:p>
            <w:pPr>
              <w:pStyle w:val="100"/>
              <w:bidi w:val="0"/>
              <w:rPr>
                <w:rFonts w:hint="eastAsia"/>
              </w:rPr>
            </w:pPr>
            <w:r>
              <w:rPr>
                <w:rFonts w:hint="eastAsia"/>
              </w:rPr>
              <w:t>物料衡算法</w:t>
            </w:r>
          </w:p>
        </w:tc>
        <w:tc>
          <w:tcPr>
            <w:tcW w:w="812" w:type="dxa"/>
            <w:shd w:val="clear" w:color="auto" w:fill="auto"/>
            <w:vAlign w:val="center"/>
          </w:tcPr>
          <w:p>
            <w:pPr>
              <w:pStyle w:val="100"/>
              <w:bidi w:val="0"/>
              <w:rPr>
                <w:rFonts w:hint="eastAsia"/>
              </w:rPr>
            </w:pPr>
            <w:r>
              <w:rPr>
                <w:rFonts w:hint="eastAsia"/>
              </w:rPr>
              <w:t>0.258</w:t>
            </w:r>
          </w:p>
        </w:tc>
        <w:tc>
          <w:tcPr>
            <w:tcW w:w="899" w:type="dxa"/>
            <w:shd w:val="clear" w:color="auto" w:fill="auto"/>
            <w:vAlign w:val="center"/>
          </w:tcPr>
          <w:p>
            <w:pPr>
              <w:pStyle w:val="100"/>
              <w:bidi w:val="0"/>
              <w:rPr>
                <w:rFonts w:hint="eastAsia"/>
              </w:rPr>
            </w:pPr>
            <w:r>
              <w:rPr>
                <w:rFonts w:hint="eastAsia"/>
              </w:rPr>
              <w:t>0.00645</w:t>
            </w:r>
          </w:p>
        </w:tc>
        <w:tc>
          <w:tcPr>
            <w:tcW w:w="794" w:type="dxa"/>
            <w:shd w:val="clear" w:color="auto" w:fill="auto"/>
            <w:vAlign w:val="center"/>
          </w:tcPr>
          <w:p>
            <w:pPr>
              <w:pStyle w:val="100"/>
              <w:bidi w:val="0"/>
              <w:rPr>
                <w:rFonts w:hint="eastAsia"/>
              </w:rPr>
            </w:pPr>
            <w:r>
              <w:rPr>
                <w:rFonts w:hint="eastAsia"/>
              </w:rPr>
              <w:t>0.0387</w:t>
            </w:r>
          </w:p>
        </w:tc>
        <w:tc>
          <w:tcPr>
            <w:tcW w:w="812" w:type="dxa"/>
            <w:shd w:val="clear" w:color="auto" w:fill="auto"/>
            <w:vAlign w:val="center"/>
          </w:tcPr>
          <w:p>
            <w:pPr>
              <w:pStyle w:val="100"/>
              <w:bidi w:val="0"/>
              <w:rPr>
                <w:rFonts w:hint="eastAsia"/>
              </w:rPr>
            </w:pPr>
            <w:r>
              <w:rPr>
                <w:rFonts w:hint="eastAsia"/>
              </w:rPr>
              <w:t>120</w:t>
            </w:r>
          </w:p>
        </w:tc>
        <w:tc>
          <w:tcPr>
            <w:tcW w:w="590" w:type="dxa"/>
            <w:shd w:val="clear" w:color="auto" w:fill="auto"/>
            <w:vAlign w:val="center"/>
          </w:tcPr>
          <w:p>
            <w:pPr>
              <w:pStyle w:val="100"/>
              <w:bidi w:val="0"/>
              <w:rPr>
                <w:rFonts w:hint="eastAsia"/>
              </w:rPr>
            </w:pPr>
            <w:r>
              <w:rPr>
                <w:rFonts w:hint="eastAsia"/>
              </w:rPr>
              <w:t>10</w:t>
            </w:r>
          </w:p>
        </w:tc>
        <w:tc>
          <w:tcPr>
            <w:tcW w:w="426" w:type="dxa"/>
            <w:shd w:val="clear" w:color="auto" w:fill="auto"/>
            <w:vAlign w:val="center"/>
          </w:tcPr>
          <w:p>
            <w:pPr>
              <w:pStyle w:val="100"/>
              <w:bidi w:val="0"/>
              <w:rPr>
                <w:rFonts w:hint="eastAsia"/>
              </w:rPr>
            </w:pPr>
            <w:r>
              <w:rPr>
                <w:rFonts w:hint="eastAsia"/>
              </w:rPr>
              <w:t>15</w:t>
            </w:r>
          </w:p>
        </w:tc>
        <w:tc>
          <w:tcPr>
            <w:tcW w:w="479" w:type="dxa"/>
            <w:shd w:val="clear" w:color="auto" w:fill="auto"/>
            <w:vAlign w:val="center"/>
          </w:tcPr>
          <w:p>
            <w:pPr>
              <w:pStyle w:val="100"/>
              <w:bidi w:val="0"/>
              <w:rPr>
                <w:rFonts w:hint="eastAsia"/>
              </w:rPr>
            </w:pPr>
            <w:r>
              <w:rPr>
                <w:rFonts w:hint="eastAsia"/>
              </w:rPr>
              <w:t>0.8</w:t>
            </w:r>
          </w:p>
        </w:tc>
        <w:tc>
          <w:tcPr>
            <w:tcW w:w="426" w:type="dxa"/>
            <w:shd w:val="clear" w:color="auto" w:fill="auto"/>
            <w:vAlign w:val="center"/>
          </w:tcPr>
          <w:p>
            <w:pPr>
              <w:pStyle w:val="100"/>
              <w:bidi w:val="0"/>
              <w:rPr>
                <w:rFonts w:hint="eastAsia"/>
              </w:rPr>
            </w:pPr>
            <w:r>
              <w:rPr>
                <w:rFonts w:hint="eastAsia"/>
              </w:rPr>
              <w:t>25</w:t>
            </w:r>
          </w:p>
        </w:tc>
        <w:tc>
          <w:tcPr>
            <w:tcW w:w="636" w:type="dxa"/>
            <w:shd w:val="clear" w:color="auto" w:fill="auto"/>
            <w:vAlign w:val="center"/>
          </w:tcPr>
          <w:p>
            <w:pPr>
              <w:pStyle w:val="100"/>
              <w:bidi w:val="0"/>
              <w:rPr>
                <w:rFonts w:hint="eastAsia"/>
              </w:rPr>
            </w:pPr>
            <w:r>
              <w:rPr>
                <w:rFonts w:hint="eastAsia"/>
              </w:rPr>
              <w:t>6000</w:t>
            </w:r>
          </w:p>
        </w:tc>
        <w:tc>
          <w:tcPr>
            <w:tcW w:w="426" w:type="dxa"/>
            <w:shd w:val="clear" w:color="auto" w:fill="auto"/>
            <w:vAlign w:val="center"/>
          </w:tcPr>
          <w:p>
            <w:pPr>
              <w:pStyle w:val="100"/>
              <w:bidi w:val="0"/>
              <w:rPr>
                <w:rFonts w:hint="eastAsia"/>
              </w:rPr>
            </w:pPr>
            <w:r>
              <w:rPr>
                <w:rFonts w:hint="eastAsia"/>
              </w:rPr>
              <w:t>连续</w:t>
            </w:r>
          </w:p>
        </w:tc>
      </w:tr>
    </w:tbl>
    <w:p>
      <w:pPr>
        <w:pStyle w:val="103"/>
        <w:bidi w:val="0"/>
      </w:pPr>
      <w:r>
        <w:rPr>
          <w:rFonts w:hint="eastAsia"/>
        </w:rPr>
        <w:t>上表可知，非甲烷总烃的排放速率满足《大气污染物综合排放标准》（</w:t>
      </w:r>
      <w:r>
        <w:t>GB16297-1996）表2中的二级标准。</w:t>
      </w:r>
    </w:p>
    <w:p>
      <w:pPr>
        <w:pStyle w:val="103"/>
        <w:bidi w:val="0"/>
        <w:sectPr>
          <w:pgSz w:w="16838" w:h="11906" w:orient="landscape"/>
          <w:pgMar w:top="1418" w:right="1985" w:bottom="1418" w:left="1418" w:header="851" w:footer="992" w:gutter="0"/>
          <w:pgBorders>
            <w:top w:val="single" w:color="auto" w:sz="4" w:space="1"/>
            <w:left w:val="single" w:color="auto" w:sz="4" w:space="4"/>
            <w:bottom w:val="single" w:color="auto" w:sz="4" w:space="1"/>
            <w:right w:val="single" w:color="auto" w:sz="4" w:space="4"/>
          </w:pgBorders>
          <w:pgNumType w:fmt="numberInDash"/>
          <w:cols w:space="720" w:num="1"/>
          <w:docGrid w:linePitch="326" w:charSpace="0"/>
        </w:sectPr>
      </w:pPr>
    </w:p>
    <w:p>
      <w:pPr>
        <w:pStyle w:val="104"/>
      </w:pPr>
      <w:r>
        <w:t>废水</w:t>
      </w:r>
    </w:p>
    <w:p>
      <w:pPr>
        <w:pStyle w:val="103"/>
        <w:bidi w:val="0"/>
      </w:pPr>
      <w:r>
        <w:rPr>
          <w:rFonts w:hint="eastAsia"/>
        </w:rPr>
        <w:t>生活污水：项目员工28</w:t>
      </w:r>
      <w:r>
        <w:t>人，生产天数为300天。生活用水量按120L/（人.d）计，则用水量为</w:t>
      </w:r>
      <w:r>
        <w:rPr>
          <w:rFonts w:hint="eastAsia"/>
        </w:rPr>
        <w:t>1008</w:t>
      </w:r>
      <w:r>
        <w:t>m3/a。生活污水按用水量的85%计，则生活污水量为</w:t>
      </w:r>
      <w:r>
        <w:rPr>
          <w:rFonts w:hint="eastAsia"/>
        </w:rPr>
        <w:t>856.8</w:t>
      </w:r>
      <w:r>
        <w:t>m3/a。生活污水接管至</w:t>
      </w:r>
      <w:r>
        <w:rPr>
          <w:rFonts w:hint="eastAsia"/>
        </w:rPr>
        <w:t>吴江经济技术开发区运东</w:t>
      </w:r>
      <w:r>
        <w:t>污水处理厂处理，尾水排放至</w:t>
      </w:r>
      <w:r>
        <w:rPr>
          <w:rFonts w:hint="eastAsia"/>
        </w:rPr>
        <w:t>吴淞江</w:t>
      </w:r>
      <w:r>
        <w:t>。</w:t>
      </w:r>
    </w:p>
    <w:p>
      <w:pPr>
        <w:pStyle w:val="103"/>
        <w:bidi w:val="0"/>
      </w:pPr>
      <w:r>
        <w:rPr>
          <w:rFonts w:hint="eastAsia"/>
        </w:rPr>
        <w:t>生产废水：本项目无生产废水产生。</w:t>
      </w:r>
    </w:p>
    <w:p>
      <w:pPr>
        <w:pStyle w:val="273"/>
        <w:bidi w:val="0"/>
        <w:rPr>
          <w:rFonts w:hint="eastAsia"/>
        </w:rPr>
      </w:pPr>
      <w:r>
        <w:rPr>
          <w:rFonts w:hint="eastAsia"/>
        </w:rPr>
        <w:t>表5-</w:t>
      </w:r>
      <w:r>
        <w:rPr>
          <w:rFonts w:hint="eastAsia"/>
          <w:lang w:val="en-US" w:eastAsia="zh-CN"/>
        </w:rPr>
        <w:t>5</w:t>
      </w:r>
      <w:r>
        <w:rPr>
          <w:rFonts w:hint="eastAsia"/>
        </w:rPr>
        <w:t xml:space="preserve">  本项目废水污染源强及相关参数一览表</w:t>
      </w:r>
    </w:p>
    <w:tbl>
      <w:tblPr>
        <w:tblStyle w:val="260"/>
        <w:tblW w:w="92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
        <w:gridCol w:w="719"/>
        <w:gridCol w:w="840"/>
        <w:gridCol w:w="629"/>
        <w:gridCol w:w="621"/>
        <w:gridCol w:w="831"/>
        <w:gridCol w:w="586"/>
        <w:gridCol w:w="579"/>
        <w:gridCol w:w="789"/>
        <w:gridCol w:w="873"/>
        <w:gridCol w:w="679"/>
        <w:gridCol w:w="643"/>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584" w:type="dxa"/>
            <w:vMerge w:val="restart"/>
            <w:vAlign w:val="center"/>
          </w:tcPr>
          <w:p>
            <w:pPr>
              <w:pStyle w:val="100"/>
              <w:widowControl w:val="0"/>
              <w:bidi w:val="0"/>
              <w:adjustRightInd w:val="0"/>
              <w:snapToGrid w:val="0"/>
            </w:pPr>
            <w:r>
              <w:rPr>
                <w:rFonts w:hint="eastAsia"/>
              </w:rPr>
              <w:t>废</w:t>
            </w:r>
            <w:r>
              <w:t>水来源</w:t>
            </w:r>
          </w:p>
        </w:tc>
        <w:tc>
          <w:tcPr>
            <w:tcW w:w="719" w:type="dxa"/>
            <w:vMerge w:val="restart"/>
            <w:vAlign w:val="center"/>
          </w:tcPr>
          <w:p>
            <w:pPr>
              <w:pStyle w:val="100"/>
              <w:widowControl w:val="0"/>
              <w:bidi w:val="0"/>
              <w:adjustRightInd w:val="0"/>
              <w:snapToGrid w:val="0"/>
            </w:pPr>
            <w:r>
              <w:t>废水量t/a</w:t>
            </w:r>
          </w:p>
        </w:tc>
        <w:tc>
          <w:tcPr>
            <w:tcW w:w="840" w:type="dxa"/>
            <w:vMerge w:val="restart"/>
            <w:vAlign w:val="center"/>
          </w:tcPr>
          <w:p>
            <w:pPr>
              <w:pStyle w:val="100"/>
              <w:widowControl w:val="0"/>
              <w:bidi w:val="0"/>
              <w:adjustRightInd w:val="0"/>
              <w:snapToGrid w:val="0"/>
            </w:pPr>
            <w:r>
              <w:t>污染物</w:t>
            </w:r>
          </w:p>
        </w:tc>
        <w:tc>
          <w:tcPr>
            <w:tcW w:w="2081" w:type="dxa"/>
            <w:gridSpan w:val="3"/>
            <w:vAlign w:val="center"/>
          </w:tcPr>
          <w:p>
            <w:pPr>
              <w:pStyle w:val="100"/>
              <w:widowControl w:val="0"/>
              <w:bidi w:val="0"/>
              <w:adjustRightInd w:val="0"/>
              <w:snapToGrid w:val="0"/>
            </w:pPr>
            <w:r>
              <w:t>污染物产生量</w:t>
            </w:r>
          </w:p>
        </w:tc>
        <w:tc>
          <w:tcPr>
            <w:tcW w:w="586" w:type="dxa"/>
            <w:vMerge w:val="restart"/>
            <w:vAlign w:val="center"/>
          </w:tcPr>
          <w:p>
            <w:pPr>
              <w:pStyle w:val="100"/>
              <w:widowControl w:val="0"/>
              <w:bidi w:val="0"/>
              <w:adjustRightInd w:val="0"/>
              <w:snapToGrid w:val="0"/>
            </w:pPr>
            <w:r>
              <w:t>治理措施</w:t>
            </w:r>
          </w:p>
        </w:tc>
        <w:tc>
          <w:tcPr>
            <w:tcW w:w="2241" w:type="dxa"/>
            <w:gridSpan w:val="3"/>
            <w:vAlign w:val="center"/>
          </w:tcPr>
          <w:p>
            <w:pPr>
              <w:pStyle w:val="100"/>
              <w:widowControl w:val="0"/>
              <w:bidi w:val="0"/>
              <w:adjustRightInd w:val="0"/>
              <w:snapToGrid w:val="0"/>
            </w:pPr>
            <w:r>
              <w:t>污染物排放</w:t>
            </w:r>
          </w:p>
        </w:tc>
        <w:tc>
          <w:tcPr>
            <w:tcW w:w="679" w:type="dxa"/>
            <w:vMerge w:val="restart"/>
            <w:vAlign w:val="center"/>
          </w:tcPr>
          <w:p>
            <w:pPr>
              <w:pStyle w:val="100"/>
              <w:widowControl w:val="0"/>
              <w:bidi w:val="0"/>
              <w:adjustRightInd w:val="0"/>
              <w:snapToGrid w:val="0"/>
            </w:pPr>
            <w:r>
              <w:t>标准浓度限值mg/L</w:t>
            </w:r>
          </w:p>
        </w:tc>
        <w:tc>
          <w:tcPr>
            <w:tcW w:w="643" w:type="dxa"/>
            <w:vMerge w:val="restart"/>
            <w:vAlign w:val="center"/>
          </w:tcPr>
          <w:p>
            <w:pPr>
              <w:pStyle w:val="100"/>
              <w:widowControl w:val="0"/>
              <w:bidi w:val="0"/>
              <w:adjustRightInd w:val="0"/>
              <w:snapToGrid w:val="0"/>
            </w:pPr>
            <w:r>
              <w:t>排放方式与去向</w:t>
            </w:r>
          </w:p>
        </w:tc>
        <w:tc>
          <w:tcPr>
            <w:tcW w:w="879" w:type="dxa"/>
            <w:vMerge w:val="restart"/>
            <w:vAlign w:val="center"/>
          </w:tcPr>
          <w:p>
            <w:pPr>
              <w:pStyle w:val="100"/>
              <w:widowControl w:val="0"/>
              <w:bidi w:val="0"/>
              <w:adjustRightInd w:val="0"/>
              <w:snapToGrid w:val="0"/>
            </w:pPr>
            <w:r>
              <w:rPr>
                <w:rFonts w:hint="eastAsia"/>
              </w:rPr>
              <w:t>年排放时间h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84" w:type="dxa"/>
            <w:vMerge w:val="continue"/>
            <w:vAlign w:val="center"/>
          </w:tcPr>
          <w:p>
            <w:pPr>
              <w:pStyle w:val="100"/>
              <w:widowControl w:val="0"/>
              <w:bidi w:val="0"/>
              <w:adjustRightInd w:val="0"/>
              <w:snapToGrid w:val="0"/>
            </w:pPr>
          </w:p>
        </w:tc>
        <w:tc>
          <w:tcPr>
            <w:tcW w:w="719" w:type="dxa"/>
            <w:vMerge w:val="continue"/>
            <w:vAlign w:val="center"/>
          </w:tcPr>
          <w:p>
            <w:pPr>
              <w:pStyle w:val="100"/>
              <w:widowControl w:val="0"/>
              <w:bidi w:val="0"/>
              <w:adjustRightInd w:val="0"/>
              <w:snapToGrid w:val="0"/>
            </w:pPr>
          </w:p>
        </w:tc>
        <w:tc>
          <w:tcPr>
            <w:tcW w:w="840" w:type="dxa"/>
            <w:vMerge w:val="continue"/>
            <w:vAlign w:val="center"/>
          </w:tcPr>
          <w:p>
            <w:pPr>
              <w:pStyle w:val="100"/>
              <w:widowControl w:val="0"/>
              <w:bidi w:val="0"/>
              <w:adjustRightInd w:val="0"/>
              <w:snapToGrid w:val="0"/>
            </w:pPr>
          </w:p>
        </w:tc>
        <w:tc>
          <w:tcPr>
            <w:tcW w:w="629" w:type="dxa"/>
            <w:vAlign w:val="center"/>
          </w:tcPr>
          <w:p>
            <w:pPr>
              <w:pStyle w:val="100"/>
              <w:widowControl w:val="0"/>
              <w:bidi w:val="0"/>
              <w:adjustRightInd w:val="0"/>
              <w:snapToGrid w:val="0"/>
            </w:pPr>
            <w:r>
              <w:rPr>
                <w:rFonts w:hint="eastAsia"/>
              </w:rPr>
              <w:t>核算方法</w:t>
            </w:r>
          </w:p>
        </w:tc>
        <w:tc>
          <w:tcPr>
            <w:tcW w:w="621" w:type="dxa"/>
            <w:vAlign w:val="center"/>
          </w:tcPr>
          <w:p>
            <w:pPr>
              <w:pStyle w:val="100"/>
              <w:widowControl w:val="0"/>
              <w:bidi w:val="0"/>
              <w:adjustRightInd w:val="0"/>
              <w:snapToGrid w:val="0"/>
            </w:pPr>
            <w:r>
              <w:t>浓度mg/L</w:t>
            </w:r>
          </w:p>
        </w:tc>
        <w:tc>
          <w:tcPr>
            <w:tcW w:w="831" w:type="dxa"/>
            <w:vAlign w:val="center"/>
          </w:tcPr>
          <w:p>
            <w:pPr>
              <w:pStyle w:val="100"/>
              <w:widowControl w:val="0"/>
              <w:bidi w:val="0"/>
              <w:adjustRightInd w:val="0"/>
              <w:snapToGrid w:val="0"/>
            </w:pPr>
            <w:r>
              <w:t>产生量t/a</w:t>
            </w:r>
          </w:p>
        </w:tc>
        <w:tc>
          <w:tcPr>
            <w:tcW w:w="586" w:type="dxa"/>
            <w:vMerge w:val="continue"/>
            <w:vAlign w:val="center"/>
          </w:tcPr>
          <w:p>
            <w:pPr>
              <w:pStyle w:val="100"/>
              <w:widowControl w:val="0"/>
              <w:bidi w:val="0"/>
              <w:adjustRightInd w:val="0"/>
              <w:snapToGrid w:val="0"/>
            </w:pPr>
          </w:p>
        </w:tc>
        <w:tc>
          <w:tcPr>
            <w:tcW w:w="579" w:type="dxa"/>
            <w:vAlign w:val="center"/>
          </w:tcPr>
          <w:p>
            <w:pPr>
              <w:pStyle w:val="100"/>
              <w:widowControl w:val="0"/>
              <w:bidi w:val="0"/>
              <w:adjustRightInd w:val="0"/>
              <w:snapToGrid w:val="0"/>
            </w:pPr>
            <w:r>
              <w:rPr>
                <w:rFonts w:hint="eastAsia"/>
              </w:rPr>
              <w:t>核算方法</w:t>
            </w:r>
          </w:p>
        </w:tc>
        <w:tc>
          <w:tcPr>
            <w:tcW w:w="789" w:type="dxa"/>
            <w:vAlign w:val="center"/>
          </w:tcPr>
          <w:p>
            <w:pPr>
              <w:pStyle w:val="100"/>
              <w:widowControl w:val="0"/>
              <w:bidi w:val="0"/>
              <w:adjustRightInd w:val="0"/>
              <w:snapToGrid w:val="0"/>
            </w:pPr>
            <w:r>
              <w:t>浓度mg/L</w:t>
            </w:r>
          </w:p>
        </w:tc>
        <w:tc>
          <w:tcPr>
            <w:tcW w:w="873" w:type="dxa"/>
            <w:vAlign w:val="center"/>
          </w:tcPr>
          <w:p>
            <w:pPr>
              <w:pStyle w:val="100"/>
              <w:widowControl w:val="0"/>
              <w:bidi w:val="0"/>
              <w:adjustRightInd w:val="0"/>
              <w:snapToGrid w:val="0"/>
            </w:pPr>
            <w:r>
              <w:t>排放量t/a</w:t>
            </w:r>
          </w:p>
        </w:tc>
        <w:tc>
          <w:tcPr>
            <w:tcW w:w="679" w:type="dxa"/>
            <w:vMerge w:val="continue"/>
            <w:vAlign w:val="center"/>
          </w:tcPr>
          <w:p>
            <w:pPr>
              <w:pStyle w:val="100"/>
              <w:widowControl w:val="0"/>
              <w:bidi w:val="0"/>
              <w:adjustRightInd w:val="0"/>
              <w:snapToGrid w:val="0"/>
            </w:pPr>
          </w:p>
        </w:tc>
        <w:tc>
          <w:tcPr>
            <w:tcW w:w="643" w:type="dxa"/>
            <w:vMerge w:val="continue"/>
            <w:vAlign w:val="center"/>
          </w:tcPr>
          <w:p>
            <w:pPr>
              <w:pStyle w:val="100"/>
              <w:widowControl w:val="0"/>
              <w:bidi w:val="0"/>
              <w:adjustRightInd w:val="0"/>
              <w:snapToGrid w:val="0"/>
            </w:pPr>
          </w:p>
        </w:tc>
        <w:tc>
          <w:tcPr>
            <w:tcW w:w="8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584" w:type="dxa"/>
            <w:vMerge w:val="restart"/>
            <w:vAlign w:val="center"/>
          </w:tcPr>
          <w:p>
            <w:pPr>
              <w:pStyle w:val="100"/>
              <w:widowControl w:val="0"/>
              <w:bidi w:val="0"/>
              <w:adjustRightInd w:val="0"/>
              <w:snapToGrid w:val="0"/>
            </w:pPr>
            <w:r>
              <w:t>生活污水</w:t>
            </w:r>
          </w:p>
        </w:tc>
        <w:tc>
          <w:tcPr>
            <w:tcW w:w="719" w:type="dxa"/>
            <w:vMerge w:val="restart"/>
            <w:vAlign w:val="center"/>
          </w:tcPr>
          <w:p>
            <w:pPr>
              <w:pStyle w:val="100"/>
              <w:widowControl w:val="0"/>
              <w:bidi w:val="0"/>
              <w:adjustRightInd w:val="0"/>
              <w:snapToGrid w:val="0"/>
            </w:pPr>
            <w:r>
              <w:rPr>
                <w:rFonts w:hint="eastAsia"/>
              </w:rPr>
              <w:t>856.8</w:t>
            </w:r>
          </w:p>
        </w:tc>
        <w:tc>
          <w:tcPr>
            <w:tcW w:w="840" w:type="dxa"/>
            <w:vAlign w:val="center"/>
          </w:tcPr>
          <w:p>
            <w:pPr>
              <w:pStyle w:val="100"/>
              <w:widowControl w:val="0"/>
              <w:bidi w:val="0"/>
              <w:adjustRightInd w:val="0"/>
              <w:snapToGrid w:val="0"/>
            </w:pPr>
            <w:r>
              <w:t>COD</w:t>
            </w:r>
          </w:p>
        </w:tc>
        <w:tc>
          <w:tcPr>
            <w:tcW w:w="629" w:type="dxa"/>
            <w:vMerge w:val="restart"/>
            <w:vAlign w:val="center"/>
          </w:tcPr>
          <w:p>
            <w:pPr>
              <w:pStyle w:val="100"/>
              <w:widowControl w:val="0"/>
              <w:bidi w:val="0"/>
              <w:adjustRightInd w:val="0"/>
              <w:snapToGrid w:val="0"/>
            </w:pPr>
            <w:r>
              <w:rPr>
                <w:rFonts w:hint="eastAsia"/>
              </w:rPr>
              <w:t>类比法</w:t>
            </w:r>
          </w:p>
        </w:tc>
        <w:tc>
          <w:tcPr>
            <w:tcW w:w="621" w:type="dxa"/>
            <w:vAlign w:val="center"/>
          </w:tcPr>
          <w:p>
            <w:pPr>
              <w:pStyle w:val="100"/>
              <w:widowControl w:val="0"/>
              <w:bidi w:val="0"/>
              <w:adjustRightInd w:val="0"/>
              <w:snapToGrid w:val="0"/>
            </w:pPr>
            <w:r>
              <w:t>350</w:t>
            </w:r>
          </w:p>
        </w:tc>
        <w:tc>
          <w:tcPr>
            <w:tcW w:w="831" w:type="dxa"/>
            <w:vAlign w:val="center"/>
          </w:tcPr>
          <w:p>
            <w:pPr>
              <w:pStyle w:val="100"/>
              <w:widowControl w:val="0"/>
              <w:bidi w:val="0"/>
              <w:adjustRightInd w:val="0"/>
              <w:snapToGrid w:val="0"/>
            </w:pPr>
            <w:r>
              <w:rPr>
                <w:rFonts w:hint="eastAsia"/>
              </w:rPr>
              <w:t>0.3</w:t>
            </w:r>
          </w:p>
        </w:tc>
        <w:tc>
          <w:tcPr>
            <w:tcW w:w="586" w:type="dxa"/>
            <w:vMerge w:val="restart"/>
            <w:vAlign w:val="center"/>
          </w:tcPr>
          <w:p>
            <w:pPr>
              <w:pStyle w:val="100"/>
              <w:widowControl w:val="0"/>
              <w:bidi w:val="0"/>
              <w:adjustRightInd w:val="0"/>
              <w:snapToGrid w:val="0"/>
            </w:pPr>
            <w:r>
              <w:t>接管至</w:t>
            </w:r>
            <w:r>
              <w:rPr>
                <w:rFonts w:hint="eastAsia"/>
              </w:rPr>
              <w:t>吴江经济技术开发区运东</w:t>
            </w:r>
            <w:r>
              <w:t>污水处理厂</w:t>
            </w:r>
          </w:p>
        </w:tc>
        <w:tc>
          <w:tcPr>
            <w:tcW w:w="579" w:type="dxa"/>
            <w:vMerge w:val="restart"/>
            <w:vAlign w:val="center"/>
          </w:tcPr>
          <w:p>
            <w:pPr>
              <w:pStyle w:val="100"/>
              <w:widowControl w:val="0"/>
              <w:bidi w:val="0"/>
              <w:adjustRightInd w:val="0"/>
              <w:snapToGrid w:val="0"/>
            </w:pPr>
            <w:r>
              <w:rPr>
                <w:rFonts w:hint="eastAsia"/>
              </w:rPr>
              <w:t>物料衡算法</w:t>
            </w:r>
          </w:p>
        </w:tc>
        <w:tc>
          <w:tcPr>
            <w:tcW w:w="789" w:type="dxa"/>
            <w:vAlign w:val="center"/>
          </w:tcPr>
          <w:p>
            <w:pPr>
              <w:pStyle w:val="100"/>
              <w:widowControl w:val="0"/>
              <w:bidi w:val="0"/>
              <w:adjustRightInd w:val="0"/>
              <w:snapToGrid w:val="0"/>
            </w:pPr>
            <w:r>
              <w:t>50</w:t>
            </w:r>
          </w:p>
        </w:tc>
        <w:tc>
          <w:tcPr>
            <w:tcW w:w="873" w:type="dxa"/>
            <w:vAlign w:val="center"/>
          </w:tcPr>
          <w:p>
            <w:pPr>
              <w:pStyle w:val="100"/>
              <w:widowControl w:val="0"/>
              <w:bidi w:val="0"/>
              <w:adjustRightInd w:val="0"/>
              <w:snapToGrid w:val="0"/>
            </w:pPr>
            <w:r>
              <w:t>0.</w:t>
            </w:r>
            <w:r>
              <w:rPr>
                <w:rFonts w:hint="eastAsia"/>
              </w:rPr>
              <w:t>043</w:t>
            </w:r>
          </w:p>
        </w:tc>
        <w:tc>
          <w:tcPr>
            <w:tcW w:w="679" w:type="dxa"/>
            <w:vAlign w:val="center"/>
          </w:tcPr>
          <w:p>
            <w:pPr>
              <w:pStyle w:val="100"/>
              <w:widowControl w:val="0"/>
              <w:bidi w:val="0"/>
              <w:adjustRightInd w:val="0"/>
              <w:snapToGrid w:val="0"/>
            </w:pPr>
            <w:r>
              <w:t>50</w:t>
            </w:r>
          </w:p>
        </w:tc>
        <w:tc>
          <w:tcPr>
            <w:tcW w:w="643" w:type="dxa"/>
            <w:vMerge w:val="restart"/>
            <w:vAlign w:val="center"/>
          </w:tcPr>
          <w:p>
            <w:pPr>
              <w:pStyle w:val="100"/>
              <w:widowControl w:val="0"/>
              <w:bidi w:val="0"/>
              <w:adjustRightInd w:val="0"/>
              <w:snapToGrid w:val="0"/>
            </w:pPr>
            <w:r>
              <w:rPr>
                <w:rFonts w:hint="eastAsia"/>
              </w:rPr>
              <w:t>吴江经济技术开发区运东</w:t>
            </w:r>
            <w:r>
              <w:t>污水处理厂处理后排入</w:t>
            </w:r>
            <w:r>
              <w:rPr>
                <w:rFonts w:hint="eastAsia"/>
              </w:rPr>
              <w:t>吴淞江</w:t>
            </w:r>
          </w:p>
        </w:tc>
        <w:tc>
          <w:tcPr>
            <w:tcW w:w="879" w:type="dxa"/>
            <w:vMerge w:val="restart"/>
            <w:vAlign w:val="center"/>
          </w:tcPr>
          <w:p>
            <w:pPr>
              <w:pStyle w:val="100"/>
              <w:widowControl w:val="0"/>
              <w:bidi w:val="0"/>
              <w:adjustRightInd w:val="0"/>
              <w:snapToGrid w:val="0"/>
            </w:pPr>
            <w:r>
              <w:rPr>
                <w:rFonts w:hint="eastAsia"/>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584" w:type="dxa"/>
            <w:vMerge w:val="continue"/>
            <w:vAlign w:val="center"/>
          </w:tcPr>
          <w:p>
            <w:pPr>
              <w:pStyle w:val="100"/>
              <w:widowControl w:val="0"/>
              <w:bidi w:val="0"/>
              <w:adjustRightInd w:val="0"/>
              <w:snapToGrid w:val="0"/>
            </w:pPr>
          </w:p>
        </w:tc>
        <w:tc>
          <w:tcPr>
            <w:tcW w:w="719" w:type="dxa"/>
            <w:vMerge w:val="continue"/>
            <w:vAlign w:val="center"/>
          </w:tcPr>
          <w:p>
            <w:pPr>
              <w:pStyle w:val="100"/>
              <w:widowControl w:val="0"/>
              <w:bidi w:val="0"/>
              <w:adjustRightInd w:val="0"/>
              <w:snapToGrid w:val="0"/>
            </w:pPr>
          </w:p>
        </w:tc>
        <w:tc>
          <w:tcPr>
            <w:tcW w:w="840" w:type="dxa"/>
            <w:vAlign w:val="center"/>
          </w:tcPr>
          <w:p>
            <w:pPr>
              <w:pStyle w:val="100"/>
              <w:widowControl w:val="0"/>
              <w:bidi w:val="0"/>
              <w:adjustRightInd w:val="0"/>
              <w:snapToGrid w:val="0"/>
            </w:pPr>
            <w:r>
              <w:t>SS</w:t>
            </w:r>
          </w:p>
        </w:tc>
        <w:tc>
          <w:tcPr>
            <w:tcW w:w="629" w:type="dxa"/>
            <w:vMerge w:val="continue"/>
            <w:vAlign w:val="center"/>
          </w:tcPr>
          <w:p>
            <w:pPr>
              <w:pStyle w:val="100"/>
              <w:widowControl w:val="0"/>
              <w:bidi w:val="0"/>
              <w:adjustRightInd w:val="0"/>
              <w:snapToGrid w:val="0"/>
            </w:pPr>
          </w:p>
        </w:tc>
        <w:tc>
          <w:tcPr>
            <w:tcW w:w="621" w:type="dxa"/>
            <w:vAlign w:val="center"/>
          </w:tcPr>
          <w:p>
            <w:pPr>
              <w:pStyle w:val="100"/>
              <w:widowControl w:val="0"/>
              <w:bidi w:val="0"/>
              <w:adjustRightInd w:val="0"/>
              <w:snapToGrid w:val="0"/>
            </w:pPr>
            <w:r>
              <w:t>220</w:t>
            </w:r>
          </w:p>
        </w:tc>
        <w:tc>
          <w:tcPr>
            <w:tcW w:w="831" w:type="dxa"/>
            <w:vAlign w:val="center"/>
          </w:tcPr>
          <w:p>
            <w:pPr>
              <w:pStyle w:val="100"/>
              <w:widowControl w:val="0"/>
              <w:bidi w:val="0"/>
              <w:adjustRightInd w:val="0"/>
              <w:snapToGrid w:val="0"/>
            </w:pPr>
            <w:r>
              <w:rPr>
                <w:rFonts w:hint="eastAsia"/>
              </w:rPr>
              <w:t>0.19</w:t>
            </w:r>
          </w:p>
        </w:tc>
        <w:tc>
          <w:tcPr>
            <w:tcW w:w="586" w:type="dxa"/>
            <w:vMerge w:val="continue"/>
            <w:vAlign w:val="center"/>
          </w:tcPr>
          <w:p>
            <w:pPr>
              <w:pStyle w:val="100"/>
              <w:widowControl w:val="0"/>
              <w:bidi w:val="0"/>
              <w:adjustRightInd w:val="0"/>
              <w:snapToGrid w:val="0"/>
            </w:pPr>
          </w:p>
        </w:tc>
        <w:tc>
          <w:tcPr>
            <w:tcW w:w="579" w:type="dxa"/>
            <w:vMerge w:val="continue"/>
            <w:vAlign w:val="center"/>
          </w:tcPr>
          <w:p>
            <w:pPr>
              <w:pStyle w:val="100"/>
              <w:widowControl w:val="0"/>
              <w:bidi w:val="0"/>
              <w:adjustRightInd w:val="0"/>
              <w:snapToGrid w:val="0"/>
            </w:pPr>
          </w:p>
        </w:tc>
        <w:tc>
          <w:tcPr>
            <w:tcW w:w="789" w:type="dxa"/>
            <w:vAlign w:val="center"/>
          </w:tcPr>
          <w:p>
            <w:pPr>
              <w:pStyle w:val="100"/>
              <w:widowControl w:val="0"/>
              <w:bidi w:val="0"/>
              <w:adjustRightInd w:val="0"/>
              <w:snapToGrid w:val="0"/>
            </w:pPr>
            <w:r>
              <w:t>10</w:t>
            </w:r>
          </w:p>
        </w:tc>
        <w:tc>
          <w:tcPr>
            <w:tcW w:w="873" w:type="dxa"/>
            <w:vAlign w:val="center"/>
          </w:tcPr>
          <w:p>
            <w:pPr>
              <w:pStyle w:val="100"/>
              <w:widowControl w:val="0"/>
              <w:bidi w:val="0"/>
              <w:adjustRightInd w:val="0"/>
              <w:snapToGrid w:val="0"/>
            </w:pPr>
            <w:r>
              <w:t>0.0</w:t>
            </w:r>
            <w:r>
              <w:rPr>
                <w:rFonts w:hint="eastAsia"/>
              </w:rPr>
              <w:t>09</w:t>
            </w:r>
          </w:p>
        </w:tc>
        <w:tc>
          <w:tcPr>
            <w:tcW w:w="679" w:type="dxa"/>
            <w:vAlign w:val="center"/>
          </w:tcPr>
          <w:p>
            <w:pPr>
              <w:pStyle w:val="100"/>
              <w:widowControl w:val="0"/>
              <w:bidi w:val="0"/>
              <w:adjustRightInd w:val="0"/>
              <w:snapToGrid w:val="0"/>
            </w:pPr>
            <w:r>
              <w:t>10</w:t>
            </w:r>
          </w:p>
        </w:tc>
        <w:tc>
          <w:tcPr>
            <w:tcW w:w="643" w:type="dxa"/>
            <w:vMerge w:val="continue"/>
            <w:vAlign w:val="center"/>
          </w:tcPr>
          <w:p>
            <w:pPr>
              <w:pStyle w:val="100"/>
              <w:widowControl w:val="0"/>
              <w:bidi w:val="0"/>
              <w:adjustRightInd w:val="0"/>
              <w:snapToGrid w:val="0"/>
            </w:pPr>
          </w:p>
        </w:tc>
        <w:tc>
          <w:tcPr>
            <w:tcW w:w="8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584" w:type="dxa"/>
            <w:vMerge w:val="continue"/>
            <w:vAlign w:val="center"/>
          </w:tcPr>
          <w:p>
            <w:pPr>
              <w:pStyle w:val="100"/>
              <w:widowControl w:val="0"/>
              <w:bidi w:val="0"/>
              <w:adjustRightInd w:val="0"/>
              <w:snapToGrid w:val="0"/>
            </w:pPr>
          </w:p>
        </w:tc>
        <w:tc>
          <w:tcPr>
            <w:tcW w:w="719" w:type="dxa"/>
            <w:vMerge w:val="continue"/>
            <w:vAlign w:val="center"/>
          </w:tcPr>
          <w:p>
            <w:pPr>
              <w:pStyle w:val="100"/>
              <w:widowControl w:val="0"/>
              <w:bidi w:val="0"/>
              <w:adjustRightInd w:val="0"/>
              <w:snapToGrid w:val="0"/>
            </w:pPr>
          </w:p>
        </w:tc>
        <w:tc>
          <w:tcPr>
            <w:tcW w:w="840" w:type="dxa"/>
            <w:vAlign w:val="center"/>
          </w:tcPr>
          <w:p>
            <w:pPr>
              <w:pStyle w:val="100"/>
              <w:widowControl w:val="0"/>
              <w:bidi w:val="0"/>
              <w:adjustRightInd w:val="0"/>
              <w:snapToGrid w:val="0"/>
            </w:pPr>
            <w:r>
              <w:t>氨氮</w:t>
            </w:r>
          </w:p>
        </w:tc>
        <w:tc>
          <w:tcPr>
            <w:tcW w:w="629" w:type="dxa"/>
            <w:vMerge w:val="continue"/>
            <w:vAlign w:val="center"/>
          </w:tcPr>
          <w:p>
            <w:pPr>
              <w:pStyle w:val="100"/>
              <w:widowControl w:val="0"/>
              <w:bidi w:val="0"/>
              <w:adjustRightInd w:val="0"/>
              <w:snapToGrid w:val="0"/>
            </w:pPr>
          </w:p>
        </w:tc>
        <w:tc>
          <w:tcPr>
            <w:tcW w:w="621" w:type="dxa"/>
            <w:vAlign w:val="center"/>
          </w:tcPr>
          <w:p>
            <w:pPr>
              <w:pStyle w:val="100"/>
              <w:widowControl w:val="0"/>
              <w:bidi w:val="0"/>
              <w:adjustRightInd w:val="0"/>
              <w:snapToGrid w:val="0"/>
            </w:pPr>
            <w:r>
              <w:t>30</w:t>
            </w:r>
          </w:p>
        </w:tc>
        <w:tc>
          <w:tcPr>
            <w:tcW w:w="831" w:type="dxa"/>
            <w:vAlign w:val="center"/>
          </w:tcPr>
          <w:p>
            <w:pPr>
              <w:pStyle w:val="100"/>
              <w:widowControl w:val="0"/>
              <w:bidi w:val="0"/>
              <w:adjustRightInd w:val="0"/>
              <w:snapToGrid w:val="0"/>
            </w:pPr>
            <w:r>
              <w:t>0.</w:t>
            </w:r>
            <w:r>
              <w:rPr>
                <w:rFonts w:hint="eastAsia"/>
              </w:rPr>
              <w:t>026</w:t>
            </w:r>
          </w:p>
        </w:tc>
        <w:tc>
          <w:tcPr>
            <w:tcW w:w="586" w:type="dxa"/>
            <w:vMerge w:val="continue"/>
            <w:vAlign w:val="center"/>
          </w:tcPr>
          <w:p>
            <w:pPr>
              <w:pStyle w:val="100"/>
              <w:widowControl w:val="0"/>
              <w:bidi w:val="0"/>
              <w:adjustRightInd w:val="0"/>
              <w:snapToGrid w:val="0"/>
            </w:pPr>
          </w:p>
        </w:tc>
        <w:tc>
          <w:tcPr>
            <w:tcW w:w="579" w:type="dxa"/>
            <w:vMerge w:val="continue"/>
            <w:vAlign w:val="center"/>
          </w:tcPr>
          <w:p>
            <w:pPr>
              <w:pStyle w:val="100"/>
              <w:widowControl w:val="0"/>
              <w:bidi w:val="0"/>
              <w:adjustRightInd w:val="0"/>
              <w:snapToGrid w:val="0"/>
            </w:pPr>
          </w:p>
        </w:tc>
        <w:tc>
          <w:tcPr>
            <w:tcW w:w="789" w:type="dxa"/>
            <w:vAlign w:val="center"/>
          </w:tcPr>
          <w:p>
            <w:pPr>
              <w:pStyle w:val="100"/>
              <w:widowControl w:val="0"/>
              <w:bidi w:val="0"/>
              <w:adjustRightInd w:val="0"/>
              <w:snapToGrid w:val="0"/>
            </w:pPr>
            <w:r>
              <w:t>5</w:t>
            </w:r>
          </w:p>
        </w:tc>
        <w:tc>
          <w:tcPr>
            <w:tcW w:w="873" w:type="dxa"/>
            <w:vAlign w:val="center"/>
          </w:tcPr>
          <w:p>
            <w:pPr>
              <w:pStyle w:val="100"/>
              <w:widowControl w:val="0"/>
              <w:bidi w:val="0"/>
              <w:adjustRightInd w:val="0"/>
              <w:snapToGrid w:val="0"/>
            </w:pPr>
            <w:r>
              <w:t>0.0</w:t>
            </w:r>
            <w:r>
              <w:rPr>
                <w:rFonts w:hint="eastAsia"/>
              </w:rPr>
              <w:t>04</w:t>
            </w:r>
          </w:p>
        </w:tc>
        <w:tc>
          <w:tcPr>
            <w:tcW w:w="679" w:type="dxa"/>
            <w:vAlign w:val="center"/>
          </w:tcPr>
          <w:p>
            <w:pPr>
              <w:pStyle w:val="100"/>
              <w:widowControl w:val="0"/>
              <w:bidi w:val="0"/>
              <w:adjustRightInd w:val="0"/>
              <w:snapToGrid w:val="0"/>
            </w:pPr>
            <w:r>
              <w:t>5</w:t>
            </w:r>
          </w:p>
        </w:tc>
        <w:tc>
          <w:tcPr>
            <w:tcW w:w="643" w:type="dxa"/>
            <w:vMerge w:val="continue"/>
            <w:vAlign w:val="center"/>
          </w:tcPr>
          <w:p>
            <w:pPr>
              <w:pStyle w:val="100"/>
              <w:widowControl w:val="0"/>
              <w:bidi w:val="0"/>
              <w:adjustRightInd w:val="0"/>
              <w:snapToGrid w:val="0"/>
            </w:pPr>
          </w:p>
        </w:tc>
        <w:tc>
          <w:tcPr>
            <w:tcW w:w="8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584" w:type="dxa"/>
            <w:vMerge w:val="continue"/>
            <w:vAlign w:val="center"/>
          </w:tcPr>
          <w:p>
            <w:pPr>
              <w:pStyle w:val="100"/>
              <w:widowControl w:val="0"/>
              <w:bidi w:val="0"/>
              <w:adjustRightInd w:val="0"/>
              <w:snapToGrid w:val="0"/>
            </w:pPr>
          </w:p>
        </w:tc>
        <w:tc>
          <w:tcPr>
            <w:tcW w:w="719" w:type="dxa"/>
            <w:vMerge w:val="continue"/>
            <w:vAlign w:val="center"/>
          </w:tcPr>
          <w:p>
            <w:pPr>
              <w:pStyle w:val="100"/>
              <w:widowControl w:val="0"/>
              <w:bidi w:val="0"/>
              <w:adjustRightInd w:val="0"/>
              <w:snapToGrid w:val="0"/>
            </w:pPr>
          </w:p>
        </w:tc>
        <w:tc>
          <w:tcPr>
            <w:tcW w:w="840" w:type="dxa"/>
            <w:vAlign w:val="center"/>
          </w:tcPr>
          <w:p>
            <w:pPr>
              <w:pStyle w:val="100"/>
              <w:widowControl w:val="0"/>
              <w:bidi w:val="0"/>
              <w:adjustRightInd w:val="0"/>
              <w:snapToGrid w:val="0"/>
            </w:pPr>
            <w:r>
              <w:t>总氮</w:t>
            </w:r>
          </w:p>
        </w:tc>
        <w:tc>
          <w:tcPr>
            <w:tcW w:w="629" w:type="dxa"/>
            <w:vMerge w:val="continue"/>
            <w:vAlign w:val="center"/>
          </w:tcPr>
          <w:p>
            <w:pPr>
              <w:pStyle w:val="100"/>
              <w:widowControl w:val="0"/>
              <w:bidi w:val="0"/>
              <w:adjustRightInd w:val="0"/>
              <w:snapToGrid w:val="0"/>
            </w:pPr>
          </w:p>
        </w:tc>
        <w:tc>
          <w:tcPr>
            <w:tcW w:w="621" w:type="dxa"/>
            <w:vAlign w:val="center"/>
          </w:tcPr>
          <w:p>
            <w:pPr>
              <w:pStyle w:val="100"/>
              <w:widowControl w:val="0"/>
              <w:bidi w:val="0"/>
              <w:adjustRightInd w:val="0"/>
              <w:snapToGrid w:val="0"/>
            </w:pPr>
            <w:r>
              <w:t>40</w:t>
            </w:r>
          </w:p>
        </w:tc>
        <w:tc>
          <w:tcPr>
            <w:tcW w:w="831" w:type="dxa"/>
            <w:vAlign w:val="center"/>
          </w:tcPr>
          <w:p>
            <w:pPr>
              <w:pStyle w:val="100"/>
              <w:widowControl w:val="0"/>
              <w:bidi w:val="0"/>
              <w:adjustRightInd w:val="0"/>
              <w:snapToGrid w:val="0"/>
            </w:pPr>
            <w:r>
              <w:t>0.</w:t>
            </w:r>
            <w:r>
              <w:rPr>
                <w:rFonts w:hint="eastAsia"/>
              </w:rPr>
              <w:t>034</w:t>
            </w:r>
          </w:p>
        </w:tc>
        <w:tc>
          <w:tcPr>
            <w:tcW w:w="586" w:type="dxa"/>
            <w:vMerge w:val="continue"/>
            <w:vAlign w:val="center"/>
          </w:tcPr>
          <w:p>
            <w:pPr>
              <w:pStyle w:val="100"/>
              <w:widowControl w:val="0"/>
              <w:bidi w:val="0"/>
              <w:adjustRightInd w:val="0"/>
              <w:snapToGrid w:val="0"/>
            </w:pPr>
          </w:p>
        </w:tc>
        <w:tc>
          <w:tcPr>
            <w:tcW w:w="579" w:type="dxa"/>
            <w:vMerge w:val="continue"/>
            <w:vAlign w:val="center"/>
          </w:tcPr>
          <w:p>
            <w:pPr>
              <w:pStyle w:val="100"/>
              <w:widowControl w:val="0"/>
              <w:bidi w:val="0"/>
              <w:adjustRightInd w:val="0"/>
              <w:snapToGrid w:val="0"/>
            </w:pPr>
          </w:p>
        </w:tc>
        <w:tc>
          <w:tcPr>
            <w:tcW w:w="789" w:type="dxa"/>
            <w:vAlign w:val="center"/>
          </w:tcPr>
          <w:p>
            <w:pPr>
              <w:pStyle w:val="100"/>
              <w:widowControl w:val="0"/>
              <w:bidi w:val="0"/>
              <w:adjustRightInd w:val="0"/>
              <w:snapToGrid w:val="0"/>
            </w:pPr>
            <w:r>
              <w:t>15</w:t>
            </w:r>
          </w:p>
        </w:tc>
        <w:tc>
          <w:tcPr>
            <w:tcW w:w="873" w:type="dxa"/>
            <w:vAlign w:val="center"/>
          </w:tcPr>
          <w:p>
            <w:pPr>
              <w:pStyle w:val="100"/>
              <w:widowControl w:val="0"/>
              <w:bidi w:val="0"/>
              <w:adjustRightInd w:val="0"/>
              <w:snapToGrid w:val="0"/>
            </w:pPr>
            <w:r>
              <w:t>0.0</w:t>
            </w:r>
            <w:r>
              <w:rPr>
                <w:rFonts w:hint="eastAsia"/>
              </w:rPr>
              <w:t>13</w:t>
            </w:r>
          </w:p>
        </w:tc>
        <w:tc>
          <w:tcPr>
            <w:tcW w:w="679" w:type="dxa"/>
            <w:vAlign w:val="center"/>
          </w:tcPr>
          <w:p>
            <w:pPr>
              <w:pStyle w:val="100"/>
              <w:widowControl w:val="0"/>
              <w:bidi w:val="0"/>
              <w:adjustRightInd w:val="0"/>
              <w:snapToGrid w:val="0"/>
            </w:pPr>
            <w:r>
              <w:t>15</w:t>
            </w:r>
          </w:p>
        </w:tc>
        <w:tc>
          <w:tcPr>
            <w:tcW w:w="643" w:type="dxa"/>
            <w:vMerge w:val="continue"/>
            <w:vAlign w:val="center"/>
          </w:tcPr>
          <w:p>
            <w:pPr>
              <w:pStyle w:val="100"/>
              <w:widowControl w:val="0"/>
              <w:bidi w:val="0"/>
              <w:adjustRightInd w:val="0"/>
              <w:snapToGrid w:val="0"/>
            </w:pPr>
          </w:p>
        </w:tc>
        <w:tc>
          <w:tcPr>
            <w:tcW w:w="8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584" w:type="dxa"/>
            <w:vMerge w:val="continue"/>
            <w:vAlign w:val="center"/>
          </w:tcPr>
          <w:p>
            <w:pPr>
              <w:pStyle w:val="100"/>
              <w:widowControl w:val="0"/>
              <w:bidi w:val="0"/>
              <w:adjustRightInd w:val="0"/>
              <w:snapToGrid w:val="0"/>
            </w:pPr>
          </w:p>
        </w:tc>
        <w:tc>
          <w:tcPr>
            <w:tcW w:w="719" w:type="dxa"/>
            <w:vMerge w:val="continue"/>
            <w:vAlign w:val="center"/>
          </w:tcPr>
          <w:p>
            <w:pPr>
              <w:pStyle w:val="100"/>
              <w:widowControl w:val="0"/>
              <w:bidi w:val="0"/>
              <w:adjustRightInd w:val="0"/>
              <w:snapToGrid w:val="0"/>
            </w:pPr>
          </w:p>
        </w:tc>
        <w:tc>
          <w:tcPr>
            <w:tcW w:w="840" w:type="dxa"/>
            <w:vAlign w:val="center"/>
          </w:tcPr>
          <w:p>
            <w:pPr>
              <w:pStyle w:val="100"/>
              <w:widowControl w:val="0"/>
              <w:bidi w:val="0"/>
              <w:adjustRightInd w:val="0"/>
              <w:snapToGrid w:val="0"/>
            </w:pPr>
            <w:r>
              <w:t>总磷</w:t>
            </w:r>
          </w:p>
        </w:tc>
        <w:tc>
          <w:tcPr>
            <w:tcW w:w="629" w:type="dxa"/>
            <w:vMerge w:val="continue"/>
            <w:vAlign w:val="center"/>
          </w:tcPr>
          <w:p>
            <w:pPr>
              <w:pStyle w:val="100"/>
              <w:widowControl w:val="0"/>
              <w:bidi w:val="0"/>
              <w:adjustRightInd w:val="0"/>
              <w:snapToGrid w:val="0"/>
            </w:pPr>
          </w:p>
        </w:tc>
        <w:tc>
          <w:tcPr>
            <w:tcW w:w="621" w:type="dxa"/>
            <w:vAlign w:val="center"/>
          </w:tcPr>
          <w:p>
            <w:pPr>
              <w:pStyle w:val="100"/>
              <w:widowControl w:val="0"/>
              <w:bidi w:val="0"/>
              <w:adjustRightInd w:val="0"/>
              <w:snapToGrid w:val="0"/>
            </w:pPr>
            <w:r>
              <w:t>4</w:t>
            </w:r>
          </w:p>
        </w:tc>
        <w:tc>
          <w:tcPr>
            <w:tcW w:w="831" w:type="dxa"/>
            <w:vAlign w:val="center"/>
          </w:tcPr>
          <w:p>
            <w:pPr>
              <w:pStyle w:val="100"/>
              <w:widowControl w:val="0"/>
              <w:bidi w:val="0"/>
              <w:adjustRightInd w:val="0"/>
              <w:snapToGrid w:val="0"/>
            </w:pPr>
            <w:r>
              <w:t>0.0</w:t>
            </w:r>
            <w:r>
              <w:rPr>
                <w:rFonts w:hint="eastAsia"/>
              </w:rPr>
              <w:t>03</w:t>
            </w:r>
          </w:p>
        </w:tc>
        <w:tc>
          <w:tcPr>
            <w:tcW w:w="586" w:type="dxa"/>
            <w:vMerge w:val="continue"/>
            <w:vAlign w:val="center"/>
          </w:tcPr>
          <w:p>
            <w:pPr>
              <w:pStyle w:val="100"/>
              <w:widowControl w:val="0"/>
              <w:bidi w:val="0"/>
              <w:adjustRightInd w:val="0"/>
              <w:snapToGrid w:val="0"/>
            </w:pPr>
          </w:p>
        </w:tc>
        <w:tc>
          <w:tcPr>
            <w:tcW w:w="579" w:type="dxa"/>
            <w:vMerge w:val="continue"/>
            <w:vAlign w:val="center"/>
          </w:tcPr>
          <w:p>
            <w:pPr>
              <w:pStyle w:val="100"/>
              <w:widowControl w:val="0"/>
              <w:bidi w:val="0"/>
              <w:adjustRightInd w:val="0"/>
              <w:snapToGrid w:val="0"/>
            </w:pPr>
          </w:p>
        </w:tc>
        <w:tc>
          <w:tcPr>
            <w:tcW w:w="789" w:type="dxa"/>
            <w:vAlign w:val="center"/>
          </w:tcPr>
          <w:p>
            <w:pPr>
              <w:pStyle w:val="100"/>
              <w:widowControl w:val="0"/>
              <w:bidi w:val="0"/>
              <w:adjustRightInd w:val="0"/>
              <w:snapToGrid w:val="0"/>
            </w:pPr>
            <w:r>
              <w:t>0.5</w:t>
            </w:r>
          </w:p>
        </w:tc>
        <w:tc>
          <w:tcPr>
            <w:tcW w:w="873" w:type="dxa"/>
            <w:vAlign w:val="center"/>
          </w:tcPr>
          <w:p>
            <w:pPr>
              <w:pStyle w:val="100"/>
              <w:widowControl w:val="0"/>
              <w:bidi w:val="0"/>
              <w:adjustRightInd w:val="0"/>
              <w:snapToGrid w:val="0"/>
            </w:pPr>
            <w:r>
              <w:t>0.00</w:t>
            </w:r>
            <w:r>
              <w:rPr>
                <w:rFonts w:hint="eastAsia"/>
              </w:rPr>
              <w:t>04</w:t>
            </w:r>
          </w:p>
        </w:tc>
        <w:tc>
          <w:tcPr>
            <w:tcW w:w="679" w:type="dxa"/>
            <w:vAlign w:val="center"/>
          </w:tcPr>
          <w:p>
            <w:pPr>
              <w:pStyle w:val="100"/>
              <w:widowControl w:val="0"/>
              <w:bidi w:val="0"/>
              <w:adjustRightInd w:val="0"/>
              <w:snapToGrid w:val="0"/>
            </w:pPr>
            <w:r>
              <w:t>0.5</w:t>
            </w:r>
          </w:p>
        </w:tc>
        <w:tc>
          <w:tcPr>
            <w:tcW w:w="643" w:type="dxa"/>
            <w:vMerge w:val="continue"/>
            <w:vAlign w:val="center"/>
          </w:tcPr>
          <w:p>
            <w:pPr>
              <w:pStyle w:val="100"/>
              <w:widowControl w:val="0"/>
              <w:bidi w:val="0"/>
              <w:adjustRightInd w:val="0"/>
              <w:snapToGrid w:val="0"/>
            </w:pPr>
          </w:p>
        </w:tc>
        <w:tc>
          <w:tcPr>
            <w:tcW w:w="879" w:type="dxa"/>
            <w:vMerge w:val="continue"/>
            <w:vAlign w:val="center"/>
          </w:tcPr>
          <w:p>
            <w:pPr>
              <w:pStyle w:val="100"/>
              <w:widowControl w:val="0"/>
              <w:bidi w:val="0"/>
              <w:adjustRightInd w:val="0"/>
              <w:snapToGrid w:val="0"/>
            </w:pPr>
          </w:p>
        </w:tc>
      </w:tr>
    </w:tbl>
    <w:p>
      <w:pPr>
        <w:pStyle w:val="104"/>
      </w:pPr>
      <w:r>
        <w:t>噪声</w:t>
      </w:r>
    </w:p>
    <w:p>
      <w:pPr>
        <w:pStyle w:val="103"/>
        <w:bidi w:val="0"/>
      </w:pPr>
      <w:r>
        <w:rPr>
          <w:rFonts w:hint="eastAsia"/>
        </w:rPr>
        <w:t>主要为印刷机</w:t>
      </w:r>
      <w:r>
        <w:t>、</w:t>
      </w:r>
      <w:r>
        <w:rPr>
          <w:rFonts w:hint="eastAsia"/>
        </w:rPr>
        <w:t>空压机、</w:t>
      </w:r>
      <w:r>
        <w:rPr>
          <w:rFonts w:hint="eastAsia"/>
          <w:lang w:val="en-US" w:eastAsia="zh-CN"/>
        </w:rPr>
        <w:t>裁切机、</w:t>
      </w:r>
      <w:r>
        <w:rPr>
          <w:rFonts w:hint="eastAsia"/>
        </w:rPr>
        <w:t>冲床、打孔机、</w:t>
      </w:r>
      <w:r>
        <w:t>废气处理设施</w:t>
      </w:r>
      <w:r>
        <w:rPr>
          <w:rFonts w:hint="eastAsia"/>
        </w:rPr>
        <w:t>等运行时产生的噪声。采用低噪声设备、减振隔声、合理布局等措施。</w:t>
      </w:r>
      <w:r>
        <w:t>根据类比调查，设备噪声在</w:t>
      </w:r>
      <w:r>
        <w:rPr>
          <w:rFonts w:hint="eastAsia"/>
        </w:rPr>
        <w:t>70</w:t>
      </w:r>
      <w:r>
        <w:t>～</w:t>
      </w:r>
      <w:r>
        <w:rPr>
          <w:rFonts w:hint="eastAsia"/>
        </w:rPr>
        <w:t>85</w:t>
      </w:r>
      <w:r>
        <w:t>dB（A）之间。主要噪声源强及治理措施见表5-</w:t>
      </w:r>
      <w:r>
        <w:rPr>
          <w:rFonts w:hint="eastAsia"/>
          <w:lang w:val="en-US" w:eastAsia="zh-CN"/>
        </w:rPr>
        <w:t>6</w:t>
      </w:r>
      <w:r>
        <w:t>。</w:t>
      </w:r>
    </w:p>
    <w:p>
      <w:pPr>
        <w:pStyle w:val="273"/>
        <w:bidi w:val="0"/>
        <w:rPr>
          <w:rFonts w:hint="eastAsia"/>
        </w:rPr>
      </w:pPr>
      <w:r>
        <w:rPr>
          <w:rFonts w:hint="eastAsia"/>
        </w:rPr>
        <w:t>表5-</w:t>
      </w:r>
      <w:r>
        <w:rPr>
          <w:rFonts w:hint="eastAsia"/>
          <w:lang w:val="en-US" w:eastAsia="zh-CN"/>
        </w:rPr>
        <w:t>6</w:t>
      </w:r>
      <w:r>
        <w:rPr>
          <w:rFonts w:hint="eastAsia"/>
        </w:rPr>
        <w:t xml:space="preserve">  本项目噪声污染源源强及相关参数一览表</w:t>
      </w:r>
    </w:p>
    <w:tbl>
      <w:tblPr>
        <w:tblStyle w:val="260"/>
        <w:tblW w:w="92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867"/>
        <w:gridCol w:w="867"/>
        <w:gridCol w:w="1007"/>
        <w:gridCol w:w="667"/>
        <w:gridCol w:w="926"/>
        <w:gridCol w:w="1089"/>
        <w:gridCol w:w="1136"/>
        <w:gridCol w:w="589"/>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200" w:type="dxa"/>
            <w:vMerge w:val="restart"/>
            <w:vAlign w:val="center"/>
          </w:tcPr>
          <w:p>
            <w:pPr>
              <w:pStyle w:val="100"/>
              <w:widowControl w:val="0"/>
              <w:bidi w:val="0"/>
              <w:adjustRightInd w:val="0"/>
              <w:snapToGrid w:val="0"/>
            </w:pPr>
            <w:r>
              <w:rPr>
                <w:rFonts w:hint="eastAsia"/>
              </w:rPr>
              <w:t>生产车间</w:t>
            </w:r>
          </w:p>
        </w:tc>
        <w:tc>
          <w:tcPr>
            <w:tcW w:w="867" w:type="dxa"/>
            <w:vMerge w:val="restart"/>
            <w:vAlign w:val="center"/>
          </w:tcPr>
          <w:p>
            <w:pPr>
              <w:pStyle w:val="100"/>
              <w:widowControl w:val="0"/>
              <w:bidi w:val="0"/>
              <w:adjustRightInd w:val="0"/>
              <w:snapToGrid w:val="0"/>
            </w:pPr>
            <w:r>
              <w:rPr>
                <w:rFonts w:hint="eastAsia"/>
              </w:rPr>
              <w:t>噪声源</w:t>
            </w:r>
          </w:p>
        </w:tc>
        <w:tc>
          <w:tcPr>
            <w:tcW w:w="867" w:type="dxa"/>
            <w:vMerge w:val="restart"/>
            <w:vAlign w:val="center"/>
          </w:tcPr>
          <w:p>
            <w:pPr>
              <w:pStyle w:val="100"/>
              <w:widowControl w:val="0"/>
              <w:bidi w:val="0"/>
              <w:adjustRightInd w:val="0"/>
              <w:snapToGrid w:val="0"/>
            </w:pPr>
            <w:r>
              <w:rPr>
                <w:rFonts w:hint="eastAsia"/>
              </w:rPr>
              <w:t>声源类型</w:t>
            </w:r>
          </w:p>
        </w:tc>
        <w:tc>
          <w:tcPr>
            <w:tcW w:w="1674" w:type="dxa"/>
            <w:gridSpan w:val="2"/>
            <w:vAlign w:val="center"/>
          </w:tcPr>
          <w:p>
            <w:pPr>
              <w:pStyle w:val="100"/>
              <w:widowControl w:val="0"/>
              <w:bidi w:val="0"/>
              <w:adjustRightInd w:val="0"/>
              <w:snapToGrid w:val="0"/>
            </w:pPr>
            <w:r>
              <w:rPr>
                <w:rFonts w:hint="eastAsia"/>
              </w:rPr>
              <w:t>噪声源强</w:t>
            </w:r>
          </w:p>
        </w:tc>
        <w:tc>
          <w:tcPr>
            <w:tcW w:w="2015" w:type="dxa"/>
            <w:gridSpan w:val="2"/>
            <w:vAlign w:val="center"/>
          </w:tcPr>
          <w:p>
            <w:pPr>
              <w:pStyle w:val="100"/>
              <w:widowControl w:val="0"/>
              <w:bidi w:val="0"/>
              <w:adjustRightInd w:val="0"/>
              <w:snapToGrid w:val="0"/>
            </w:pPr>
            <w:r>
              <w:rPr>
                <w:rFonts w:hint="eastAsia"/>
              </w:rPr>
              <w:t>降噪措施</w:t>
            </w:r>
          </w:p>
        </w:tc>
        <w:tc>
          <w:tcPr>
            <w:tcW w:w="1725" w:type="dxa"/>
            <w:gridSpan w:val="2"/>
            <w:vAlign w:val="center"/>
          </w:tcPr>
          <w:p>
            <w:pPr>
              <w:pStyle w:val="100"/>
              <w:widowControl w:val="0"/>
              <w:bidi w:val="0"/>
              <w:adjustRightInd w:val="0"/>
              <w:snapToGrid w:val="0"/>
            </w:pPr>
            <w:r>
              <w:rPr>
                <w:rFonts w:hint="eastAsia"/>
              </w:rPr>
              <w:t>噪声排放值</w:t>
            </w:r>
          </w:p>
        </w:tc>
        <w:tc>
          <w:tcPr>
            <w:tcW w:w="879" w:type="dxa"/>
            <w:vMerge w:val="restart"/>
            <w:vAlign w:val="center"/>
          </w:tcPr>
          <w:p>
            <w:pPr>
              <w:pStyle w:val="100"/>
              <w:widowControl w:val="0"/>
              <w:bidi w:val="0"/>
              <w:adjustRightInd w:val="0"/>
              <w:snapToGrid w:val="0"/>
            </w:pPr>
            <w:r>
              <w:rPr>
                <w:rFonts w:hint="eastAsia"/>
              </w:rPr>
              <w:t>持续时间h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200" w:type="dxa"/>
            <w:vMerge w:val="continue"/>
            <w:vAlign w:val="center"/>
          </w:tcPr>
          <w:p>
            <w:pPr>
              <w:pStyle w:val="100"/>
              <w:widowControl w:val="0"/>
              <w:bidi w:val="0"/>
              <w:adjustRightInd w:val="0"/>
              <w:snapToGrid w:val="0"/>
            </w:pPr>
          </w:p>
        </w:tc>
        <w:tc>
          <w:tcPr>
            <w:tcW w:w="867" w:type="dxa"/>
            <w:vMerge w:val="continue"/>
            <w:vAlign w:val="center"/>
          </w:tcPr>
          <w:p>
            <w:pPr>
              <w:pStyle w:val="100"/>
              <w:widowControl w:val="0"/>
              <w:bidi w:val="0"/>
              <w:adjustRightInd w:val="0"/>
              <w:snapToGrid w:val="0"/>
            </w:pPr>
          </w:p>
        </w:tc>
        <w:tc>
          <w:tcPr>
            <w:tcW w:w="867" w:type="dxa"/>
            <w:vMerge w:val="continue"/>
            <w:vAlign w:val="center"/>
          </w:tcPr>
          <w:p>
            <w:pPr>
              <w:pStyle w:val="100"/>
              <w:widowControl w:val="0"/>
              <w:bidi w:val="0"/>
              <w:adjustRightInd w:val="0"/>
              <w:snapToGrid w:val="0"/>
            </w:pPr>
          </w:p>
        </w:tc>
        <w:tc>
          <w:tcPr>
            <w:tcW w:w="1007" w:type="dxa"/>
            <w:vAlign w:val="center"/>
          </w:tcPr>
          <w:p>
            <w:pPr>
              <w:pStyle w:val="100"/>
              <w:widowControl w:val="0"/>
              <w:bidi w:val="0"/>
              <w:adjustRightInd w:val="0"/>
              <w:snapToGrid w:val="0"/>
            </w:pPr>
            <w:r>
              <w:rPr>
                <w:rFonts w:hint="eastAsia"/>
              </w:rPr>
              <w:t>噪声值d</w:t>
            </w:r>
            <w:r>
              <w:t>B</w:t>
            </w:r>
            <w:r>
              <w:rPr>
                <w:rFonts w:hint="eastAsia"/>
              </w:rPr>
              <w:t>（A）</w:t>
            </w:r>
          </w:p>
        </w:tc>
        <w:tc>
          <w:tcPr>
            <w:tcW w:w="667" w:type="dxa"/>
            <w:vAlign w:val="center"/>
          </w:tcPr>
          <w:p>
            <w:pPr>
              <w:pStyle w:val="100"/>
              <w:widowControl w:val="0"/>
              <w:bidi w:val="0"/>
              <w:adjustRightInd w:val="0"/>
              <w:snapToGrid w:val="0"/>
            </w:pPr>
            <w:r>
              <w:rPr>
                <w:rFonts w:hint="eastAsia"/>
              </w:rPr>
              <w:t>核算方法</w:t>
            </w:r>
          </w:p>
        </w:tc>
        <w:tc>
          <w:tcPr>
            <w:tcW w:w="926" w:type="dxa"/>
            <w:vAlign w:val="center"/>
          </w:tcPr>
          <w:p>
            <w:pPr>
              <w:pStyle w:val="100"/>
              <w:widowControl w:val="0"/>
              <w:bidi w:val="0"/>
              <w:adjustRightInd w:val="0"/>
              <w:snapToGrid w:val="0"/>
            </w:pPr>
            <w:r>
              <w:rPr>
                <w:rFonts w:hint="eastAsia"/>
              </w:rPr>
              <w:t>工艺</w:t>
            </w:r>
          </w:p>
        </w:tc>
        <w:tc>
          <w:tcPr>
            <w:tcW w:w="1089" w:type="dxa"/>
            <w:vAlign w:val="center"/>
          </w:tcPr>
          <w:p>
            <w:pPr>
              <w:pStyle w:val="100"/>
              <w:widowControl w:val="0"/>
              <w:bidi w:val="0"/>
              <w:adjustRightInd w:val="0"/>
              <w:snapToGrid w:val="0"/>
            </w:pPr>
            <w:r>
              <w:rPr>
                <w:rFonts w:hint="eastAsia"/>
              </w:rPr>
              <w:t>降噪效果d</w:t>
            </w:r>
            <w:r>
              <w:t>B</w:t>
            </w:r>
            <w:r>
              <w:rPr>
                <w:rFonts w:hint="eastAsia"/>
              </w:rPr>
              <w:t>（A）</w:t>
            </w:r>
          </w:p>
        </w:tc>
        <w:tc>
          <w:tcPr>
            <w:tcW w:w="1136" w:type="dxa"/>
            <w:vAlign w:val="center"/>
          </w:tcPr>
          <w:p>
            <w:pPr>
              <w:pStyle w:val="100"/>
              <w:widowControl w:val="0"/>
              <w:bidi w:val="0"/>
              <w:adjustRightInd w:val="0"/>
              <w:snapToGrid w:val="0"/>
            </w:pPr>
            <w:r>
              <w:rPr>
                <w:rFonts w:hint="eastAsia"/>
              </w:rPr>
              <w:t>噪声值d</w:t>
            </w:r>
            <w:r>
              <w:t>B</w:t>
            </w:r>
            <w:r>
              <w:rPr>
                <w:rFonts w:hint="eastAsia"/>
              </w:rPr>
              <w:t>（A）</w:t>
            </w:r>
          </w:p>
        </w:tc>
        <w:tc>
          <w:tcPr>
            <w:tcW w:w="589" w:type="dxa"/>
            <w:vAlign w:val="center"/>
          </w:tcPr>
          <w:p>
            <w:pPr>
              <w:pStyle w:val="100"/>
              <w:widowControl w:val="0"/>
              <w:bidi w:val="0"/>
              <w:adjustRightInd w:val="0"/>
              <w:snapToGrid w:val="0"/>
            </w:pPr>
            <w:r>
              <w:rPr>
                <w:rFonts w:hint="eastAsia"/>
              </w:rPr>
              <w:t>核算方法</w:t>
            </w:r>
          </w:p>
        </w:tc>
        <w:tc>
          <w:tcPr>
            <w:tcW w:w="879"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00" w:type="dxa"/>
            <w:vMerge w:val="restart"/>
            <w:vAlign w:val="center"/>
          </w:tcPr>
          <w:p>
            <w:pPr>
              <w:pStyle w:val="100"/>
              <w:widowControl w:val="0"/>
              <w:bidi w:val="0"/>
              <w:adjustRightInd w:val="0"/>
              <w:snapToGrid w:val="0"/>
            </w:pPr>
            <w:r>
              <w:rPr>
                <w:rFonts w:hint="eastAsia"/>
              </w:rPr>
              <w:t>印刷车间</w:t>
            </w:r>
          </w:p>
        </w:tc>
        <w:tc>
          <w:tcPr>
            <w:tcW w:w="867" w:type="dxa"/>
            <w:vAlign w:val="center"/>
          </w:tcPr>
          <w:p>
            <w:pPr>
              <w:pStyle w:val="100"/>
              <w:widowControl w:val="0"/>
              <w:bidi w:val="0"/>
              <w:adjustRightInd w:val="0"/>
              <w:snapToGrid w:val="0"/>
            </w:pPr>
            <w:r>
              <w:rPr>
                <w:rFonts w:hint="eastAsia"/>
              </w:rPr>
              <w:t>印刷机</w:t>
            </w:r>
          </w:p>
        </w:tc>
        <w:tc>
          <w:tcPr>
            <w:tcW w:w="867" w:type="dxa"/>
            <w:vAlign w:val="center"/>
          </w:tcPr>
          <w:p>
            <w:pPr>
              <w:pStyle w:val="100"/>
              <w:widowControl w:val="0"/>
              <w:bidi w:val="0"/>
              <w:adjustRightInd w:val="0"/>
              <w:snapToGrid w:val="0"/>
              <w:rPr>
                <w:rFonts w:hint="eastAsia"/>
                <w:lang w:val="en-US" w:eastAsia="zh-CN"/>
              </w:rPr>
            </w:pPr>
            <w:r>
              <w:rPr>
                <w:rFonts w:hint="eastAsia"/>
                <w:lang w:val="en-US" w:eastAsia="zh-CN"/>
              </w:rPr>
              <w:t>工业噪声</w:t>
            </w:r>
          </w:p>
        </w:tc>
        <w:tc>
          <w:tcPr>
            <w:tcW w:w="1007" w:type="dxa"/>
            <w:vAlign w:val="center"/>
          </w:tcPr>
          <w:p>
            <w:pPr>
              <w:pStyle w:val="100"/>
              <w:widowControl w:val="0"/>
              <w:bidi w:val="0"/>
              <w:adjustRightInd w:val="0"/>
              <w:snapToGrid w:val="0"/>
              <w:rPr>
                <w:rFonts w:hint="default"/>
                <w:lang w:val="en-US" w:eastAsia="zh-CN"/>
              </w:rPr>
            </w:pPr>
            <w:r>
              <w:rPr>
                <w:rFonts w:hint="eastAsia"/>
                <w:lang w:val="en-US" w:eastAsia="zh-CN"/>
              </w:rPr>
              <w:t>75</w:t>
            </w:r>
          </w:p>
        </w:tc>
        <w:tc>
          <w:tcPr>
            <w:tcW w:w="667" w:type="dxa"/>
            <w:vMerge w:val="restart"/>
            <w:vAlign w:val="center"/>
          </w:tcPr>
          <w:p>
            <w:pPr>
              <w:pStyle w:val="100"/>
              <w:widowControl w:val="0"/>
              <w:bidi w:val="0"/>
              <w:adjustRightInd w:val="0"/>
              <w:snapToGrid w:val="0"/>
            </w:pPr>
            <w:r>
              <w:rPr>
                <w:rFonts w:hint="eastAsia"/>
              </w:rPr>
              <w:t>类比法</w:t>
            </w:r>
          </w:p>
        </w:tc>
        <w:tc>
          <w:tcPr>
            <w:tcW w:w="926" w:type="dxa"/>
            <w:vMerge w:val="restart"/>
            <w:vAlign w:val="center"/>
          </w:tcPr>
          <w:p>
            <w:pPr>
              <w:pStyle w:val="100"/>
              <w:widowControl w:val="0"/>
              <w:bidi w:val="0"/>
              <w:adjustRightInd w:val="0"/>
              <w:snapToGrid w:val="0"/>
            </w:pPr>
            <w:r>
              <w:rPr>
                <w:rFonts w:hint="eastAsia"/>
              </w:rPr>
              <w:t>减振、隔声</w:t>
            </w:r>
          </w:p>
        </w:tc>
        <w:tc>
          <w:tcPr>
            <w:tcW w:w="1089" w:type="dxa"/>
            <w:vAlign w:val="center"/>
          </w:tcPr>
          <w:p>
            <w:pPr>
              <w:pStyle w:val="100"/>
              <w:widowControl w:val="0"/>
              <w:bidi w:val="0"/>
              <w:adjustRightInd w:val="0"/>
              <w:snapToGrid w:val="0"/>
              <w:rPr>
                <w:rFonts w:hint="default"/>
                <w:lang w:val="en-US" w:eastAsia="zh-CN"/>
              </w:rPr>
            </w:pPr>
            <w:r>
              <w:rPr>
                <w:rFonts w:hint="eastAsia"/>
                <w:lang w:val="en-US" w:eastAsia="zh-CN"/>
              </w:rPr>
              <w:t>15</w:t>
            </w:r>
          </w:p>
        </w:tc>
        <w:tc>
          <w:tcPr>
            <w:tcW w:w="1136" w:type="dxa"/>
            <w:vAlign w:val="center"/>
          </w:tcPr>
          <w:p>
            <w:pPr>
              <w:pStyle w:val="100"/>
              <w:widowControl w:val="0"/>
              <w:bidi w:val="0"/>
              <w:adjustRightInd w:val="0"/>
              <w:snapToGrid w:val="0"/>
              <w:rPr>
                <w:rFonts w:hint="default"/>
                <w:lang w:val="en-US" w:eastAsia="zh-CN"/>
              </w:rPr>
            </w:pPr>
            <w:r>
              <w:rPr>
                <w:rFonts w:hint="eastAsia"/>
                <w:lang w:val="en-US" w:eastAsia="zh-CN"/>
              </w:rPr>
              <w:t>60</w:t>
            </w:r>
          </w:p>
        </w:tc>
        <w:tc>
          <w:tcPr>
            <w:tcW w:w="589" w:type="dxa"/>
            <w:vMerge w:val="restart"/>
            <w:vAlign w:val="center"/>
          </w:tcPr>
          <w:p>
            <w:pPr>
              <w:pStyle w:val="100"/>
              <w:widowControl w:val="0"/>
              <w:bidi w:val="0"/>
              <w:adjustRightInd w:val="0"/>
              <w:snapToGrid w:val="0"/>
              <w:rPr>
                <w:rFonts w:hint="default"/>
                <w:lang w:val="en-US" w:eastAsia="zh-CN"/>
              </w:rPr>
            </w:pPr>
            <w:r>
              <w:rPr>
                <w:rFonts w:hint="eastAsia"/>
                <w:lang w:val="en-US" w:eastAsia="zh-CN"/>
              </w:rPr>
              <w:t>+</w:t>
            </w:r>
          </w:p>
        </w:tc>
        <w:tc>
          <w:tcPr>
            <w:tcW w:w="879" w:type="dxa"/>
            <w:vAlign w:val="center"/>
          </w:tcPr>
          <w:p>
            <w:pPr>
              <w:pStyle w:val="100"/>
              <w:widowControl w:val="0"/>
              <w:bidi w:val="0"/>
              <w:adjustRightInd w:val="0"/>
              <w:snapToGrid w:val="0"/>
            </w:pPr>
            <w:r>
              <w:rPr>
                <w:rFonts w:hint="eastAsia"/>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vAlign w:val="center"/>
          </w:tcPr>
          <w:p>
            <w:pPr>
              <w:pStyle w:val="100"/>
              <w:widowControl w:val="0"/>
              <w:bidi w:val="0"/>
              <w:adjustRightInd w:val="0"/>
              <w:snapToGrid w:val="0"/>
            </w:pPr>
          </w:p>
        </w:tc>
        <w:tc>
          <w:tcPr>
            <w:tcW w:w="867" w:type="dxa"/>
            <w:vAlign w:val="center"/>
          </w:tcPr>
          <w:p>
            <w:pPr>
              <w:pStyle w:val="100"/>
              <w:widowControl w:val="0"/>
              <w:bidi w:val="0"/>
              <w:adjustRightInd w:val="0"/>
              <w:snapToGrid w:val="0"/>
            </w:pPr>
            <w:r>
              <w:rPr>
                <w:rFonts w:hint="eastAsia"/>
              </w:rPr>
              <w:t>空压机</w:t>
            </w:r>
          </w:p>
        </w:tc>
        <w:tc>
          <w:tcPr>
            <w:tcW w:w="867" w:type="dxa"/>
            <w:vAlign w:val="center"/>
          </w:tcPr>
          <w:p>
            <w:pPr>
              <w:pStyle w:val="100"/>
              <w:widowControl w:val="0"/>
              <w:bidi w:val="0"/>
              <w:adjustRightInd w:val="0"/>
              <w:snapToGrid w:val="0"/>
            </w:pPr>
            <w:r>
              <w:rPr>
                <w:rFonts w:hint="eastAsia"/>
                <w:lang w:val="en-US" w:eastAsia="zh-CN"/>
              </w:rPr>
              <w:t>工业噪声</w:t>
            </w:r>
          </w:p>
        </w:tc>
        <w:tc>
          <w:tcPr>
            <w:tcW w:w="1007" w:type="dxa"/>
            <w:vAlign w:val="center"/>
          </w:tcPr>
          <w:p>
            <w:pPr>
              <w:pStyle w:val="100"/>
              <w:widowControl w:val="0"/>
              <w:bidi w:val="0"/>
              <w:adjustRightInd w:val="0"/>
              <w:snapToGrid w:val="0"/>
              <w:rPr>
                <w:rFonts w:hint="default"/>
                <w:lang w:val="en-US" w:eastAsia="zh-CN"/>
              </w:rPr>
            </w:pPr>
            <w:r>
              <w:rPr>
                <w:rFonts w:hint="eastAsia"/>
                <w:lang w:val="en-US" w:eastAsia="zh-CN"/>
              </w:rPr>
              <w:t>79</w:t>
            </w:r>
          </w:p>
        </w:tc>
        <w:tc>
          <w:tcPr>
            <w:tcW w:w="667" w:type="dxa"/>
            <w:vMerge w:val="continue"/>
            <w:vAlign w:val="center"/>
          </w:tcPr>
          <w:p>
            <w:pPr>
              <w:pStyle w:val="100"/>
              <w:widowControl w:val="0"/>
              <w:bidi w:val="0"/>
              <w:adjustRightInd w:val="0"/>
              <w:snapToGrid w:val="0"/>
            </w:pPr>
          </w:p>
        </w:tc>
        <w:tc>
          <w:tcPr>
            <w:tcW w:w="926" w:type="dxa"/>
            <w:vMerge w:val="continue"/>
            <w:vAlign w:val="center"/>
          </w:tcPr>
          <w:p>
            <w:pPr>
              <w:pStyle w:val="100"/>
              <w:widowControl w:val="0"/>
              <w:bidi w:val="0"/>
              <w:adjustRightInd w:val="0"/>
              <w:snapToGrid w:val="0"/>
            </w:pPr>
          </w:p>
        </w:tc>
        <w:tc>
          <w:tcPr>
            <w:tcW w:w="1089" w:type="dxa"/>
            <w:vAlign w:val="center"/>
          </w:tcPr>
          <w:p>
            <w:pPr>
              <w:pStyle w:val="100"/>
              <w:widowControl w:val="0"/>
              <w:bidi w:val="0"/>
              <w:adjustRightInd w:val="0"/>
              <w:snapToGrid w:val="0"/>
              <w:rPr>
                <w:rFonts w:hint="default"/>
                <w:lang w:val="en-US" w:eastAsia="zh-CN"/>
              </w:rPr>
            </w:pPr>
            <w:r>
              <w:rPr>
                <w:rFonts w:hint="eastAsia"/>
                <w:lang w:val="en-US" w:eastAsia="zh-CN"/>
              </w:rPr>
              <w:t>15</w:t>
            </w:r>
          </w:p>
        </w:tc>
        <w:tc>
          <w:tcPr>
            <w:tcW w:w="1136" w:type="dxa"/>
            <w:vAlign w:val="center"/>
          </w:tcPr>
          <w:p>
            <w:pPr>
              <w:pStyle w:val="100"/>
              <w:widowControl w:val="0"/>
              <w:bidi w:val="0"/>
              <w:adjustRightInd w:val="0"/>
              <w:snapToGrid w:val="0"/>
              <w:rPr>
                <w:rFonts w:hint="default"/>
                <w:lang w:val="en-US" w:eastAsia="zh-CN"/>
              </w:rPr>
            </w:pPr>
            <w:r>
              <w:rPr>
                <w:rFonts w:hint="eastAsia"/>
                <w:lang w:val="en-US" w:eastAsia="zh-CN"/>
              </w:rPr>
              <w:t>64</w:t>
            </w:r>
          </w:p>
        </w:tc>
        <w:tc>
          <w:tcPr>
            <w:tcW w:w="589" w:type="dxa"/>
            <w:vMerge w:val="continue"/>
            <w:vAlign w:val="center"/>
          </w:tcPr>
          <w:p>
            <w:pPr>
              <w:pStyle w:val="100"/>
              <w:widowControl w:val="0"/>
              <w:bidi w:val="0"/>
              <w:adjustRightInd w:val="0"/>
              <w:snapToGrid w:val="0"/>
            </w:pPr>
          </w:p>
        </w:tc>
        <w:tc>
          <w:tcPr>
            <w:tcW w:w="879" w:type="dxa"/>
            <w:vAlign w:val="center"/>
          </w:tcPr>
          <w:p>
            <w:pPr>
              <w:pStyle w:val="100"/>
              <w:widowControl w:val="0"/>
              <w:bidi w:val="0"/>
              <w:adjustRightInd w:val="0"/>
              <w:snapToGrid w:val="0"/>
            </w:pPr>
            <w:r>
              <w:rPr>
                <w:rFonts w:hint="eastAsia"/>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00" w:type="dxa"/>
            <w:vAlign w:val="center"/>
          </w:tcPr>
          <w:p>
            <w:pPr>
              <w:pStyle w:val="100"/>
              <w:widowControl w:val="0"/>
              <w:bidi w:val="0"/>
              <w:adjustRightInd w:val="0"/>
              <w:snapToGrid w:val="0"/>
            </w:pPr>
            <w:r>
              <w:rPr>
                <w:rFonts w:hint="eastAsia"/>
              </w:rPr>
              <w:t>裁切室</w:t>
            </w:r>
          </w:p>
        </w:tc>
        <w:tc>
          <w:tcPr>
            <w:tcW w:w="867" w:type="dxa"/>
            <w:vAlign w:val="center"/>
          </w:tcPr>
          <w:p>
            <w:pPr>
              <w:pStyle w:val="100"/>
              <w:widowControl w:val="0"/>
              <w:bidi w:val="0"/>
              <w:adjustRightInd w:val="0"/>
              <w:snapToGrid w:val="0"/>
            </w:pPr>
            <w:r>
              <w:rPr>
                <w:rFonts w:hint="eastAsia"/>
              </w:rPr>
              <w:t>裁切机</w:t>
            </w:r>
          </w:p>
        </w:tc>
        <w:tc>
          <w:tcPr>
            <w:tcW w:w="867" w:type="dxa"/>
            <w:vAlign w:val="center"/>
          </w:tcPr>
          <w:p>
            <w:pPr>
              <w:pStyle w:val="100"/>
              <w:widowControl w:val="0"/>
              <w:bidi w:val="0"/>
              <w:adjustRightInd w:val="0"/>
              <w:snapToGrid w:val="0"/>
            </w:pPr>
            <w:r>
              <w:rPr>
                <w:rFonts w:hint="eastAsia"/>
                <w:lang w:val="en-US" w:eastAsia="zh-CN"/>
              </w:rPr>
              <w:t>工业噪声</w:t>
            </w:r>
          </w:p>
        </w:tc>
        <w:tc>
          <w:tcPr>
            <w:tcW w:w="1007" w:type="dxa"/>
            <w:vAlign w:val="center"/>
          </w:tcPr>
          <w:p>
            <w:pPr>
              <w:pStyle w:val="100"/>
              <w:widowControl w:val="0"/>
              <w:bidi w:val="0"/>
              <w:adjustRightInd w:val="0"/>
              <w:snapToGrid w:val="0"/>
              <w:rPr>
                <w:rFonts w:hint="default"/>
                <w:lang w:val="en-US" w:eastAsia="zh-CN"/>
              </w:rPr>
            </w:pPr>
            <w:r>
              <w:rPr>
                <w:rFonts w:hint="eastAsia"/>
                <w:lang w:val="en-US" w:eastAsia="zh-CN"/>
              </w:rPr>
              <w:t>69</w:t>
            </w:r>
          </w:p>
        </w:tc>
        <w:tc>
          <w:tcPr>
            <w:tcW w:w="667" w:type="dxa"/>
            <w:vMerge w:val="continue"/>
            <w:vAlign w:val="center"/>
          </w:tcPr>
          <w:p>
            <w:pPr>
              <w:pStyle w:val="100"/>
              <w:widowControl w:val="0"/>
              <w:bidi w:val="0"/>
              <w:adjustRightInd w:val="0"/>
              <w:snapToGrid w:val="0"/>
            </w:pPr>
          </w:p>
        </w:tc>
        <w:tc>
          <w:tcPr>
            <w:tcW w:w="926" w:type="dxa"/>
            <w:vMerge w:val="continue"/>
            <w:vAlign w:val="center"/>
          </w:tcPr>
          <w:p>
            <w:pPr>
              <w:pStyle w:val="100"/>
              <w:widowControl w:val="0"/>
              <w:bidi w:val="0"/>
              <w:adjustRightInd w:val="0"/>
              <w:snapToGrid w:val="0"/>
            </w:pPr>
          </w:p>
        </w:tc>
        <w:tc>
          <w:tcPr>
            <w:tcW w:w="1089" w:type="dxa"/>
            <w:vAlign w:val="center"/>
          </w:tcPr>
          <w:p>
            <w:pPr>
              <w:pStyle w:val="100"/>
              <w:widowControl w:val="0"/>
              <w:bidi w:val="0"/>
              <w:adjustRightInd w:val="0"/>
              <w:snapToGrid w:val="0"/>
              <w:rPr>
                <w:rFonts w:hint="default"/>
                <w:lang w:val="en-US" w:eastAsia="zh-CN"/>
              </w:rPr>
            </w:pPr>
            <w:r>
              <w:rPr>
                <w:rFonts w:hint="eastAsia"/>
                <w:lang w:val="en-US" w:eastAsia="zh-CN"/>
              </w:rPr>
              <w:t>15</w:t>
            </w:r>
          </w:p>
        </w:tc>
        <w:tc>
          <w:tcPr>
            <w:tcW w:w="1136" w:type="dxa"/>
            <w:vAlign w:val="center"/>
          </w:tcPr>
          <w:p>
            <w:pPr>
              <w:pStyle w:val="100"/>
              <w:widowControl w:val="0"/>
              <w:bidi w:val="0"/>
              <w:adjustRightInd w:val="0"/>
              <w:snapToGrid w:val="0"/>
              <w:rPr>
                <w:rFonts w:hint="default"/>
                <w:lang w:val="en-US" w:eastAsia="zh-CN"/>
              </w:rPr>
            </w:pPr>
            <w:r>
              <w:rPr>
                <w:rFonts w:hint="eastAsia"/>
                <w:lang w:val="en-US" w:eastAsia="zh-CN"/>
              </w:rPr>
              <w:t>54</w:t>
            </w:r>
          </w:p>
        </w:tc>
        <w:tc>
          <w:tcPr>
            <w:tcW w:w="589" w:type="dxa"/>
            <w:vMerge w:val="continue"/>
            <w:vAlign w:val="center"/>
          </w:tcPr>
          <w:p>
            <w:pPr>
              <w:pStyle w:val="100"/>
              <w:widowControl w:val="0"/>
              <w:bidi w:val="0"/>
              <w:adjustRightInd w:val="0"/>
              <w:snapToGrid w:val="0"/>
            </w:pPr>
          </w:p>
        </w:tc>
        <w:tc>
          <w:tcPr>
            <w:tcW w:w="879" w:type="dxa"/>
            <w:vAlign w:val="center"/>
          </w:tcPr>
          <w:p>
            <w:pPr>
              <w:pStyle w:val="100"/>
              <w:widowControl w:val="0"/>
              <w:bidi w:val="0"/>
              <w:adjustRightInd w:val="0"/>
              <w:snapToGrid w:val="0"/>
            </w:pPr>
            <w:r>
              <w:rPr>
                <w:rFonts w:hint="eastAsia"/>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Align w:val="center"/>
          </w:tcPr>
          <w:p>
            <w:pPr>
              <w:pStyle w:val="100"/>
              <w:widowControl w:val="0"/>
              <w:bidi w:val="0"/>
              <w:adjustRightInd w:val="0"/>
              <w:snapToGrid w:val="0"/>
            </w:pPr>
            <w:r>
              <w:rPr>
                <w:rFonts w:hint="eastAsia"/>
              </w:rPr>
              <w:t>冲压车间</w:t>
            </w:r>
          </w:p>
        </w:tc>
        <w:tc>
          <w:tcPr>
            <w:tcW w:w="867" w:type="dxa"/>
            <w:vAlign w:val="center"/>
          </w:tcPr>
          <w:p>
            <w:pPr>
              <w:pStyle w:val="100"/>
              <w:widowControl w:val="0"/>
              <w:bidi w:val="0"/>
              <w:adjustRightInd w:val="0"/>
              <w:snapToGrid w:val="0"/>
            </w:pPr>
            <w:r>
              <w:rPr>
                <w:rFonts w:hint="eastAsia"/>
              </w:rPr>
              <w:t>冲床</w:t>
            </w:r>
          </w:p>
        </w:tc>
        <w:tc>
          <w:tcPr>
            <w:tcW w:w="867" w:type="dxa"/>
            <w:vAlign w:val="center"/>
          </w:tcPr>
          <w:p>
            <w:pPr>
              <w:pStyle w:val="100"/>
              <w:widowControl w:val="0"/>
              <w:bidi w:val="0"/>
              <w:adjustRightInd w:val="0"/>
              <w:snapToGrid w:val="0"/>
            </w:pPr>
            <w:r>
              <w:rPr>
                <w:rFonts w:hint="eastAsia"/>
                <w:lang w:val="en-US" w:eastAsia="zh-CN"/>
              </w:rPr>
              <w:t>工业噪声</w:t>
            </w:r>
          </w:p>
        </w:tc>
        <w:tc>
          <w:tcPr>
            <w:tcW w:w="1007" w:type="dxa"/>
            <w:vAlign w:val="center"/>
          </w:tcPr>
          <w:p>
            <w:pPr>
              <w:pStyle w:val="100"/>
              <w:widowControl w:val="0"/>
              <w:bidi w:val="0"/>
              <w:adjustRightInd w:val="0"/>
              <w:snapToGrid w:val="0"/>
              <w:rPr>
                <w:rFonts w:hint="default"/>
                <w:lang w:val="en-US" w:eastAsia="zh-CN"/>
              </w:rPr>
            </w:pPr>
            <w:r>
              <w:rPr>
                <w:rFonts w:hint="eastAsia"/>
                <w:lang w:val="en-US" w:eastAsia="zh-CN"/>
              </w:rPr>
              <w:t>77</w:t>
            </w:r>
          </w:p>
        </w:tc>
        <w:tc>
          <w:tcPr>
            <w:tcW w:w="667" w:type="dxa"/>
            <w:vMerge w:val="continue"/>
            <w:vAlign w:val="center"/>
          </w:tcPr>
          <w:p>
            <w:pPr>
              <w:pStyle w:val="100"/>
              <w:widowControl w:val="0"/>
              <w:bidi w:val="0"/>
              <w:adjustRightInd w:val="0"/>
              <w:snapToGrid w:val="0"/>
            </w:pPr>
          </w:p>
        </w:tc>
        <w:tc>
          <w:tcPr>
            <w:tcW w:w="926" w:type="dxa"/>
            <w:vMerge w:val="continue"/>
            <w:vAlign w:val="center"/>
          </w:tcPr>
          <w:p>
            <w:pPr>
              <w:pStyle w:val="100"/>
              <w:widowControl w:val="0"/>
              <w:bidi w:val="0"/>
              <w:adjustRightInd w:val="0"/>
              <w:snapToGrid w:val="0"/>
            </w:pPr>
          </w:p>
        </w:tc>
        <w:tc>
          <w:tcPr>
            <w:tcW w:w="1089" w:type="dxa"/>
            <w:vAlign w:val="center"/>
          </w:tcPr>
          <w:p>
            <w:pPr>
              <w:pStyle w:val="100"/>
              <w:widowControl w:val="0"/>
              <w:bidi w:val="0"/>
              <w:adjustRightInd w:val="0"/>
              <w:snapToGrid w:val="0"/>
              <w:rPr>
                <w:rFonts w:hint="default"/>
                <w:lang w:val="en-US" w:eastAsia="zh-CN"/>
              </w:rPr>
            </w:pPr>
            <w:r>
              <w:rPr>
                <w:rFonts w:hint="eastAsia"/>
                <w:lang w:val="en-US" w:eastAsia="zh-CN"/>
              </w:rPr>
              <w:t>15</w:t>
            </w:r>
          </w:p>
        </w:tc>
        <w:tc>
          <w:tcPr>
            <w:tcW w:w="1136" w:type="dxa"/>
            <w:vAlign w:val="center"/>
          </w:tcPr>
          <w:p>
            <w:pPr>
              <w:pStyle w:val="100"/>
              <w:widowControl w:val="0"/>
              <w:bidi w:val="0"/>
              <w:adjustRightInd w:val="0"/>
              <w:snapToGrid w:val="0"/>
              <w:rPr>
                <w:rFonts w:hint="default"/>
                <w:lang w:val="en-US" w:eastAsia="zh-CN"/>
              </w:rPr>
            </w:pPr>
            <w:r>
              <w:rPr>
                <w:rFonts w:hint="eastAsia"/>
                <w:lang w:val="en-US" w:eastAsia="zh-CN"/>
              </w:rPr>
              <w:t>62</w:t>
            </w:r>
          </w:p>
        </w:tc>
        <w:tc>
          <w:tcPr>
            <w:tcW w:w="589" w:type="dxa"/>
            <w:vMerge w:val="continue"/>
            <w:vAlign w:val="center"/>
          </w:tcPr>
          <w:p>
            <w:pPr>
              <w:pStyle w:val="100"/>
              <w:widowControl w:val="0"/>
              <w:bidi w:val="0"/>
              <w:adjustRightInd w:val="0"/>
              <w:snapToGrid w:val="0"/>
            </w:pPr>
          </w:p>
        </w:tc>
        <w:tc>
          <w:tcPr>
            <w:tcW w:w="879" w:type="dxa"/>
            <w:vAlign w:val="center"/>
          </w:tcPr>
          <w:p>
            <w:pPr>
              <w:pStyle w:val="100"/>
              <w:widowControl w:val="0"/>
              <w:bidi w:val="0"/>
              <w:adjustRightInd w:val="0"/>
              <w:snapToGrid w:val="0"/>
            </w:pPr>
            <w:r>
              <w:rPr>
                <w:rFonts w:hint="eastAsia"/>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Align w:val="center"/>
          </w:tcPr>
          <w:p>
            <w:pPr>
              <w:pStyle w:val="100"/>
              <w:widowControl w:val="0"/>
              <w:bidi w:val="0"/>
              <w:adjustRightInd w:val="0"/>
              <w:snapToGrid w:val="0"/>
              <w:rPr>
                <w:rFonts w:hint="default"/>
                <w:lang w:val="en-US" w:eastAsia="zh-CN"/>
              </w:rPr>
            </w:pPr>
            <w:r>
              <w:rPr>
                <w:rFonts w:hint="eastAsia"/>
                <w:lang w:val="en-US" w:eastAsia="zh-CN"/>
              </w:rPr>
              <w:t>冲压车间</w:t>
            </w:r>
          </w:p>
        </w:tc>
        <w:tc>
          <w:tcPr>
            <w:tcW w:w="867" w:type="dxa"/>
            <w:vAlign w:val="center"/>
          </w:tcPr>
          <w:p>
            <w:pPr>
              <w:pStyle w:val="100"/>
              <w:widowControl w:val="0"/>
              <w:bidi w:val="0"/>
              <w:adjustRightInd w:val="0"/>
              <w:snapToGrid w:val="0"/>
              <w:rPr>
                <w:rFonts w:hint="eastAsia"/>
                <w:lang w:val="en-US" w:eastAsia="zh-CN"/>
              </w:rPr>
            </w:pPr>
            <w:r>
              <w:rPr>
                <w:rFonts w:hint="eastAsia"/>
                <w:lang w:val="en-US" w:eastAsia="zh-CN"/>
              </w:rPr>
              <w:t>打孔机</w:t>
            </w:r>
          </w:p>
        </w:tc>
        <w:tc>
          <w:tcPr>
            <w:tcW w:w="867" w:type="dxa"/>
            <w:vAlign w:val="center"/>
          </w:tcPr>
          <w:p>
            <w:pPr>
              <w:pStyle w:val="100"/>
              <w:widowControl w:val="0"/>
              <w:bidi w:val="0"/>
              <w:adjustRightInd w:val="0"/>
              <w:snapToGrid w:val="0"/>
              <w:rPr>
                <w:rFonts w:hint="default"/>
                <w:lang w:val="en-US" w:eastAsia="zh-CN"/>
              </w:rPr>
            </w:pPr>
            <w:r>
              <w:rPr>
                <w:rFonts w:hint="eastAsia"/>
                <w:lang w:val="en-US" w:eastAsia="zh-CN"/>
              </w:rPr>
              <w:t>工业噪声</w:t>
            </w:r>
          </w:p>
        </w:tc>
        <w:tc>
          <w:tcPr>
            <w:tcW w:w="1007" w:type="dxa"/>
            <w:vAlign w:val="center"/>
          </w:tcPr>
          <w:p>
            <w:pPr>
              <w:pStyle w:val="100"/>
              <w:widowControl w:val="0"/>
              <w:bidi w:val="0"/>
              <w:adjustRightInd w:val="0"/>
              <w:snapToGrid w:val="0"/>
              <w:rPr>
                <w:rFonts w:hint="default"/>
                <w:lang w:val="en-US" w:eastAsia="zh-CN"/>
              </w:rPr>
            </w:pPr>
            <w:r>
              <w:rPr>
                <w:rFonts w:hint="eastAsia"/>
                <w:lang w:val="en-US" w:eastAsia="zh-CN"/>
              </w:rPr>
              <w:t>72</w:t>
            </w:r>
          </w:p>
        </w:tc>
        <w:tc>
          <w:tcPr>
            <w:tcW w:w="667" w:type="dxa"/>
            <w:vMerge w:val="continue"/>
            <w:vAlign w:val="center"/>
          </w:tcPr>
          <w:p>
            <w:pPr>
              <w:pStyle w:val="100"/>
              <w:widowControl w:val="0"/>
              <w:bidi w:val="0"/>
              <w:adjustRightInd w:val="0"/>
              <w:snapToGrid w:val="0"/>
            </w:pPr>
          </w:p>
        </w:tc>
        <w:tc>
          <w:tcPr>
            <w:tcW w:w="926" w:type="dxa"/>
            <w:vMerge w:val="continue"/>
            <w:vAlign w:val="center"/>
          </w:tcPr>
          <w:p>
            <w:pPr>
              <w:pStyle w:val="100"/>
              <w:widowControl w:val="0"/>
              <w:bidi w:val="0"/>
              <w:adjustRightInd w:val="0"/>
              <w:snapToGrid w:val="0"/>
            </w:pPr>
          </w:p>
        </w:tc>
        <w:tc>
          <w:tcPr>
            <w:tcW w:w="1089" w:type="dxa"/>
            <w:vAlign w:val="center"/>
          </w:tcPr>
          <w:p>
            <w:pPr>
              <w:pStyle w:val="100"/>
              <w:widowControl w:val="0"/>
              <w:bidi w:val="0"/>
              <w:adjustRightInd w:val="0"/>
              <w:snapToGrid w:val="0"/>
              <w:rPr>
                <w:rFonts w:hint="default"/>
                <w:lang w:val="en-US" w:eastAsia="zh-CN"/>
              </w:rPr>
            </w:pPr>
            <w:r>
              <w:rPr>
                <w:rFonts w:hint="eastAsia"/>
                <w:lang w:val="en-US" w:eastAsia="zh-CN"/>
              </w:rPr>
              <w:t>15</w:t>
            </w:r>
          </w:p>
        </w:tc>
        <w:tc>
          <w:tcPr>
            <w:tcW w:w="1136" w:type="dxa"/>
            <w:vAlign w:val="center"/>
          </w:tcPr>
          <w:p>
            <w:pPr>
              <w:pStyle w:val="100"/>
              <w:widowControl w:val="0"/>
              <w:bidi w:val="0"/>
              <w:adjustRightInd w:val="0"/>
              <w:snapToGrid w:val="0"/>
              <w:rPr>
                <w:rFonts w:hint="default"/>
                <w:lang w:val="en-US" w:eastAsia="zh-CN"/>
              </w:rPr>
            </w:pPr>
            <w:r>
              <w:rPr>
                <w:rFonts w:hint="eastAsia"/>
                <w:lang w:val="en-US" w:eastAsia="zh-CN"/>
              </w:rPr>
              <w:t>57</w:t>
            </w:r>
          </w:p>
        </w:tc>
        <w:tc>
          <w:tcPr>
            <w:tcW w:w="589" w:type="dxa"/>
            <w:vMerge w:val="continue"/>
            <w:vAlign w:val="center"/>
          </w:tcPr>
          <w:p>
            <w:pPr>
              <w:pStyle w:val="100"/>
              <w:widowControl w:val="0"/>
              <w:bidi w:val="0"/>
              <w:adjustRightInd w:val="0"/>
              <w:snapToGrid w:val="0"/>
            </w:pPr>
          </w:p>
        </w:tc>
        <w:tc>
          <w:tcPr>
            <w:tcW w:w="879" w:type="dxa"/>
            <w:vAlign w:val="center"/>
          </w:tcPr>
          <w:p>
            <w:pPr>
              <w:pStyle w:val="100"/>
              <w:widowControl w:val="0"/>
              <w:bidi w:val="0"/>
              <w:adjustRightInd w:val="0"/>
              <w:snapToGrid w:val="0"/>
              <w:rPr>
                <w:rFonts w:hint="default"/>
                <w:lang w:val="en-US" w:eastAsia="zh-CN"/>
              </w:rPr>
            </w:pPr>
            <w:r>
              <w:rPr>
                <w:rFonts w:hint="eastAsia"/>
                <w:lang w:val="en-US" w:eastAsia="zh-CN"/>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Align w:val="center"/>
          </w:tcPr>
          <w:p>
            <w:pPr>
              <w:pStyle w:val="100"/>
              <w:widowControl w:val="0"/>
              <w:bidi w:val="0"/>
              <w:adjustRightInd w:val="0"/>
              <w:snapToGrid w:val="0"/>
              <w:rPr>
                <w:rFonts w:hint="default"/>
                <w:lang w:val="en-US" w:eastAsia="zh-CN"/>
              </w:rPr>
            </w:pPr>
            <w:r>
              <w:rPr>
                <w:rFonts w:hint="eastAsia"/>
                <w:lang w:val="en-US" w:eastAsia="zh-CN"/>
              </w:rPr>
              <w:t>废气治理</w:t>
            </w:r>
          </w:p>
        </w:tc>
        <w:tc>
          <w:tcPr>
            <w:tcW w:w="867" w:type="dxa"/>
            <w:vAlign w:val="center"/>
          </w:tcPr>
          <w:p>
            <w:pPr>
              <w:pStyle w:val="100"/>
              <w:widowControl w:val="0"/>
              <w:bidi w:val="0"/>
              <w:adjustRightInd w:val="0"/>
              <w:snapToGrid w:val="0"/>
              <w:rPr>
                <w:rFonts w:hint="eastAsia"/>
                <w:lang w:val="en-US" w:eastAsia="zh-CN"/>
              </w:rPr>
            </w:pPr>
            <w:r>
              <w:rPr>
                <w:rFonts w:hint="eastAsia"/>
                <w:lang w:val="en-US" w:eastAsia="zh-CN"/>
              </w:rPr>
              <w:t>废气处理设施</w:t>
            </w:r>
          </w:p>
        </w:tc>
        <w:tc>
          <w:tcPr>
            <w:tcW w:w="867" w:type="dxa"/>
            <w:vAlign w:val="center"/>
          </w:tcPr>
          <w:p>
            <w:pPr>
              <w:pStyle w:val="100"/>
              <w:widowControl w:val="0"/>
              <w:bidi w:val="0"/>
              <w:adjustRightInd w:val="0"/>
              <w:snapToGrid w:val="0"/>
              <w:rPr>
                <w:rFonts w:hint="default"/>
                <w:lang w:val="en-US" w:eastAsia="zh-CN"/>
              </w:rPr>
            </w:pPr>
            <w:r>
              <w:rPr>
                <w:rFonts w:hint="eastAsia"/>
                <w:lang w:val="en-US" w:eastAsia="zh-CN"/>
              </w:rPr>
              <w:t>工业噪声</w:t>
            </w:r>
          </w:p>
        </w:tc>
        <w:tc>
          <w:tcPr>
            <w:tcW w:w="1007" w:type="dxa"/>
            <w:vAlign w:val="center"/>
          </w:tcPr>
          <w:p>
            <w:pPr>
              <w:pStyle w:val="100"/>
              <w:widowControl w:val="0"/>
              <w:bidi w:val="0"/>
              <w:adjustRightInd w:val="0"/>
              <w:snapToGrid w:val="0"/>
              <w:rPr>
                <w:rFonts w:hint="default"/>
                <w:lang w:val="en-US" w:eastAsia="zh-CN"/>
              </w:rPr>
            </w:pPr>
            <w:r>
              <w:rPr>
                <w:rFonts w:hint="eastAsia"/>
                <w:lang w:val="en-US" w:eastAsia="zh-CN"/>
              </w:rPr>
              <w:t>76</w:t>
            </w:r>
          </w:p>
        </w:tc>
        <w:tc>
          <w:tcPr>
            <w:tcW w:w="667" w:type="dxa"/>
            <w:vMerge w:val="continue"/>
            <w:vAlign w:val="center"/>
          </w:tcPr>
          <w:p>
            <w:pPr>
              <w:pStyle w:val="100"/>
              <w:widowControl w:val="0"/>
              <w:bidi w:val="0"/>
              <w:adjustRightInd w:val="0"/>
              <w:snapToGrid w:val="0"/>
            </w:pPr>
          </w:p>
        </w:tc>
        <w:tc>
          <w:tcPr>
            <w:tcW w:w="926" w:type="dxa"/>
            <w:vMerge w:val="continue"/>
            <w:vAlign w:val="center"/>
          </w:tcPr>
          <w:p>
            <w:pPr>
              <w:pStyle w:val="100"/>
              <w:widowControl w:val="0"/>
              <w:bidi w:val="0"/>
              <w:adjustRightInd w:val="0"/>
              <w:snapToGrid w:val="0"/>
            </w:pPr>
          </w:p>
        </w:tc>
        <w:tc>
          <w:tcPr>
            <w:tcW w:w="1089" w:type="dxa"/>
            <w:vAlign w:val="center"/>
          </w:tcPr>
          <w:p>
            <w:pPr>
              <w:pStyle w:val="100"/>
              <w:widowControl w:val="0"/>
              <w:bidi w:val="0"/>
              <w:adjustRightInd w:val="0"/>
              <w:snapToGrid w:val="0"/>
              <w:rPr>
                <w:rFonts w:hint="default"/>
                <w:lang w:val="en-US" w:eastAsia="zh-CN"/>
              </w:rPr>
            </w:pPr>
            <w:r>
              <w:rPr>
                <w:rFonts w:hint="eastAsia"/>
                <w:lang w:val="en-US" w:eastAsia="zh-CN"/>
              </w:rPr>
              <w:t>15</w:t>
            </w:r>
          </w:p>
        </w:tc>
        <w:tc>
          <w:tcPr>
            <w:tcW w:w="1136" w:type="dxa"/>
            <w:vAlign w:val="center"/>
          </w:tcPr>
          <w:p>
            <w:pPr>
              <w:pStyle w:val="100"/>
              <w:widowControl w:val="0"/>
              <w:bidi w:val="0"/>
              <w:adjustRightInd w:val="0"/>
              <w:snapToGrid w:val="0"/>
              <w:rPr>
                <w:rFonts w:hint="default"/>
                <w:lang w:val="en-US" w:eastAsia="zh-CN"/>
              </w:rPr>
            </w:pPr>
            <w:r>
              <w:rPr>
                <w:rFonts w:hint="eastAsia"/>
                <w:lang w:val="en-US" w:eastAsia="zh-CN"/>
              </w:rPr>
              <w:t>61</w:t>
            </w:r>
          </w:p>
        </w:tc>
        <w:tc>
          <w:tcPr>
            <w:tcW w:w="589" w:type="dxa"/>
            <w:vMerge w:val="continue"/>
            <w:vAlign w:val="center"/>
          </w:tcPr>
          <w:p>
            <w:pPr>
              <w:pStyle w:val="100"/>
              <w:widowControl w:val="0"/>
              <w:bidi w:val="0"/>
              <w:adjustRightInd w:val="0"/>
              <w:snapToGrid w:val="0"/>
            </w:pPr>
          </w:p>
        </w:tc>
        <w:tc>
          <w:tcPr>
            <w:tcW w:w="879" w:type="dxa"/>
            <w:vAlign w:val="center"/>
          </w:tcPr>
          <w:p>
            <w:pPr>
              <w:pStyle w:val="100"/>
              <w:widowControl w:val="0"/>
              <w:bidi w:val="0"/>
              <w:adjustRightInd w:val="0"/>
              <w:snapToGrid w:val="0"/>
              <w:rPr>
                <w:rFonts w:hint="default"/>
                <w:lang w:val="en-US" w:eastAsia="zh-CN"/>
              </w:rPr>
            </w:pPr>
            <w:r>
              <w:rPr>
                <w:rFonts w:hint="eastAsia"/>
                <w:lang w:val="en-US" w:eastAsia="zh-CN"/>
              </w:rPr>
              <w:t>6000</w:t>
            </w:r>
          </w:p>
        </w:tc>
      </w:tr>
    </w:tbl>
    <w:p>
      <w:pPr>
        <w:pStyle w:val="103"/>
        <w:bidi w:val="0"/>
      </w:pPr>
      <w:r>
        <w:t>建设单位针对各噪声源噪声产生特点采取相应的防噪、降噪措施，合理布局，使项目投产后厂界噪声达标，对周围敏感保护点的影响减至最低限度，具体防治措施如下：</w:t>
      </w:r>
    </w:p>
    <w:p>
      <w:pPr>
        <w:pStyle w:val="103"/>
        <w:bidi w:val="0"/>
      </w:pPr>
      <w:r>
        <w:t>（1）合理安排整体布局，选用低噪声设备，高噪声设备布置在隔声房内；</w:t>
      </w:r>
    </w:p>
    <w:p>
      <w:pPr>
        <w:pStyle w:val="103"/>
        <w:bidi w:val="0"/>
      </w:pPr>
      <w:r>
        <w:t>（2）设置减振、隔振基础，对有振动的设备设置减振台；</w:t>
      </w:r>
    </w:p>
    <w:p>
      <w:pPr>
        <w:pStyle w:val="103"/>
        <w:bidi w:val="0"/>
      </w:pPr>
      <w:r>
        <w:t>（3）对设备进行经常性维护，保持设备处于良好的运转状态，同时加强内部管理，合理作业，避免不必要的突发性噪声；</w:t>
      </w:r>
    </w:p>
    <w:p>
      <w:pPr>
        <w:pStyle w:val="103"/>
        <w:bidi w:val="0"/>
      </w:pPr>
      <w:r>
        <w:t>（4）生产车间采用实体墙，设备均设置在车间内，通过建筑物隔声；</w:t>
      </w:r>
    </w:p>
    <w:p>
      <w:pPr>
        <w:pStyle w:val="103"/>
        <w:bidi w:val="0"/>
      </w:pPr>
      <w:r>
        <w:t>（5）合理安排作业时间。</w:t>
      </w:r>
    </w:p>
    <w:p>
      <w:pPr>
        <w:pStyle w:val="104"/>
      </w:pPr>
      <w:r>
        <w:t>固体废弃物</w:t>
      </w:r>
    </w:p>
    <w:p>
      <w:pPr>
        <w:pStyle w:val="103"/>
        <w:bidi w:val="0"/>
      </w:pPr>
      <w:r>
        <w:t>本项目副产物主要为</w:t>
      </w:r>
      <w:r>
        <w:rPr>
          <w:rFonts w:hint="eastAsia"/>
          <w:lang w:val="en-US" w:eastAsia="zh-CN"/>
        </w:rPr>
        <w:t>PET边角料、废油墨罐、废胶水罐、废纸箱、废活性炭、不合格品、废抹布以及生活垃圾</w:t>
      </w:r>
      <w:r>
        <w:t>。根据《固体废物鉴别</w:t>
      </w:r>
      <w:r>
        <w:rPr>
          <w:rFonts w:hint="eastAsia"/>
        </w:rPr>
        <w:t>标准通则（GB34330-2017）</w:t>
      </w:r>
      <w:r>
        <w:t>》的规定，对其是否属于固体废物进行判定，见表5-</w:t>
      </w:r>
      <w:r>
        <w:rPr>
          <w:rFonts w:hint="eastAsia"/>
        </w:rPr>
        <w:t>6，</w:t>
      </w:r>
      <w:r>
        <w:t>固体废弃物产生情况见表5-</w:t>
      </w:r>
      <w:r>
        <w:rPr>
          <w:rFonts w:hint="eastAsia"/>
          <w:lang w:val="en-US" w:eastAsia="zh-CN"/>
        </w:rPr>
        <w:t>7</w:t>
      </w:r>
      <w:r>
        <w:t>。</w:t>
      </w:r>
    </w:p>
    <w:p>
      <w:pPr>
        <w:pStyle w:val="273"/>
        <w:bidi w:val="0"/>
        <w:rPr>
          <w:rFonts w:hint="eastAsia"/>
        </w:rPr>
      </w:pPr>
      <w:r>
        <w:rPr>
          <w:rFonts w:hint="eastAsia"/>
        </w:rPr>
        <w:t>表5-</w:t>
      </w:r>
      <w:r>
        <w:rPr>
          <w:rFonts w:hint="eastAsia"/>
          <w:lang w:val="en-US" w:eastAsia="zh-CN"/>
        </w:rPr>
        <w:t>7</w:t>
      </w:r>
      <w:r>
        <w:rPr>
          <w:rFonts w:hint="eastAsia"/>
        </w:rPr>
        <w:t xml:space="preserve">  项目副产物产生情况汇总表</w:t>
      </w:r>
    </w:p>
    <w:tbl>
      <w:tblPr>
        <w:tblStyle w:val="2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620"/>
        <w:gridCol w:w="1118"/>
        <w:gridCol w:w="675"/>
        <w:gridCol w:w="1185"/>
        <w:gridCol w:w="1133"/>
        <w:gridCol w:w="1133"/>
        <w:gridCol w:w="851"/>
        <w:gridCol w:w="1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3" w:type="dxa"/>
            <w:vMerge w:val="restart"/>
            <w:vAlign w:val="center"/>
          </w:tcPr>
          <w:p>
            <w:pPr>
              <w:pStyle w:val="100"/>
              <w:widowControl w:val="0"/>
              <w:bidi w:val="0"/>
              <w:adjustRightInd w:val="0"/>
              <w:snapToGrid w:val="0"/>
            </w:pPr>
            <w:r>
              <w:t>序号</w:t>
            </w:r>
          </w:p>
        </w:tc>
        <w:tc>
          <w:tcPr>
            <w:tcW w:w="1620" w:type="dxa"/>
            <w:vMerge w:val="restart"/>
            <w:vAlign w:val="center"/>
          </w:tcPr>
          <w:p>
            <w:pPr>
              <w:pStyle w:val="100"/>
              <w:widowControl w:val="0"/>
              <w:bidi w:val="0"/>
              <w:adjustRightInd w:val="0"/>
              <w:snapToGrid w:val="0"/>
            </w:pPr>
            <w:r>
              <w:t>副产物</w:t>
            </w:r>
          </w:p>
        </w:tc>
        <w:tc>
          <w:tcPr>
            <w:tcW w:w="1118" w:type="dxa"/>
            <w:vMerge w:val="restart"/>
            <w:vAlign w:val="center"/>
          </w:tcPr>
          <w:p>
            <w:pPr>
              <w:pStyle w:val="100"/>
              <w:widowControl w:val="0"/>
              <w:bidi w:val="0"/>
              <w:adjustRightInd w:val="0"/>
              <w:snapToGrid w:val="0"/>
            </w:pPr>
            <w:r>
              <w:t>产生工序</w:t>
            </w:r>
          </w:p>
        </w:tc>
        <w:tc>
          <w:tcPr>
            <w:tcW w:w="675" w:type="dxa"/>
            <w:vMerge w:val="restart"/>
            <w:vAlign w:val="center"/>
          </w:tcPr>
          <w:p>
            <w:pPr>
              <w:pStyle w:val="100"/>
              <w:widowControl w:val="0"/>
              <w:bidi w:val="0"/>
              <w:adjustRightInd w:val="0"/>
              <w:snapToGrid w:val="0"/>
            </w:pPr>
            <w:r>
              <w:t>形态</w:t>
            </w:r>
          </w:p>
        </w:tc>
        <w:tc>
          <w:tcPr>
            <w:tcW w:w="1185" w:type="dxa"/>
            <w:vMerge w:val="restart"/>
            <w:vAlign w:val="center"/>
          </w:tcPr>
          <w:p>
            <w:pPr>
              <w:pStyle w:val="100"/>
              <w:widowControl w:val="0"/>
              <w:bidi w:val="0"/>
              <w:adjustRightInd w:val="0"/>
              <w:snapToGrid w:val="0"/>
            </w:pPr>
            <w:r>
              <w:t>主要成分</w:t>
            </w:r>
          </w:p>
        </w:tc>
        <w:tc>
          <w:tcPr>
            <w:tcW w:w="1133" w:type="dxa"/>
            <w:vMerge w:val="restart"/>
            <w:vAlign w:val="center"/>
          </w:tcPr>
          <w:p>
            <w:pPr>
              <w:pStyle w:val="100"/>
              <w:widowControl w:val="0"/>
              <w:bidi w:val="0"/>
              <w:adjustRightInd w:val="0"/>
              <w:snapToGrid w:val="0"/>
            </w:pPr>
            <w:r>
              <w:t>预测产生量（t/a）</w:t>
            </w:r>
          </w:p>
        </w:tc>
        <w:tc>
          <w:tcPr>
            <w:tcW w:w="3082" w:type="dxa"/>
            <w:gridSpan w:val="3"/>
            <w:vAlign w:val="center"/>
          </w:tcPr>
          <w:p>
            <w:pPr>
              <w:pStyle w:val="100"/>
              <w:widowControl w:val="0"/>
              <w:bidi w:val="0"/>
              <w:adjustRightInd w:val="0"/>
              <w:snapToGrid w:val="0"/>
            </w:pPr>
            <w: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73" w:type="dxa"/>
            <w:vMerge w:val="continue"/>
            <w:vAlign w:val="center"/>
          </w:tcPr>
          <w:p>
            <w:pPr>
              <w:pStyle w:val="100"/>
              <w:widowControl w:val="0"/>
              <w:bidi w:val="0"/>
              <w:adjustRightInd w:val="0"/>
              <w:snapToGrid w:val="0"/>
            </w:pPr>
          </w:p>
        </w:tc>
        <w:tc>
          <w:tcPr>
            <w:tcW w:w="1620" w:type="dxa"/>
            <w:vMerge w:val="continue"/>
            <w:vAlign w:val="center"/>
          </w:tcPr>
          <w:p>
            <w:pPr>
              <w:pStyle w:val="100"/>
              <w:widowControl w:val="0"/>
              <w:bidi w:val="0"/>
              <w:adjustRightInd w:val="0"/>
              <w:snapToGrid w:val="0"/>
            </w:pPr>
          </w:p>
        </w:tc>
        <w:tc>
          <w:tcPr>
            <w:tcW w:w="1118" w:type="dxa"/>
            <w:vMerge w:val="continue"/>
            <w:vAlign w:val="center"/>
          </w:tcPr>
          <w:p>
            <w:pPr>
              <w:pStyle w:val="100"/>
              <w:widowControl w:val="0"/>
              <w:bidi w:val="0"/>
              <w:adjustRightInd w:val="0"/>
              <w:snapToGrid w:val="0"/>
            </w:pPr>
          </w:p>
        </w:tc>
        <w:tc>
          <w:tcPr>
            <w:tcW w:w="675" w:type="dxa"/>
            <w:vMerge w:val="continue"/>
            <w:vAlign w:val="center"/>
          </w:tcPr>
          <w:p>
            <w:pPr>
              <w:pStyle w:val="100"/>
              <w:widowControl w:val="0"/>
              <w:bidi w:val="0"/>
              <w:adjustRightInd w:val="0"/>
              <w:snapToGrid w:val="0"/>
            </w:pPr>
          </w:p>
        </w:tc>
        <w:tc>
          <w:tcPr>
            <w:tcW w:w="1185" w:type="dxa"/>
            <w:vMerge w:val="continue"/>
            <w:vAlign w:val="center"/>
          </w:tcPr>
          <w:p>
            <w:pPr>
              <w:pStyle w:val="100"/>
              <w:widowControl w:val="0"/>
              <w:bidi w:val="0"/>
              <w:adjustRightInd w:val="0"/>
              <w:snapToGrid w:val="0"/>
            </w:pPr>
          </w:p>
        </w:tc>
        <w:tc>
          <w:tcPr>
            <w:tcW w:w="1133" w:type="dxa"/>
            <w:vMerge w:val="continue"/>
            <w:vAlign w:val="center"/>
          </w:tcPr>
          <w:p>
            <w:pPr>
              <w:pStyle w:val="100"/>
              <w:widowControl w:val="0"/>
              <w:bidi w:val="0"/>
              <w:adjustRightInd w:val="0"/>
              <w:snapToGrid w:val="0"/>
            </w:pPr>
          </w:p>
        </w:tc>
        <w:tc>
          <w:tcPr>
            <w:tcW w:w="1133" w:type="dxa"/>
            <w:vAlign w:val="center"/>
          </w:tcPr>
          <w:p>
            <w:pPr>
              <w:pStyle w:val="100"/>
              <w:widowControl w:val="0"/>
              <w:bidi w:val="0"/>
              <w:adjustRightInd w:val="0"/>
              <w:snapToGrid w:val="0"/>
            </w:pPr>
            <w:r>
              <w:t>固体废物</w:t>
            </w:r>
          </w:p>
        </w:tc>
        <w:tc>
          <w:tcPr>
            <w:tcW w:w="851" w:type="dxa"/>
            <w:vAlign w:val="center"/>
          </w:tcPr>
          <w:p>
            <w:pPr>
              <w:pStyle w:val="100"/>
              <w:widowControl w:val="0"/>
              <w:bidi w:val="0"/>
              <w:adjustRightInd w:val="0"/>
              <w:snapToGrid w:val="0"/>
            </w:pPr>
            <w:r>
              <w:t>副产物</w:t>
            </w:r>
          </w:p>
        </w:tc>
        <w:tc>
          <w:tcPr>
            <w:tcW w:w="1098" w:type="dxa"/>
            <w:vAlign w:val="center"/>
          </w:tcPr>
          <w:p>
            <w:pPr>
              <w:pStyle w:val="100"/>
              <w:widowControl w:val="0"/>
              <w:bidi w:val="0"/>
              <w:adjustRightInd w:val="0"/>
              <w:snapToGrid w:val="0"/>
            </w:pPr>
            <w: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pPr>
            <w:r>
              <w:rPr>
                <w:rFonts w:hint="eastAsia"/>
              </w:rPr>
              <w:t>1</w:t>
            </w:r>
          </w:p>
        </w:tc>
        <w:tc>
          <w:tcPr>
            <w:tcW w:w="1620" w:type="dxa"/>
            <w:vAlign w:val="center"/>
          </w:tcPr>
          <w:p>
            <w:pPr>
              <w:pStyle w:val="100"/>
              <w:widowControl w:val="0"/>
              <w:bidi w:val="0"/>
              <w:adjustRightInd w:val="0"/>
              <w:snapToGrid w:val="0"/>
            </w:pPr>
            <w:r>
              <w:rPr>
                <w:rFonts w:hint="eastAsia"/>
              </w:rPr>
              <w:t>PET边角料</w:t>
            </w:r>
          </w:p>
        </w:tc>
        <w:tc>
          <w:tcPr>
            <w:tcW w:w="1118" w:type="dxa"/>
            <w:vAlign w:val="center"/>
          </w:tcPr>
          <w:p>
            <w:pPr>
              <w:pStyle w:val="100"/>
              <w:widowControl w:val="0"/>
              <w:bidi w:val="0"/>
              <w:adjustRightInd w:val="0"/>
              <w:snapToGrid w:val="0"/>
            </w:pPr>
            <w:r>
              <w:rPr>
                <w:rFonts w:hint="eastAsia"/>
              </w:rPr>
              <w:t>模切</w:t>
            </w:r>
          </w:p>
        </w:tc>
        <w:tc>
          <w:tcPr>
            <w:tcW w:w="675" w:type="dxa"/>
            <w:vAlign w:val="center"/>
          </w:tcPr>
          <w:p>
            <w:pPr>
              <w:pStyle w:val="100"/>
              <w:widowControl w:val="0"/>
              <w:bidi w:val="0"/>
              <w:adjustRightInd w:val="0"/>
              <w:snapToGrid w:val="0"/>
            </w:pPr>
            <w:r>
              <w:rPr>
                <w:rFonts w:hint="eastAsia"/>
              </w:rPr>
              <w:t>固态</w:t>
            </w:r>
          </w:p>
        </w:tc>
        <w:tc>
          <w:tcPr>
            <w:tcW w:w="1185" w:type="dxa"/>
            <w:vAlign w:val="center"/>
          </w:tcPr>
          <w:p>
            <w:pPr>
              <w:pStyle w:val="100"/>
              <w:widowControl w:val="0"/>
              <w:bidi w:val="0"/>
              <w:adjustRightInd w:val="0"/>
              <w:snapToGrid w:val="0"/>
            </w:pPr>
            <w:r>
              <w:rPr>
                <w:rFonts w:hint="eastAsia"/>
              </w:rPr>
              <w:t>PET</w:t>
            </w:r>
          </w:p>
        </w:tc>
        <w:tc>
          <w:tcPr>
            <w:tcW w:w="1133" w:type="dxa"/>
            <w:vAlign w:val="center"/>
          </w:tcPr>
          <w:p>
            <w:pPr>
              <w:pStyle w:val="100"/>
              <w:widowControl w:val="0"/>
              <w:bidi w:val="0"/>
              <w:adjustRightInd w:val="0"/>
              <w:snapToGrid w:val="0"/>
              <w:rPr>
                <w:rFonts w:hint="eastAsia"/>
                <w:lang w:val="en-US" w:eastAsia="zh-CN"/>
              </w:rPr>
            </w:pPr>
            <w:r>
              <w:rPr>
                <w:rFonts w:hint="eastAsia"/>
                <w:lang w:val="en-US" w:eastAsia="zh-CN"/>
              </w:rPr>
              <w:t>2</w:t>
            </w:r>
          </w:p>
        </w:tc>
        <w:tc>
          <w:tcPr>
            <w:tcW w:w="1133" w:type="dxa"/>
            <w:vAlign w:val="center"/>
          </w:tcPr>
          <w:p>
            <w:pPr>
              <w:pStyle w:val="100"/>
              <w:widowControl w:val="0"/>
              <w:bidi w:val="0"/>
              <w:adjustRightInd w:val="0"/>
              <w:snapToGrid w:val="0"/>
            </w:pPr>
            <w:r>
              <w:t>√</w:t>
            </w:r>
          </w:p>
        </w:tc>
        <w:tc>
          <w:tcPr>
            <w:tcW w:w="851" w:type="dxa"/>
            <w:vAlign w:val="center"/>
          </w:tcPr>
          <w:p>
            <w:pPr>
              <w:pStyle w:val="100"/>
              <w:widowControl w:val="0"/>
              <w:bidi w:val="0"/>
              <w:adjustRightInd w:val="0"/>
              <w:snapToGrid w:val="0"/>
            </w:pPr>
            <w:r>
              <w:t>/</w:t>
            </w:r>
          </w:p>
        </w:tc>
        <w:tc>
          <w:tcPr>
            <w:tcW w:w="1098" w:type="dxa"/>
            <w:vMerge w:val="restart"/>
            <w:vAlign w:val="center"/>
          </w:tcPr>
          <w:p>
            <w:pPr>
              <w:pStyle w:val="100"/>
              <w:widowControl w:val="0"/>
              <w:bidi w:val="0"/>
              <w:adjustRightInd w:val="0"/>
              <w:snapToGrid w:val="0"/>
            </w:pPr>
            <w:r>
              <w:t>根据《固体废物鉴别</w:t>
            </w:r>
            <w:r>
              <w:rPr>
                <w:rFonts w:hint="eastAsia"/>
              </w:rPr>
              <w:t>标准 通则（GB34330-2017）</w:t>
            </w:r>
            <w:r>
              <w:t>》的规定进行判别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pPr>
            <w:r>
              <w:rPr>
                <w:rFonts w:hint="eastAsia"/>
              </w:rPr>
              <w:t>2</w:t>
            </w:r>
          </w:p>
        </w:tc>
        <w:tc>
          <w:tcPr>
            <w:tcW w:w="1620" w:type="dxa"/>
            <w:vAlign w:val="center"/>
          </w:tcPr>
          <w:p>
            <w:pPr>
              <w:pStyle w:val="100"/>
              <w:widowControl w:val="0"/>
              <w:bidi w:val="0"/>
              <w:adjustRightInd w:val="0"/>
              <w:snapToGrid w:val="0"/>
            </w:pPr>
            <w:r>
              <w:rPr>
                <w:rFonts w:hint="eastAsia"/>
              </w:rPr>
              <w:t>废油墨罐</w:t>
            </w:r>
          </w:p>
        </w:tc>
        <w:tc>
          <w:tcPr>
            <w:tcW w:w="1118" w:type="dxa"/>
            <w:vAlign w:val="center"/>
          </w:tcPr>
          <w:p>
            <w:pPr>
              <w:pStyle w:val="100"/>
              <w:widowControl w:val="0"/>
              <w:bidi w:val="0"/>
              <w:adjustRightInd w:val="0"/>
              <w:snapToGrid w:val="0"/>
            </w:pPr>
            <w:r>
              <w:rPr>
                <w:rFonts w:hint="eastAsia"/>
              </w:rPr>
              <w:t>印刷</w:t>
            </w:r>
          </w:p>
        </w:tc>
        <w:tc>
          <w:tcPr>
            <w:tcW w:w="675" w:type="dxa"/>
            <w:vAlign w:val="center"/>
          </w:tcPr>
          <w:p>
            <w:pPr>
              <w:pStyle w:val="100"/>
              <w:widowControl w:val="0"/>
              <w:bidi w:val="0"/>
              <w:adjustRightInd w:val="0"/>
              <w:snapToGrid w:val="0"/>
            </w:pPr>
            <w:r>
              <w:rPr>
                <w:rFonts w:hint="eastAsia"/>
              </w:rPr>
              <w:t>固态</w:t>
            </w:r>
          </w:p>
        </w:tc>
        <w:tc>
          <w:tcPr>
            <w:tcW w:w="1185" w:type="dxa"/>
            <w:vAlign w:val="center"/>
          </w:tcPr>
          <w:p>
            <w:pPr>
              <w:pStyle w:val="100"/>
              <w:widowControl w:val="0"/>
              <w:bidi w:val="0"/>
              <w:adjustRightInd w:val="0"/>
              <w:snapToGrid w:val="0"/>
            </w:pPr>
            <w:r>
              <w:rPr>
                <w:rFonts w:hint="eastAsia"/>
              </w:rPr>
              <w:t>油墨</w:t>
            </w:r>
          </w:p>
        </w:tc>
        <w:tc>
          <w:tcPr>
            <w:tcW w:w="1133" w:type="dxa"/>
            <w:vAlign w:val="center"/>
          </w:tcPr>
          <w:p>
            <w:pPr>
              <w:pStyle w:val="100"/>
              <w:widowControl w:val="0"/>
              <w:bidi w:val="0"/>
              <w:adjustRightInd w:val="0"/>
              <w:snapToGrid w:val="0"/>
            </w:pPr>
            <w:r>
              <w:rPr>
                <w:rFonts w:hint="eastAsia"/>
              </w:rPr>
              <w:t>0.5</w:t>
            </w:r>
          </w:p>
        </w:tc>
        <w:tc>
          <w:tcPr>
            <w:tcW w:w="1133" w:type="dxa"/>
            <w:vAlign w:val="center"/>
          </w:tcPr>
          <w:p>
            <w:pPr>
              <w:pStyle w:val="100"/>
              <w:widowControl w:val="0"/>
              <w:bidi w:val="0"/>
              <w:adjustRightInd w:val="0"/>
              <w:snapToGrid w:val="0"/>
            </w:pPr>
            <w:r>
              <w:t>√</w:t>
            </w:r>
          </w:p>
        </w:tc>
        <w:tc>
          <w:tcPr>
            <w:tcW w:w="851" w:type="dxa"/>
            <w:vAlign w:val="center"/>
          </w:tcPr>
          <w:p>
            <w:pPr>
              <w:pStyle w:val="100"/>
              <w:widowControl w:val="0"/>
              <w:bidi w:val="0"/>
              <w:adjustRightInd w:val="0"/>
              <w:snapToGrid w:val="0"/>
            </w:pPr>
            <w:r>
              <w:t>/</w:t>
            </w:r>
          </w:p>
        </w:tc>
        <w:tc>
          <w:tcPr>
            <w:tcW w:w="109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pPr>
            <w:r>
              <w:rPr>
                <w:rFonts w:hint="eastAsia"/>
              </w:rPr>
              <w:t>3</w:t>
            </w:r>
          </w:p>
        </w:tc>
        <w:tc>
          <w:tcPr>
            <w:tcW w:w="1620" w:type="dxa"/>
            <w:vAlign w:val="center"/>
          </w:tcPr>
          <w:p>
            <w:pPr>
              <w:pStyle w:val="100"/>
              <w:widowControl w:val="0"/>
              <w:bidi w:val="0"/>
              <w:adjustRightInd w:val="0"/>
              <w:snapToGrid w:val="0"/>
            </w:pPr>
            <w:r>
              <w:rPr>
                <w:rFonts w:hint="eastAsia"/>
              </w:rPr>
              <w:t>废胶水罐</w:t>
            </w:r>
          </w:p>
        </w:tc>
        <w:tc>
          <w:tcPr>
            <w:tcW w:w="1118" w:type="dxa"/>
            <w:vAlign w:val="center"/>
          </w:tcPr>
          <w:p>
            <w:pPr>
              <w:pStyle w:val="100"/>
              <w:widowControl w:val="0"/>
              <w:bidi w:val="0"/>
              <w:adjustRightInd w:val="0"/>
              <w:snapToGrid w:val="0"/>
            </w:pPr>
            <w:r>
              <w:rPr>
                <w:rFonts w:hint="eastAsia"/>
              </w:rPr>
              <w:t>上胶</w:t>
            </w:r>
          </w:p>
        </w:tc>
        <w:tc>
          <w:tcPr>
            <w:tcW w:w="675" w:type="dxa"/>
            <w:vAlign w:val="center"/>
          </w:tcPr>
          <w:p>
            <w:pPr>
              <w:pStyle w:val="100"/>
              <w:widowControl w:val="0"/>
              <w:bidi w:val="0"/>
              <w:adjustRightInd w:val="0"/>
              <w:snapToGrid w:val="0"/>
            </w:pPr>
            <w:r>
              <w:rPr>
                <w:rFonts w:hint="eastAsia"/>
              </w:rPr>
              <w:t>固态</w:t>
            </w:r>
          </w:p>
        </w:tc>
        <w:tc>
          <w:tcPr>
            <w:tcW w:w="1185" w:type="dxa"/>
            <w:vAlign w:val="center"/>
          </w:tcPr>
          <w:p>
            <w:pPr>
              <w:pStyle w:val="100"/>
              <w:widowControl w:val="0"/>
              <w:bidi w:val="0"/>
              <w:adjustRightInd w:val="0"/>
              <w:snapToGrid w:val="0"/>
            </w:pPr>
            <w:r>
              <w:rPr>
                <w:rFonts w:hint="eastAsia"/>
              </w:rPr>
              <w:t>水胶</w:t>
            </w:r>
          </w:p>
        </w:tc>
        <w:tc>
          <w:tcPr>
            <w:tcW w:w="1133" w:type="dxa"/>
            <w:vAlign w:val="center"/>
          </w:tcPr>
          <w:p>
            <w:pPr>
              <w:pStyle w:val="100"/>
              <w:widowControl w:val="0"/>
              <w:bidi w:val="0"/>
              <w:adjustRightInd w:val="0"/>
              <w:snapToGrid w:val="0"/>
            </w:pPr>
            <w:r>
              <w:rPr>
                <w:rFonts w:hint="eastAsia"/>
              </w:rPr>
              <w:t>0.5</w:t>
            </w:r>
          </w:p>
        </w:tc>
        <w:tc>
          <w:tcPr>
            <w:tcW w:w="1133" w:type="dxa"/>
            <w:vAlign w:val="center"/>
          </w:tcPr>
          <w:p>
            <w:pPr>
              <w:pStyle w:val="100"/>
              <w:widowControl w:val="0"/>
              <w:bidi w:val="0"/>
              <w:adjustRightInd w:val="0"/>
              <w:snapToGrid w:val="0"/>
            </w:pPr>
            <w:r>
              <w:t>√</w:t>
            </w:r>
          </w:p>
        </w:tc>
        <w:tc>
          <w:tcPr>
            <w:tcW w:w="851" w:type="dxa"/>
            <w:vAlign w:val="center"/>
          </w:tcPr>
          <w:p>
            <w:pPr>
              <w:pStyle w:val="100"/>
              <w:widowControl w:val="0"/>
              <w:bidi w:val="0"/>
              <w:adjustRightInd w:val="0"/>
              <w:snapToGrid w:val="0"/>
            </w:pPr>
            <w:r>
              <w:t>/</w:t>
            </w:r>
          </w:p>
        </w:tc>
        <w:tc>
          <w:tcPr>
            <w:tcW w:w="109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pPr>
            <w:r>
              <w:rPr>
                <w:rFonts w:hint="eastAsia"/>
              </w:rPr>
              <w:t>4</w:t>
            </w:r>
          </w:p>
        </w:tc>
        <w:tc>
          <w:tcPr>
            <w:tcW w:w="1620" w:type="dxa"/>
            <w:vAlign w:val="center"/>
          </w:tcPr>
          <w:p>
            <w:pPr>
              <w:pStyle w:val="100"/>
              <w:widowControl w:val="0"/>
              <w:bidi w:val="0"/>
              <w:adjustRightInd w:val="0"/>
              <w:snapToGrid w:val="0"/>
            </w:pPr>
            <w:r>
              <w:rPr>
                <w:rFonts w:hint="eastAsia"/>
              </w:rPr>
              <w:t>废纸箱</w:t>
            </w:r>
          </w:p>
        </w:tc>
        <w:tc>
          <w:tcPr>
            <w:tcW w:w="1118" w:type="dxa"/>
            <w:vAlign w:val="center"/>
          </w:tcPr>
          <w:p>
            <w:pPr>
              <w:pStyle w:val="100"/>
              <w:widowControl w:val="0"/>
              <w:bidi w:val="0"/>
              <w:adjustRightInd w:val="0"/>
              <w:snapToGrid w:val="0"/>
            </w:pPr>
            <w:r>
              <w:rPr>
                <w:rFonts w:hint="eastAsia"/>
              </w:rPr>
              <w:t>包装</w:t>
            </w:r>
          </w:p>
        </w:tc>
        <w:tc>
          <w:tcPr>
            <w:tcW w:w="675" w:type="dxa"/>
            <w:vAlign w:val="center"/>
          </w:tcPr>
          <w:p>
            <w:pPr>
              <w:pStyle w:val="100"/>
              <w:widowControl w:val="0"/>
              <w:bidi w:val="0"/>
              <w:adjustRightInd w:val="0"/>
              <w:snapToGrid w:val="0"/>
            </w:pPr>
            <w:r>
              <w:rPr>
                <w:rFonts w:hint="eastAsia"/>
              </w:rPr>
              <w:t>固态</w:t>
            </w:r>
          </w:p>
        </w:tc>
        <w:tc>
          <w:tcPr>
            <w:tcW w:w="1185" w:type="dxa"/>
            <w:vAlign w:val="center"/>
          </w:tcPr>
          <w:p>
            <w:pPr>
              <w:pStyle w:val="100"/>
              <w:widowControl w:val="0"/>
              <w:bidi w:val="0"/>
              <w:adjustRightInd w:val="0"/>
              <w:snapToGrid w:val="0"/>
            </w:pPr>
            <w:r>
              <w:rPr>
                <w:rFonts w:hint="eastAsia"/>
              </w:rPr>
              <w:t>纸</w:t>
            </w:r>
          </w:p>
        </w:tc>
        <w:tc>
          <w:tcPr>
            <w:tcW w:w="1133" w:type="dxa"/>
            <w:vAlign w:val="center"/>
          </w:tcPr>
          <w:p>
            <w:pPr>
              <w:pStyle w:val="100"/>
              <w:widowControl w:val="0"/>
              <w:bidi w:val="0"/>
              <w:adjustRightInd w:val="0"/>
              <w:snapToGrid w:val="0"/>
            </w:pPr>
            <w:r>
              <w:rPr>
                <w:rFonts w:hint="eastAsia"/>
              </w:rPr>
              <w:t>3</w:t>
            </w:r>
          </w:p>
        </w:tc>
        <w:tc>
          <w:tcPr>
            <w:tcW w:w="1133" w:type="dxa"/>
            <w:vAlign w:val="center"/>
          </w:tcPr>
          <w:p>
            <w:pPr>
              <w:pStyle w:val="100"/>
              <w:widowControl w:val="0"/>
              <w:bidi w:val="0"/>
              <w:adjustRightInd w:val="0"/>
              <w:snapToGrid w:val="0"/>
            </w:pPr>
            <w:r>
              <w:t>√</w:t>
            </w:r>
          </w:p>
        </w:tc>
        <w:tc>
          <w:tcPr>
            <w:tcW w:w="851" w:type="dxa"/>
            <w:vAlign w:val="center"/>
          </w:tcPr>
          <w:p>
            <w:pPr>
              <w:pStyle w:val="100"/>
              <w:widowControl w:val="0"/>
              <w:bidi w:val="0"/>
              <w:adjustRightInd w:val="0"/>
              <w:snapToGrid w:val="0"/>
            </w:pPr>
            <w:r>
              <w:t>/</w:t>
            </w:r>
          </w:p>
        </w:tc>
        <w:tc>
          <w:tcPr>
            <w:tcW w:w="109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pPr>
            <w:r>
              <w:rPr>
                <w:rFonts w:hint="eastAsia"/>
              </w:rPr>
              <w:t>5</w:t>
            </w:r>
          </w:p>
        </w:tc>
        <w:tc>
          <w:tcPr>
            <w:tcW w:w="1620" w:type="dxa"/>
            <w:vAlign w:val="center"/>
          </w:tcPr>
          <w:p>
            <w:pPr>
              <w:pStyle w:val="100"/>
              <w:widowControl w:val="0"/>
              <w:bidi w:val="0"/>
              <w:adjustRightInd w:val="0"/>
              <w:snapToGrid w:val="0"/>
            </w:pPr>
            <w:r>
              <w:rPr>
                <w:rFonts w:hint="eastAsia"/>
              </w:rPr>
              <w:t>废活性炭</w:t>
            </w:r>
          </w:p>
        </w:tc>
        <w:tc>
          <w:tcPr>
            <w:tcW w:w="1118" w:type="dxa"/>
            <w:vAlign w:val="center"/>
          </w:tcPr>
          <w:p>
            <w:pPr>
              <w:pStyle w:val="100"/>
              <w:widowControl w:val="0"/>
              <w:bidi w:val="0"/>
              <w:adjustRightInd w:val="0"/>
              <w:snapToGrid w:val="0"/>
            </w:pPr>
            <w:r>
              <w:rPr>
                <w:rFonts w:hint="eastAsia"/>
              </w:rPr>
              <w:t>废气处理</w:t>
            </w:r>
          </w:p>
        </w:tc>
        <w:tc>
          <w:tcPr>
            <w:tcW w:w="675" w:type="dxa"/>
            <w:vAlign w:val="center"/>
          </w:tcPr>
          <w:p>
            <w:pPr>
              <w:pStyle w:val="100"/>
              <w:widowControl w:val="0"/>
              <w:bidi w:val="0"/>
              <w:adjustRightInd w:val="0"/>
              <w:snapToGrid w:val="0"/>
            </w:pPr>
            <w:r>
              <w:rPr>
                <w:rFonts w:hint="eastAsia"/>
              </w:rPr>
              <w:t>固态</w:t>
            </w:r>
          </w:p>
        </w:tc>
        <w:tc>
          <w:tcPr>
            <w:tcW w:w="1185" w:type="dxa"/>
            <w:vAlign w:val="center"/>
          </w:tcPr>
          <w:p>
            <w:pPr>
              <w:pStyle w:val="100"/>
              <w:widowControl w:val="0"/>
              <w:bidi w:val="0"/>
              <w:adjustRightInd w:val="0"/>
              <w:snapToGrid w:val="0"/>
            </w:pPr>
            <w:r>
              <w:rPr>
                <w:rFonts w:hint="eastAsia"/>
              </w:rPr>
              <w:t>活性炭、吸附的有机废气</w:t>
            </w:r>
          </w:p>
        </w:tc>
        <w:tc>
          <w:tcPr>
            <w:tcW w:w="1133" w:type="dxa"/>
            <w:vAlign w:val="center"/>
          </w:tcPr>
          <w:p>
            <w:pPr>
              <w:pStyle w:val="100"/>
              <w:widowControl w:val="0"/>
              <w:bidi w:val="0"/>
              <w:adjustRightInd w:val="0"/>
              <w:snapToGrid w:val="0"/>
            </w:pPr>
            <w:r>
              <w:rPr>
                <w:rFonts w:hint="eastAsia"/>
              </w:rPr>
              <w:t>0.5</w:t>
            </w:r>
          </w:p>
        </w:tc>
        <w:tc>
          <w:tcPr>
            <w:tcW w:w="1133" w:type="dxa"/>
            <w:vAlign w:val="center"/>
          </w:tcPr>
          <w:p>
            <w:pPr>
              <w:pStyle w:val="100"/>
              <w:widowControl w:val="0"/>
              <w:bidi w:val="0"/>
              <w:adjustRightInd w:val="0"/>
              <w:snapToGrid w:val="0"/>
            </w:pPr>
            <w:r>
              <w:t>√</w:t>
            </w:r>
          </w:p>
        </w:tc>
        <w:tc>
          <w:tcPr>
            <w:tcW w:w="851" w:type="dxa"/>
            <w:vAlign w:val="center"/>
          </w:tcPr>
          <w:p>
            <w:pPr>
              <w:pStyle w:val="100"/>
              <w:widowControl w:val="0"/>
              <w:bidi w:val="0"/>
              <w:adjustRightInd w:val="0"/>
              <w:snapToGrid w:val="0"/>
            </w:pPr>
            <w:r>
              <w:t>/</w:t>
            </w:r>
          </w:p>
        </w:tc>
        <w:tc>
          <w:tcPr>
            <w:tcW w:w="109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rPr>
                <w:rFonts w:hint="default"/>
                <w:lang w:val="en-US" w:eastAsia="zh-CN"/>
              </w:rPr>
            </w:pPr>
            <w:r>
              <w:rPr>
                <w:rFonts w:hint="eastAsia"/>
                <w:lang w:val="en-US" w:eastAsia="zh-CN"/>
              </w:rPr>
              <w:t>6</w:t>
            </w:r>
          </w:p>
        </w:tc>
        <w:tc>
          <w:tcPr>
            <w:tcW w:w="1620" w:type="dxa"/>
            <w:vAlign w:val="center"/>
          </w:tcPr>
          <w:p>
            <w:pPr>
              <w:pStyle w:val="100"/>
              <w:widowControl w:val="0"/>
              <w:bidi w:val="0"/>
              <w:adjustRightInd w:val="0"/>
              <w:snapToGrid w:val="0"/>
              <w:rPr>
                <w:lang w:val="en-US" w:eastAsia="zh-CN"/>
              </w:rPr>
            </w:pPr>
            <w:r>
              <w:rPr>
                <w:rFonts w:hint="eastAsia"/>
              </w:rPr>
              <w:t>不合格品</w:t>
            </w:r>
          </w:p>
        </w:tc>
        <w:tc>
          <w:tcPr>
            <w:tcW w:w="1118" w:type="dxa"/>
            <w:vAlign w:val="center"/>
          </w:tcPr>
          <w:p>
            <w:pPr>
              <w:pStyle w:val="100"/>
              <w:widowControl w:val="0"/>
              <w:bidi w:val="0"/>
              <w:adjustRightInd w:val="0"/>
              <w:snapToGrid w:val="0"/>
              <w:rPr>
                <w:lang w:val="en-US" w:eastAsia="zh-CN"/>
              </w:rPr>
            </w:pPr>
            <w:r>
              <w:rPr>
                <w:rFonts w:hint="eastAsia"/>
              </w:rPr>
              <w:t>检验</w:t>
            </w:r>
          </w:p>
        </w:tc>
        <w:tc>
          <w:tcPr>
            <w:tcW w:w="675" w:type="dxa"/>
            <w:vAlign w:val="center"/>
          </w:tcPr>
          <w:p>
            <w:pPr>
              <w:pStyle w:val="100"/>
              <w:widowControl w:val="0"/>
              <w:bidi w:val="0"/>
              <w:adjustRightInd w:val="0"/>
              <w:snapToGrid w:val="0"/>
              <w:rPr>
                <w:lang w:val="en-US" w:eastAsia="zh-CN"/>
              </w:rPr>
            </w:pPr>
            <w:r>
              <w:rPr>
                <w:rFonts w:hint="eastAsia"/>
              </w:rPr>
              <w:t>固态</w:t>
            </w:r>
          </w:p>
        </w:tc>
        <w:tc>
          <w:tcPr>
            <w:tcW w:w="1185" w:type="dxa"/>
            <w:vAlign w:val="center"/>
          </w:tcPr>
          <w:p>
            <w:pPr>
              <w:pStyle w:val="100"/>
              <w:widowControl w:val="0"/>
              <w:bidi w:val="0"/>
              <w:adjustRightInd w:val="0"/>
              <w:snapToGrid w:val="0"/>
              <w:rPr>
                <w:lang w:val="en-US" w:eastAsia="zh-CN"/>
              </w:rPr>
            </w:pPr>
            <w:r>
              <w:rPr>
                <w:rFonts w:hint="eastAsia"/>
              </w:rPr>
              <w:t>PET</w:t>
            </w:r>
          </w:p>
        </w:tc>
        <w:tc>
          <w:tcPr>
            <w:tcW w:w="1133" w:type="dxa"/>
            <w:vAlign w:val="center"/>
          </w:tcPr>
          <w:p>
            <w:pPr>
              <w:pStyle w:val="100"/>
              <w:widowControl w:val="0"/>
              <w:bidi w:val="0"/>
              <w:adjustRightInd w:val="0"/>
              <w:snapToGrid w:val="0"/>
              <w:rPr>
                <w:rFonts w:hint="default"/>
                <w:lang w:val="en-US" w:eastAsia="zh-CN"/>
              </w:rPr>
            </w:pPr>
            <w:r>
              <w:rPr>
                <w:rFonts w:hint="eastAsia"/>
                <w:lang w:val="en-US" w:eastAsia="zh-CN"/>
              </w:rPr>
              <w:t>1</w:t>
            </w:r>
          </w:p>
        </w:tc>
        <w:tc>
          <w:tcPr>
            <w:tcW w:w="1133" w:type="dxa"/>
            <w:vAlign w:val="center"/>
          </w:tcPr>
          <w:p>
            <w:pPr>
              <w:pStyle w:val="100"/>
              <w:widowControl w:val="0"/>
              <w:bidi w:val="0"/>
              <w:adjustRightInd w:val="0"/>
              <w:snapToGrid w:val="0"/>
              <w:rPr>
                <w:lang w:val="en-US" w:eastAsia="zh-CN"/>
              </w:rPr>
            </w:pPr>
            <w:r>
              <w:t>√</w:t>
            </w:r>
          </w:p>
        </w:tc>
        <w:tc>
          <w:tcPr>
            <w:tcW w:w="851" w:type="dxa"/>
            <w:vAlign w:val="center"/>
          </w:tcPr>
          <w:p>
            <w:pPr>
              <w:pStyle w:val="100"/>
              <w:widowControl w:val="0"/>
              <w:bidi w:val="0"/>
              <w:adjustRightInd w:val="0"/>
              <w:snapToGrid w:val="0"/>
              <w:rPr>
                <w:lang w:val="en-US" w:eastAsia="zh-CN"/>
              </w:rPr>
            </w:pPr>
            <w:r>
              <w:rPr>
                <w:rFonts w:hint="eastAsia"/>
              </w:rPr>
              <w:t>/</w:t>
            </w:r>
          </w:p>
        </w:tc>
        <w:tc>
          <w:tcPr>
            <w:tcW w:w="1098"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rPr>
                <w:rFonts w:hint="default"/>
                <w:lang w:val="en-US" w:eastAsia="zh-CN"/>
              </w:rPr>
            </w:pPr>
            <w:r>
              <w:rPr>
                <w:rFonts w:hint="eastAsia"/>
                <w:lang w:val="en-US" w:eastAsia="zh-CN"/>
              </w:rPr>
              <w:t>7</w:t>
            </w:r>
          </w:p>
        </w:tc>
        <w:tc>
          <w:tcPr>
            <w:tcW w:w="1620" w:type="dxa"/>
            <w:vAlign w:val="center"/>
          </w:tcPr>
          <w:p>
            <w:pPr>
              <w:pStyle w:val="100"/>
              <w:widowControl w:val="0"/>
              <w:bidi w:val="0"/>
              <w:adjustRightInd w:val="0"/>
              <w:snapToGrid w:val="0"/>
              <w:rPr>
                <w:rFonts w:hint="default"/>
                <w:lang w:val="en-US" w:eastAsia="zh-CN"/>
              </w:rPr>
            </w:pPr>
            <w:r>
              <w:rPr>
                <w:rFonts w:hint="eastAsia"/>
                <w:lang w:val="en-US" w:eastAsia="zh-CN"/>
              </w:rPr>
              <w:t>废抹布</w:t>
            </w:r>
          </w:p>
        </w:tc>
        <w:tc>
          <w:tcPr>
            <w:tcW w:w="1118" w:type="dxa"/>
            <w:vAlign w:val="center"/>
          </w:tcPr>
          <w:p>
            <w:pPr>
              <w:pStyle w:val="100"/>
              <w:widowControl w:val="0"/>
              <w:bidi w:val="0"/>
              <w:adjustRightInd w:val="0"/>
              <w:snapToGrid w:val="0"/>
              <w:rPr>
                <w:rFonts w:hint="default"/>
                <w:lang w:val="en-US" w:eastAsia="zh-CN"/>
              </w:rPr>
            </w:pPr>
            <w:r>
              <w:rPr>
                <w:rFonts w:hint="eastAsia"/>
                <w:lang w:val="en-US" w:eastAsia="zh-CN"/>
              </w:rPr>
              <w:t>印刷</w:t>
            </w:r>
          </w:p>
        </w:tc>
        <w:tc>
          <w:tcPr>
            <w:tcW w:w="675" w:type="dxa"/>
            <w:vAlign w:val="center"/>
          </w:tcPr>
          <w:p>
            <w:pPr>
              <w:pStyle w:val="100"/>
              <w:widowControl w:val="0"/>
              <w:bidi w:val="0"/>
              <w:adjustRightInd w:val="0"/>
              <w:snapToGrid w:val="0"/>
              <w:rPr>
                <w:rFonts w:hint="default"/>
                <w:lang w:val="en-US" w:eastAsia="zh-CN"/>
              </w:rPr>
            </w:pPr>
            <w:r>
              <w:rPr>
                <w:rFonts w:hint="eastAsia"/>
                <w:lang w:val="en-US" w:eastAsia="zh-CN"/>
              </w:rPr>
              <w:t>固态</w:t>
            </w:r>
          </w:p>
        </w:tc>
        <w:tc>
          <w:tcPr>
            <w:tcW w:w="1185" w:type="dxa"/>
            <w:vAlign w:val="center"/>
          </w:tcPr>
          <w:p>
            <w:pPr>
              <w:pStyle w:val="100"/>
              <w:widowControl w:val="0"/>
              <w:bidi w:val="0"/>
              <w:adjustRightInd w:val="0"/>
              <w:snapToGrid w:val="0"/>
              <w:rPr>
                <w:rFonts w:hint="default"/>
                <w:lang w:val="en-US" w:eastAsia="zh-CN"/>
              </w:rPr>
            </w:pPr>
            <w:r>
              <w:rPr>
                <w:rFonts w:hint="eastAsia"/>
                <w:lang w:val="en-US" w:eastAsia="zh-CN"/>
              </w:rPr>
              <w:t>布、油墨、水胶</w:t>
            </w:r>
          </w:p>
        </w:tc>
        <w:tc>
          <w:tcPr>
            <w:tcW w:w="1133" w:type="dxa"/>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1133" w:type="dxa"/>
            <w:vAlign w:val="center"/>
          </w:tcPr>
          <w:p>
            <w:pPr>
              <w:pStyle w:val="100"/>
              <w:widowControl w:val="0"/>
              <w:bidi w:val="0"/>
              <w:adjustRightInd w:val="0"/>
              <w:snapToGrid w:val="0"/>
              <w:rPr>
                <w:lang w:val="en-US" w:eastAsia="zh-CN"/>
              </w:rPr>
            </w:pPr>
            <w:r>
              <w:t>√</w:t>
            </w:r>
          </w:p>
        </w:tc>
        <w:tc>
          <w:tcPr>
            <w:tcW w:w="851" w:type="dxa"/>
            <w:vAlign w:val="center"/>
          </w:tcPr>
          <w:p>
            <w:pPr>
              <w:pStyle w:val="100"/>
              <w:widowControl w:val="0"/>
              <w:bidi w:val="0"/>
              <w:adjustRightInd w:val="0"/>
              <w:snapToGrid w:val="0"/>
              <w:rPr>
                <w:rFonts w:hint="default"/>
                <w:lang w:val="en-US" w:eastAsia="zh-CN"/>
              </w:rPr>
            </w:pPr>
            <w:r>
              <w:rPr>
                <w:rFonts w:hint="eastAsia"/>
                <w:lang w:val="en-US" w:eastAsia="zh-CN"/>
              </w:rPr>
              <w:t>/</w:t>
            </w:r>
          </w:p>
        </w:tc>
        <w:tc>
          <w:tcPr>
            <w:tcW w:w="1098" w:type="dxa"/>
            <w:vMerge w:val="continue"/>
            <w:vAlign w:val="center"/>
          </w:tcPr>
          <w:p>
            <w:pPr>
              <w:pStyle w:val="100"/>
              <w:widowControl w:val="0"/>
              <w:bidi w:val="0"/>
              <w:adjustRightInd w:val="0"/>
              <w:snapToGrid w:val="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Align w:val="center"/>
          </w:tcPr>
          <w:p>
            <w:pPr>
              <w:pStyle w:val="100"/>
              <w:widowControl w:val="0"/>
              <w:bidi w:val="0"/>
              <w:adjustRightInd w:val="0"/>
              <w:snapToGrid w:val="0"/>
              <w:rPr>
                <w:rFonts w:hint="default"/>
                <w:lang w:val="en-US" w:eastAsia="zh-CN"/>
              </w:rPr>
            </w:pPr>
            <w:r>
              <w:rPr>
                <w:rFonts w:hint="eastAsia"/>
                <w:lang w:val="en-US" w:eastAsia="zh-CN"/>
              </w:rPr>
              <w:t>8</w:t>
            </w:r>
          </w:p>
        </w:tc>
        <w:tc>
          <w:tcPr>
            <w:tcW w:w="1620" w:type="dxa"/>
            <w:vAlign w:val="center"/>
          </w:tcPr>
          <w:p>
            <w:pPr>
              <w:pStyle w:val="100"/>
              <w:widowControl w:val="0"/>
              <w:bidi w:val="0"/>
              <w:adjustRightInd w:val="0"/>
              <w:snapToGrid w:val="0"/>
              <w:rPr>
                <w:rFonts w:hint="eastAsia"/>
                <w:lang w:val="en-US" w:eastAsia="zh-CN"/>
              </w:rPr>
            </w:pPr>
            <w:r>
              <w:rPr>
                <w:rFonts w:hint="eastAsia"/>
              </w:rPr>
              <w:t>生活垃圾</w:t>
            </w:r>
          </w:p>
        </w:tc>
        <w:tc>
          <w:tcPr>
            <w:tcW w:w="1118" w:type="dxa"/>
            <w:vAlign w:val="center"/>
          </w:tcPr>
          <w:p>
            <w:pPr>
              <w:pStyle w:val="100"/>
              <w:widowControl w:val="0"/>
              <w:bidi w:val="0"/>
              <w:adjustRightInd w:val="0"/>
              <w:snapToGrid w:val="0"/>
              <w:rPr>
                <w:rFonts w:hint="eastAsia"/>
                <w:lang w:val="en-US" w:eastAsia="zh-CN"/>
              </w:rPr>
            </w:pPr>
            <w:r>
              <w:rPr>
                <w:rFonts w:hint="eastAsia"/>
              </w:rPr>
              <w:t>/</w:t>
            </w:r>
          </w:p>
        </w:tc>
        <w:tc>
          <w:tcPr>
            <w:tcW w:w="675" w:type="dxa"/>
            <w:vAlign w:val="center"/>
          </w:tcPr>
          <w:p>
            <w:pPr>
              <w:pStyle w:val="100"/>
              <w:widowControl w:val="0"/>
              <w:bidi w:val="0"/>
              <w:adjustRightInd w:val="0"/>
              <w:snapToGrid w:val="0"/>
              <w:rPr>
                <w:rFonts w:hint="eastAsia"/>
                <w:lang w:val="en-US" w:eastAsia="zh-CN"/>
              </w:rPr>
            </w:pPr>
            <w:r>
              <w:rPr>
                <w:rFonts w:hint="eastAsia"/>
              </w:rPr>
              <w:t>固态</w:t>
            </w:r>
          </w:p>
        </w:tc>
        <w:tc>
          <w:tcPr>
            <w:tcW w:w="1185" w:type="dxa"/>
            <w:vAlign w:val="center"/>
          </w:tcPr>
          <w:p>
            <w:pPr>
              <w:pStyle w:val="100"/>
              <w:widowControl w:val="0"/>
              <w:bidi w:val="0"/>
              <w:adjustRightInd w:val="0"/>
              <w:snapToGrid w:val="0"/>
              <w:rPr>
                <w:rFonts w:hint="eastAsia"/>
                <w:lang w:val="en-US" w:eastAsia="zh-CN"/>
              </w:rPr>
            </w:pPr>
            <w:r>
              <w:rPr>
                <w:rFonts w:hint="eastAsia"/>
              </w:rPr>
              <w:t>/</w:t>
            </w:r>
          </w:p>
        </w:tc>
        <w:tc>
          <w:tcPr>
            <w:tcW w:w="1133" w:type="dxa"/>
            <w:vAlign w:val="center"/>
          </w:tcPr>
          <w:p>
            <w:pPr>
              <w:pStyle w:val="100"/>
              <w:widowControl w:val="0"/>
              <w:bidi w:val="0"/>
              <w:adjustRightInd w:val="0"/>
              <w:snapToGrid w:val="0"/>
              <w:rPr>
                <w:rFonts w:hint="eastAsia"/>
                <w:lang w:val="en-US" w:eastAsia="zh-CN"/>
              </w:rPr>
            </w:pPr>
            <w:r>
              <w:rPr>
                <w:rFonts w:hint="eastAsia"/>
              </w:rPr>
              <w:t>8.4</w:t>
            </w:r>
          </w:p>
        </w:tc>
        <w:tc>
          <w:tcPr>
            <w:tcW w:w="1133" w:type="dxa"/>
            <w:vAlign w:val="center"/>
          </w:tcPr>
          <w:p>
            <w:pPr>
              <w:pStyle w:val="100"/>
              <w:widowControl w:val="0"/>
              <w:bidi w:val="0"/>
              <w:adjustRightInd w:val="0"/>
              <w:snapToGrid w:val="0"/>
              <w:rPr>
                <w:lang w:val="en-US" w:eastAsia="zh-CN"/>
              </w:rPr>
            </w:pPr>
            <w:r>
              <w:t>√</w:t>
            </w:r>
          </w:p>
        </w:tc>
        <w:tc>
          <w:tcPr>
            <w:tcW w:w="851" w:type="dxa"/>
            <w:vAlign w:val="center"/>
          </w:tcPr>
          <w:p>
            <w:pPr>
              <w:pStyle w:val="100"/>
              <w:widowControl w:val="0"/>
              <w:bidi w:val="0"/>
              <w:adjustRightInd w:val="0"/>
              <w:snapToGrid w:val="0"/>
              <w:rPr>
                <w:lang w:val="en-US" w:eastAsia="zh-CN"/>
              </w:rPr>
            </w:pPr>
            <w:r>
              <w:t>/</w:t>
            </w:r>
          </w:p>
        </w:tc>
        <w:tc>
          <w:tcPr>
            <w:tcW w:w="1098" w:type="dxa"/>
            <w:vAlign w:val="center"/>
          </w:tcPr>
          <w:p>
            <w:pPr>
              <w:pStyle w:val="100"/>
              <w:widowControl w:val="0"/>
              <w:bidi w:val="0"/>
              <w:adjustRightInd w:val="0"/>
              <w:snapToGrid w:val="0"/>
              <w:rPr>
                <w:rFonts w:hint="eastAsia"/>
                <w:lang w:val="en-US" w:eastAsia="zh-CN"/>
              </w:rPr>
            </w:pPr>
            <w:r>
              <w:rPr>
                <w:rFonts w:hint="eastAsia"/>
              </w:rPr>
              <w:t>/</w:t>
            </w:r>
          </w:p>
        </w:tc>
      </w:tr>
    </w:tbl>
    <w:p>
      <w:pPr>
        <w:pStyle w:val="103"/>
      </w:pPr>
    </w:p>
    <w:p>
      <w:pPr>
        <w:pStyle w:val="103"/>
        <w:sectPr>
          <w:pgSz w:w="11906" w:h="16838"/>
          <w:pgMar w:top="1418" w:right="1418" w:bottom="1418" w:left="1418" w:header="851" w:footer="992" w:gutter="0"/>
          <w:pgBorders>
            <w:top w:val="single" w:color="auto" w:sz="4" w:space="1"/>
            <w:left w:val="single" w:color="auto" w:sz="4" w:space="4"/>
            <w:bottom w:val="single" w:color="auto" w:sz="4" w:space="1"/>
            <w:right w:val="single" w:color="auto" w:sz="4" w:space="4"/>
          </w:pgBorders>
          <w:pgNumType w:fmt="numberInDash"/>
          <w:cols w:space="720" w:num="1"/>
          <w:docGrid w:linePitch="312" w:charSpace="0"/>
        </w:sectPr>
      </w:pPr>
    </w:p>
    <w:p>
      <w:pPr>
        <w:pStyle w:val="273"/>
        <w:bidi w:val="0"/>
        <w:rPr>
          <w:rFonts w:hint="eastAsia"/>
        </w:rPr>
      </w:pPr>
      <w:r>
        <w:rPr>
          <w:rFonts w:hint="eastAsia"/>
        </w:rPr>
        <w:t>表5-</w:t>
      </w:r>
      <w:r>
        <w:rPr>
          <w:rFonts w:hint="eastAsia"/>
          <w:lang w:val="en-US" w:eastAsia="zh-CN"/>
        </w:rPr>
        <w:t>8</w:t>
      </w:r>
      <w:r>
        <w:rPr>
          <w:rFonts w:hint="eastAsia"/>
        </w:rPr>
        <w:t xml:space="preserve">  项目营运期固体废物分析结果汇总</w:t>
      </w:r>
    </w:p>
    <w:tbl>
      <w:tblPr>
        <w:tblStyle w:val="260"/>
        <w:tblW w:w="141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140"/>
        <w:gridCol w:w="934"/>
        <w:gridCol w:w="734"/>
        <w:gridCol w:w="1358"/>
        <w:gridCol w:w="881"/>
        <w:gridCol w:w="764"/>
        <w:gridCol w:w="993"/>
        <w:gridCol w:w="1610"/>
        <w:gridCol w:w="718"/>
        <w:gridCol w:w="791"/>
        <w:gridCol w:w="790"/>
        <w:gridCol w:w="826"/>
        <w:gridCol w:w="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801" w:type="dxa"/>
            <w:vMerge w:val="restart"/>
            <w:vAlign w:val="center"/>
          </w:tcPr>
          <w:p>
            <w:pPr>
              <w:pStyle w:val="100"/>
              <w:widowControl w:val="0"/>
              <w:bidi w:val="0"/>
              <w:adjustRightInd w:val="0"/>
              <w:snapToGrid w:val="0"/>
            </w:pPr>
            <w:r>
              <w:t>固废名称</w:t>
            </w:r>
          </w:p>
        </w:tc>
        <w:tc>
          <w:tcPr>
            <w:tcW w:w="1140" w:type="dxa"/>
            <w:vMerge w:val="restart"/>
            <w:vAlign w:val="center"/>
          </w:tcPr>
          <w:p>
            <w:pPr>
              <w:pStyle w:val="100"/>
              <w:widowControl w:val="0"/>
              <w:bidi w:val="0"/>
              <w:adjustRightInd w:val="0"/>
              <w:snapToGrid w:val="0"/>
            </w:pPr>
            <w:r>
              <w:t>属性</w:t>
            </w:r>
          </w:p>
        </w:tc>
        <w:tc>
          <w:tcPr>
            <w:tcW w:w="934" w:type="dxa"/>
            <w:vMerge w:val="restart"/>
            <w:vAlign w:val="center"/>
          </w:tcPr>
          <w:p>
            <w:pPr>
              <w:pStyle w:val="100"/>
              <w:widowControl w:val="0"/>
              <w:bidi w:val="0"/>
              <w:adjustRightInd w:val="0"/>
              <w:snapToGrid w:val="0"/>
            </w:pPr>
            <w:r>
              <w:rPr>
                <w:rFonts w:hint="eastAsia"/>
              </w:rPr>
              <w:t>产生工序及装置</w:t>
            </w:r>
          </w:p>
        </w:tc>
        <w:tc>
          <w:tcPr>
            <w:tcW w:w="734" w:type="dxa"/>
            <w:vMerge w:val="restart"/>
            <w:vAlign w:val="center"/>
          </w:tcPr>
          <w:p>
            <w:pPr>
              <w:pStyle w:val="100"/>
              <w:widowControl w:val="0"/>
              <w:bidi w:val="0"/>
              <w:adjustRightInd w:val="0"/>
              <w:snapToGrid w:val="0"/>
            </w:pPr>
            <w:r>
              <w:t>形态</w:t>
            </w:r>
          </w:p>
        </w:tc>
        <w:tc>
          <w:tcPr>
            <w:tcW w:w="1358" w:type="dxa"/>
            <w:vMerge w:val="restart"/>
            <w:vAlign w:val="center"/>
          </w:tcPr>
          <w:p>
            <w:pPr>
              <w:pStyle w:val="100"/>
              <w:widowControl w:val="0"/>
              <w:bidi w:val="0"/>
              <w:adjustRightInd w:val="0"/>
              <w:snapToGrid w:val="0"/>
            </w:pPr>
            <w:r>
              <w:t>主要成分</w:t>
            </w:r>
          </w:p>
        </w:tc>
        <w:tc>
          <w:tcPr>
            <w:tcW w:w="881" w:type="dxa"/>
            <w:vMerge w:val="restart"/>
            <w:vAlign w:val="center"/>
          </w:tcPr>
          <w:p>
            <w:pPr>
              <w:pStyle w:val="100"/>
              <w:widowControl w:val="0"/>
              <w:bidi w:val="0"/>
              <w:adjustRightInd w:val="0"/>
              <w:snapToGrid w:val="0"/>
            </w:pPr>
            <w:r>
              <w:t>危险特性鉴别方法</w:t>
            </w:r>
          </w:p>
        </w:tc>
        <w:tc>
          <w:tcPr>
            <w:tcW w:w="764" w:type="dxa"/>
            <w:vMerge w:val="restart"/>
            <w:vAlign w:val="center"/>
          </w:tcPr>
          <w:p>
            <w:pPr>
              <w:pStyle w:val="100"/>
              <w:widowControl w:val="0"/>
              <w:bidi w:val="0"/>
              <w:adjustRightInd w:val="0"/>
              <w:snapToGrid w:val="0"/>
            </w:pPr>
            <w:r>
              <w:t>危险特性</w:t>
            </w:r>
          </w:p>
        </w:tc>
        <w:tc>
          <w:tcPr>
            <w:tcW w:w="993" w:type="dxa"/>
            <w:vMerge w:val="restart"/>
            <w:vAlign w:val="center"/>
          </w:tcPr>
          <w:p>
            <w:pPr>
              <w:pStyle w:val="100"/>
              <w:widowControl w:val="0"/>
              <w:bidi w:val="0"/>
              <w:adjustRightInd w:val="0"/>
              <w:snapToGrid w:val="0"/>
            </w:pPr>
            <w:r>
              <w:t>废物类别</w:t>
            </w:r>
          </w:p>
        </w:tc>
        <w:tc>
          <w:tcPr>
            <w:tcW w:w="1610" w:type="dxa"/>
            <w:vMerge w:val="restart"/>
            <w:vAlign w:val="center"/>
          </w:tcPr>
          <w:p>
            <w:pPr>
              <w:pStyle w:val="100"/>
              <w:widowControl w:val="0"/>
              <w:bidi w:val="0"/>
              <w:adjustRightInd w:val="0"/>
              <w:snapToGrid w:val="0"/>
            </w:pPr>
            <w:r>
              <w:t>废物代码</w:t>
            </w:r>
          </w:p>
        </w:tc>
        <w:tc>
          <w:tcPr>
            <w:tcW w:w="1509" w:type="dxa"/>
            <w:gridSpan w:val="2"/>
            <w:vAlign w:val="center"/>
          </w:tcPr>
          <w:p>
            <w:pPr>
              <w:pStyle w:val="100"/>
              <w:widowControl w:val="0"/>
              <w:bidi w:val="0"/>
              <w:adjustRightInd w:val="0"/>
              <w:snapToGrid w:val="0"/>
            </w:pPr>
            <w:r>
              <w:t>产生</w:t>
            </w:r>
            <w:r>
              <w:rPr>
                <w:rFonts w:hint="eastAsia"/>
              </w:rPr>
              <w:t>情况</w:t>
            </w:r>
          </w:p>
        </w:tc>
        <w:tc>
          <w:tcPr>
            <w:tcW w:w="790" w:type="dxa"/>
            <w:vMerge w:val="restart"/>
            <w:vAlign w:val="center"/>
          </w:tcPr>
          <w:p>
            <w:pPr>
              <w:pStyle w:val="100"/>
              <w:widowControl w:val="0"/>
              <w:bidi w:val="0"/>
              <w:adjustRightInd w:val="0"/>
              <w:snapToGrid w:val="0"/>
            </w:pPr>
            <w:r>
              <w:rPr>
                <w:rFonts w:hint="eastAsia"/>
              </w:rPr>
              <w:t>产废周期</w:t>
            </w:r>
          </w:p>
        </w:tc>
        <w:tc>
          <w:tcPr>
            <w:tcW w:w="826" w:type="dxa"/>
            <w:vMerge w:val="restart"/>
            <w:vAlign w:val="center"/>
          </w:tcPr>
          <w:p>
            <w:pPr>
              <w:pStyle w:val="100"/>
              <w:widowControl w:val="0"/>
              <w:bidi w:val="0"/>
              <w:adjustRightInd w:val="0"/>
              <w:snapToGrid w:val="0"/>
            </w:pPr>
            <w:r>
              <w:rPr>
                <w:rFonts w:hint="eastAsia"/>
              </w:rPr>
              <w:t>处置量t</w:t>
            </w:r>
            <w:r>
              <w:t>/a</w:t>
            </w:r>
          </w:p>
        </w:tc>
        <w:tc>
          <w:tcPr>
            <w:tcW w:w="826" w:type="dxa"/>
            <w:vMerge w:val="restart"/>
            <w:vAlign w:val="center"/>
          </w:tcPr>
          <w:p>
            <w:pPr>
              <w:pStyle w:val="100"/>
              <w:widowControl w:val="0"/>
              <w:bidi w:val="0"/>
              <w:adjustRightInd w:val="0"/>
              <w:snapToGrid w:val="0"/>
            </w:pPr>
            <w:r>
              <w:rPr>
                <w:rFonts w:hint="eastAsia"/>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801" w:type="dxa"/>
            <w:vMerge w:val="continue"/>
            <w:vAlign w:val="center"/>
          </w:tcPr>
          <w:p>
            <w:pPr>
              <w:pStyle w:val="100"/>
              <w:widowControl w:val="0"/>
              <w:bidi w:val="0"/>
              <w:adjustRightInd w:val="0"/>
              <w:snapToGrid w:val="0"/>
            </w:pPr>
          </w:p>
        </w:tc>
        <w:tc>
          <w:tcPr>
            <w:tcW w:w="1140" w:type="dxa"/>
            <w:vMerge w:val="continue"/>
            <w:vAlign w:val="center"/>
          </w:tcPr>
          <w:p>
            <w:pPr>
              <w:pStyle w:val="100"/>
              <w:widowControl w:val="0"/>
              <w:bidi w:val="0"/>
              <w:adjustRightInd w:val="0"/>
              <w:snapToGrid w:val="0"/>
            </w:pPr>
          </w:p>
        </w:tc>
        <w:tc>
          <w:tcPr>
            <w:tcW w:w="934" w:type="dxa"/>
            <w:vMerge w:val="continue"/>
            <w:vAlign w:val="center"/>
          </w:tcPr>
          <w:p>
            <w:pPr>
              <w:pStyle w:val="100"/>
              <w:widowControl w:val="0"/>
              <w:bidi w:val="0"/>
              <w:adjustRightInd w:val="0"/>
              <w:snapToGrid w:val="0"/>
            </w:pPr>
          </w:p>
        </w:tc>
        <w:tc>
          <w:tcPr>
            <w:tcW w:w="734" w:type="dxa"/>
            <w:vMerge w:val="continue"/>
            <w:vAlign w:val="center"/>
          </w:tcPr>
          <w:p>
            <w:pPr>
              <w:pStyle w:val="100"/>
              <w:widowControl w:val="0"/>
              <w:bidi w:val="0"/>
              <w:adjustRightInd w:val="0"/>
              <w:snapToGrid w:val="0"/>
            </w:pPr>
          </w:p>
        </w:tc>
        <w:tc>
          <w:tcPr>
            <w:tcW w:w="1358" w:type="dxa"/>
            <w:vMerge w:val="continue"/>
            <w:vAlign w:val="center"/>
          </w:tcPr>
          <w:p>
            <w:pPr>
              <w:pStyle w:val="100"/>
              <w:widowControl w:val="0"/>
              <w:bidi w:val="0"/>
              <w:adjustRightInd w:val="0"/>
              <w:snapToGrid w:val="0"/>
            </w:pPr>
          </w:p>
        </w:tc>
        <w:tc>
          <w:tcPr>
            <w:tcW w:w="881" w:type="dxa"/>
            <w:vMerge w:val="continue"/>
            <w:vAlign w:val="center"/>
          </w:tcPr>
          <w:p>
            <w:pPr>
              <w:pStyle w:val="100"/>
              <w:widowControl w:val="0"/>
              <w:bidi w:val="0"/>
              <w:adjustRightInd w:val="0"/>
              <w:snapToGrid w:val="0"/>
            </w:pPr>
          </w:p>
        </w:tc>
        <w:tc>
          <w:tcPr>
            <w:tcW w:w="764" w:type="dxa"/>
            <w:vMerge w:val="continue"/>
            <w:vAlign w:val="center"/>
          </w:tcPr>
          <w:p>
            <w:pPr>
              <w:pStyle w:val="100"/>
              <w:widowControl w:val="0"/>
              <w:bidi w:val="0"/>
              <w:adjustRightInd w:val="0"/>
              <w:snapToGrid w:val="0"/>
            </w:pPr>
          </w:p>
        </w:tc>
        <w:tc>
          <w:tcPr>
            <w:tcW w:w="993" w:type="dxa"/>
            <w:vMerge w:val="continue"/>
            <w:vAlign w:val="center"/>
          </w:tcPr>
          <w:p>
            <w:pPr>
              <w:pStyle w:val="100"/>
              <w:widowControl w:val="0"/>
              <w:bidi w:val="0"/>
              <w:adjustRightInd w:val="0"/>
              <w:snapToGrid w:val="0"/>
            </w:pPr>
          </w:p>
        </w:tc>
        <w:tc>
          <w:tcPr>
            <w:tcW w:w="1610" w:type="dxa"/>
            <w:vMerge w:val="continue"/>
            <w:vAlign w:val="center"/>
          </w:tcPr>
          <w:p>
            <w:pPr>
              <w:pStyle w:val="100"/>
              <w:widowControl w:val="0"/>
              <w:bidi w:val="0"/>
              <w:adjustRightInd w:val="0"/>
              <w:snapToGrid w:val="0"/>
            </w:pPr>
          </w:p>
        </w:tc>
        <w:tc>
          <w:tcPr>
            <w:tcW w:w="718" w:type="dxa"/>
            <w:vAlign w:val="center"/>
          </w:tcPr>
          <w:p>
            <w:pPr>
              <w:pStyle w:val="100"/>
              <w:widowControl w:val="0"/>
              <w:bidi w:val="0"/>
              <w:adjustRightInd w:val="0"/>
              <w:snapToGrid w:val="0"/>
            </w:pPr>
            <w:r>
              <w:rPr>
                <w:rFonts w:hint="eastAsia"/>
              </w:rPr>
              <w:t>产生量t</w:t>
            </w:r>
            <w:r>
              <w:t>/a</w:t>
            </w:r>
          </w:p>
        </w:tc>
        <w:tc>
          <w:tcPr>
            <w:tcW w:w="791" w:type="dxa"/>
            <w:vAlign w:val="center"/>
          </w:tcPr>
          <w:p>
            <w:pPr>
              <w:pStyle w:val="100"/>
              <w:widowControl w:val="0"/>
              <w:bidi w:val="0"/>
              <w:adjustRightInd w:val="0"/>
              <w:snapToGrid w:val="0"/>
            </w:pPr>
            <w:r>
              <w:rPr>
                <w:rFonts w:hint="eastAsia"/>
              </w:rPr>
              <w:t>核算方法</w:t>
            </w:r>
          </w:p>
        </w:tc>
        <w:tc>
          <w:tcPr>
            <w:tcW w:w="790" w:type="dxa"/>
            <w:vMerge w:val="continue"/>
            <w:vAlign w:val="center"/>
          </w:tcPr>
          <w:p>
            <w:pPr>
              <w:pStyle w:val="100"/>
              <w:widowControl w:val="0"/>
              <w:bidi w:val="0"/>
              <w:adjustRightInd w:val="0"/>
              <w:snapToGrid w:val="0"/>
            </w:pPr>
          </w:p>
        </w:tc>
        <w:tc>
          <w:tcPr>
            <w:tcW w:w="826" w:type="dxa"/>
            <w:vMerge w:val="continue"/>
            <w:vAlign w:val="center"/>
          </w:tcPr>
          <w:p>
            <w:pPr>
              <w:pStyle w:val="100"/>
              <w:widowControl w:val="0"/>
              <w:bidi w:val="0"/>
              <w:adjustRightInd w:val="0"/>
              <w:snapToGrid w:val="0"/>
            </w:pPr>
          </w:p>
        </w:tc>
        <w:tc>
          <w:tcPr>
            <w:tcW w:w="826" w:type="dxa"/>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pPr>
            <w:r>
              <w:rPr>
                <w:rFonts w:hint="eastAsia"/>
              </w:rPr>
              <w:t>PET边角料</w:t>
            </w:r>
          </w:p>
        </w:tc>
        <w:tc>
          <w:tcPr>
            <w:tcW w:w="1140" w:type="dxa"/>
            <w:vAlign w:val="center"/>
          </w:tcPr>
          <w:p>
            <w:pPr>
              <w:pStyle w:val="100"/>
              <w:widowControl w:val="0"/>
              <w:bidi w:val="0"/>
              <w:adjustRightInd w:val="0"/>
              <w:snapToGrid w:val="0"/>
            </w:pPr>
            <w:r>
              <w:rPr>
                <w:rFonts w:hint="eastAsia"/>
              </w:rPr>
              <w:t>一般固废</w:t>
            </w:r>
          </w:p>
        </w:tc>
        <w:tc>
          <w:tcPr>
            <w:tcW w:w="934" w:type="dxa"/>
            <w:vAlign w:val="center"/>
          </w:tcPr>
          <w:p>
            <w:pPr>
              <w:pStyle w:val="100"/>
              <w:widowControl w:val="0"/>
              <w:bidi w:val="0"/>
              <w:adjustRightInd w:val="0"/>
              <w:snapToGrid w:val="0"/>
            </w:pPr>
            <w:r>
              <w:rPr>
                <w:rFonts w:hint="eastAsia"/>
              </w:rPr>
              <w:t>模切</w:t>
            </w:r>
          </w:p>
        </w:tc>
        <w:tc>
          <w:tcPr>
            <w:tcW w:w="734" w:type="dxa"/>
            <w:vAlign w:val="center"/>
          </w:tcPr>
          <w:p>
            <w:pPr>
              <w:pStyle w:val="100"/>
              <w:widowControl w:val="0"/>
              <w:bidi w:val="0"/>
              <w:adjustRightInd w:val="0"/>
              <w:snapToGrid w:val="0"/>
            </w:pPr>
            <w:r>
              <w:rPr>
                <w:rFonts w:hint="eastAsia"/>
              </w:rPr>
              <w:t>固态</w:t>
            </w:r>
          </w:p>
        </w:tc>
        <w:tc>
          <w:tcPr>
            <w:tcW w:w="1358" w:type="dxa"/>
            <w:vAlign w:val="center"/>
          </w:tcPr>
          <w:p>
            <w:pPr>
              <w:pStyle w:val="100"/>
              <w:widowControl w:val="0"/>
              <w:bidi w:val="0"/>
              <w:adjustRightInd w:val="0"/>
              <w:snapToGrid w:val="0"/>
            </w:pPr>
            <w:r>
              <w:rPr>
                <w:rFonts w:hint="eastAsia"/>
              </w:rPr>
              <w:t>PET</w:t>
            </w:r>
          </w:p>
        </w:tc>
        <w:tc>
          <w:tcPr>
            <w:tcW w:w="881" w:type="dxa"/>
            <w:vMerge w:val="restart"/>
            <w:vAlign w:val="center"/>
          </w:tcPr>
          <w:p>
            <w:pPr>
              <w:pStyle w:val="100"/>
              <w:widowControl w:val="0"/>
              <w:bidi w:val="0"/>
              <w:adjustRightInd w:val="0"/>
              <w:snapToGrid w:val="0"/>
            </w:pPr>
            <w:r>
              <w:t>国家危险固废名录（20</w:t>
            </w:r>
            <w:r>
              <w:rPr>
                <w:rFonts w:hint="eastAsia"/>
                <w:lang w:val="en-US" w:eastAsia="zh-CN"/>
              </w:rPr>
              <w:t>21</w:t>
            </w:r>
            <w:r>
              <w:t>）</w:t>
            </w:r>
          </w:p>
        </w:tc>
        <w:tc>
          <w:tcPr>
            <w:tcW w:w="764" w:type="dxa"/>
            <w:vAlign w:val="center"/>
          </w:tcPr>
          <w:p>
            <w:pPr>
              <w:pStyle w:val="100"/>
              <w:widowControl w:val="0"/>
              <w:bidi w:val="0"/>
              <w:adjustRightInd w:val="0"/>
              <w:snapToGrid w:val="0"/>
            </w:pPr>
            <w:r>
              <w:rPr>
                <w:rFonts w:hint="eastAsia"/>
              </w:rPr>
              <w:t>/</w:t>
            </w:r>
          </w:p>
        </w:tc>
        <w:tc>
          <w:tcPr>
            <w:tcW w:w="993" w:type="dxa"/>
            <w:vAlign w:val="center"/>
          </w:tcPr>
          <w:p>
            <w:pPr>
              <w:pStyle w:val="100"/>
              <w:widowControl w:val="0"/>
              <w:bidi w:val="0"/>
              <w:adjustRightInd w:val="0"/>
              <w:snapToGrid w:val="0"/>
            </w:pPr>
            <w:r>
              <w:rPr>
                <w:rFonts w:hint="eastAsia"/>
              </w:rPr>
              <w:t>/</w:t>
            </w:r>
          </w:p>
        </w:tc>
        <w:tc>
          <w:tcPr>
            <w:tcW w:w="1610" w:type="dxa"/>
            <w:vAlign w:val="center"/>
          </w:tcPr>
          <w:p>
            <w:pPr>
              <w:pStyle w:val="100"/>
              <w:widowControl w:val="0"/>
              <w:bidi w:val="0"/>
              <w:adjustRightInd w:val="0"/>
              <w:snapToGrid w:val="0"/>
            </w:pPr>
            <w:r>
              <w:rPr>
                <w:rFonts w:hint="eastAsia"/>
              </w:rPr>
              <w:t>/</w:t>
            </w:r>
          </w:p>
        </w:tc>
        <w:tc>
          <w:tcPr>
            <w:tcW w:w="718" w:type="dxa"/>
            <w:vAlign w:val="center"/>
          </w:tcPr>
          <w:p>
            <w:pPr>
              <w:pStyle w:val="100"/>
              <w:widowControl w:val="0"/>
              <w:bidi w:val="0"/>
              <w:adjustRightInd w:val="0"/>
              <w:snapToGrid w:val="0"/>
              <w:rPr>
                <w:rFonts w:hint="eastAsia"/>
                <w:lang w:val="en-US" w:eastAsia="zh-CN"/>
              </w:rPr>
            </w:pPr>
            <w:r>
              <w:rPr>
                <w:rFonts w:hint="eastAsia"/>
                <w:lang w:val="en-US" w:eastAsia="zh-CN"/>
              </w:rPr>
              <w:t>2</w:t>
            </w:r>
          </w:p>
        </w:tc>
        <w:tc>
          <w:tcPr>
            <w:tcW w:w="791" w:type="dxa"/>
            <w:vMerge w:val="restart"/>
            <w:vAlign w:val="center"/>
          </w:tcPr>
          <w:p>
            <w:pPr>
              <w:pStyle w:val="100"/>
              <w:widowControl w:val="0"/>
              <w:bidi w:val="0"/>
              <w:adjustRightInd w:val="0"/>
              <w:snapToGrid w:val="0"/>
            </w:pPr>
            <w:r>
              <w:rPr>
                <w:rFonts w:hint="eastAsia"/>
              </w:rPr>
              <w:t>估算法</w:t>
            </w:r>
          </w:p>
        </w:tc>
        <w:tc>
          <w:tcPr>
            <w:tcW w:w="790" w:type="dxa"/>
            <w:vAlign w:val="center"/>
          </w:tcPr>
          <w:p>
            <w:pPr>
              <w:pStyle w:val="100"/>
              <w:widowControl w:val="0"/>
              <w:bidi w:val="0"/>
              <w:adjustRightInd w:val="0"/>
              <w:snapToGrid w:val="0"/>
            </w:pPr>
            <w:r>
              <w:rPr>
                <w:rFonts w:hint="eastAsia"/>
              </w:rPr>
              <w:t>一年</w:t>
            </w:r>
          </w:p>
        </w:tc>
        <w:tc>
          <w:tcPr>
            <w:tcW w:w="826" w:type="dxa"/>
            <w:vAlign w:val="center"/>
          </w:tcPr>
          <w:p>
            <w:pPr>
              <w:pStyle w:val="100"/>
              <w:widowControl w:val="0"/>
              <w:bidi w:val="0"/>
              <w:adjustRightInd w:val="0"/>
              <w:snapToGrid w:val="0"/>
              <w:rPr>
                <w:rFonts w:hint="eastAsia"/>
                <w:lang w:val="en-US" w:eastAsia="zh-CN"/>
              </w:rPr>
            </w:pPr>
            <w:r>
              <w:rPr>
                <w:rFonts w:hint="eastAsia"/>
                <w:lang w:val="en-US" w:eastAsia="zh-CN"/>
              </w:rPr>
              <w:t>2</w:t>
            </w:r>
          </w:p>
        </w:tc>
        <w:tc>
          <w:tcPr>
            <w:tcW w:w="826" w:type="dxa"/>
            <w:vAlign w:val="center"/>
          </w:tcPr>
          <w:p>
            <w:pPr>
              <w:pStyle w:val="100"/>
              <w:widowControl w:val="0"/>
              <w:bidi w:val="0"/>
              <w:adjustRightInd w:val="0"/>
              <w:snapToGrid w:val="0"/>
            </w:pPr>
            <w:r>
              <w:rPr>
                <w:rFonts w:hint="eastAsia"/>
              </w:rPr>
              <w:t>外售利用单位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pPr>
            <w:r>
              <w:rPr>
                <w:rFonts w:hint="eastAsia"/>
              </w:rPr>
              <w:t>废油墨罐</w:t>
            </w:r>
          </w:p>
        </w:tc>
        <w:tc>
          <w:tcPr>
            <w:tcW w:w="1140" w:type="dxa"/>
            <w:vAlign w:val="center"/>
          </w:tcPr>
          <w:p>
            <w:pPr>
              <w:pStyle w:val="100"/>
              <w:widowControl w:val="0"/>
              <w:bidi w:val="0"/>
              <w:adjustRightInd w:val="0"/>
              <w:snapToGrid w:val="0"/>
            </w:pPr>
            <w:r>
              <w:rPr>
                <w:rFonts w:hint="eastAsia"/>
              </w:rPr>
              <w:t>危险固废</w:t>
            </w:r>
          </w:p>
        </w:tc>
        <w:tc>
          <w:tcPr>
            <w:tcW w:w="934" w:type="dxa"/>
            <w:vAlign w:val="center"/>
          </w:tcPr>
          <w:p>
            <w:pPr>
              <w:pStyle w:val="100"/>
              <w:widowControl w:val="0"/>
              <w:bidi w:val="0"/>
              <w:adjustRightInd w:val="0"/>
              <w:snapToGrid w:val="0"/>
            </w:pPr>
            <w:r>
              <w:rPr>
                <w:rFonts w:hint="eastAsia"/>
              </w:rPr>
              <w:t>印刷</w:t>
            </w:r>
          </w:p>
        </w:tc>
        <w:tc>
          <w:tcPr>
            <w:tcW w:w="734" w:type="dxa"/>
            <w:vAlign w:val="center"/>
          </w:tcPr>
          <w:p>
            <w:pPr>
              <w:pStyle w:val="100"/>
              <w:widowControl w:val="0"/>
              <w:bidi w:val="0"/>
              <w:adjustRightInd w:val="0"/>
              <w:snapToGrid w:val="0"/>
            </w:pPr>
            <w:r>
              <w:rPr>
                <w:rFonts w:hint="eastAsia"/>
              </w:rPr>
              <w:t>固态</w:t>
            </w:r>
          </w:p>
        </w:tc>
        <w:tc>
          <w:tcPr>
            <w:tcW w:w="1358" w:type="dxa"/>
            <w:vAlign w:val="center"/>
          </w:tcPr>
          <w:p>
            <w:pPr>
              <w:pStyle w:val="100"/>
              <w:widowControl w:val="0"/>
              <w:bidi w:val="0"/>
              <w:adjustRightInd w:val="0"/>
              <w:snapToGrid w:val="0"/>
            </w:pPr>
            <w:r>
              <w:rPr>
                <w:rFonts w:hint="eastAsia"/>
              </w:rPr>
              <w:t>油墨</w:t>
            </w:r>
          </w:p>
        </w:tc>
        <w:tc>
          <w:tcPr>
            <w:tcW w:w="881" w:type="dxa"/>
            <w:vMerge w:val="continue"/>
            <w:vAlign w:val="center"/>
          </w:tcPr>
          <w:p>
            <w:pPr>
              <w:pStyle w:val="100"/>
              <w:widowControl w:val="0"/>
              <w:bidi w:val="0"/>
              <w:adjustRightInd w:val="0"/>
              <w:snapToGrid w:val="0"/>
            </w:pPr>
          </w:p>
        </w:tc>
        <w:tc>
          <w:tcPr>
            <w:tcW w:w="764" w:type="dxa"/>
            <w:vAlign w:val="center"/>
          </w:tcPr>
          <w:p>
            <w:pPr>
              <w:pStyle w:val="100"/>
              <w:widowControl w:val="0"/>
              <w:bidi w:val="0"/>
              <w:adjustRightInd w:val="0"/>
              <w:snapToGrid w:val="0"/>
              <w:rPr>
                <w:rFonts w:hint="default"/>
                <w:lang w:val="en-US" w:eastAsia="zh-CN"/>
              </w:rPr>
            </w:pPr>
            <w:r>
              <w:rPr>
                <w:rFonts w:hint="eastAsia"/>
              </w:rPr>
              <w:t>T</w:t>
            </w:r>
            <w:r>
              <w:rPr>
                <w:rFonts w:hint="eastAsia"/>
                <w:lang w:val="en-US" w:eastAsia="zh-CN"/>
              </w:rPr>
              <w:t>/In</w:t>
            </w:r>
          </w:p>
        </w:tc>
        <w:tc>
          <w:tcPr>
            <w:tcW w:w="993" w:type="dxa"/>
            <w:vAlign w:val="center"/>
          </w:tcPr>
          <w:p>
            <w:pPr>
              <w:pStyle w:val="100"/>
              <w:widowControl w:val="0"/>
              <w:bidi w:val="0"/>
              <w:adjustRightInd w:val="0"/>
              <w:snapToGrid w:val="0"/>
              <w:rPr>
                <w:rFonts w:hint="default"/>
                <w:lang w:val="en-US" w:eastAsia="zh-CN"/>
              </w:rPr>
            </w:pPr>
            <w:r>
              <w:rPr>
                <w:rFonts w:hint="eastAsia"/>
              </w:rPr>
              <w:t>HW</w:t>
            </w:r>
            <w:r>
              <w:rPr>
                <w:rFonts w:hint="eastAsia"/>
                <w:lang w:val="en-US" w:eastAsia="zh-CN"/>
              </w:rPr>
              <w:t>49</w:t>
            </w:r>
          </w:p>
        </w:tc>
        <w:tc>
          <w:tcPr>
            <w:tcW w:w="1610" w:type="dxa"/>
            <w:vAlign w:val="center"/>
          </w:tcPr>
          <w:p>
            <w:pPr>
              <w:pStyle w:val="100"/>
              <w:widowControl w:val="0"/>
              <w:bidi w:val="0"/>
              <w:adjustRightInd w:val="0"/>
              <w:snapToGrid w:val="0"/>
            </w:pPr>
            <w:r>
              <w:rPr>
                <w:rFonts w:hint="eastAsia"/>
              </w:rPr>
              <w:t>900-0</w:t>
            </w:r>
            <w:r>
              <w:rPr>
                <w:rFonts w:hint="eastAsia"/>
                <w:lang w:val="en-US" w:eastAsia="zh-CN"/>
              </w:rPr>
              <w:t>41</w:t>
            </w:r>
            <w:r>
              <w:rPr>
                <w:rFonts w:hint="eastAsia"/>
              </w:rPr>
              <w:t>-49</w:t>
            </w:r>
          </w:p>
        </w:tc>
        <w:tc>
          <w:tcPr>
            <w:tcW w:w="718" w:type="dxa"/>
            <w:vAlign w:val="center"/>
          </w:tcPr>
          <w:p>
            <w:pPr>
              <w:pStyle w:val="100"/>
              <w:widowControl w:val="0"/>
              <w:bidi w:val="0"/>
              <w:adjustRightInd w:val="0"/>
              <w:snapToGrid w:val="0"/>
            </w:pPr>
            <w:r>
              <w:rPr>
                <w:rFonts w:hint="eastAsia"/>
              </w:rPr>
              <w:t>0.5</w:t>
            </w:r>
          </w:p>
        </w:tc>
        <w:tc>
          <w:tcPr>
            <w:tcW w:w="791" w:type="dxa"/>
            <w:vMerge w:val="continue"/>
            <w:vAlign w:val="center"/>
          </w:tcPr>
          <w:p>
            <w:pPr>
              <w:pStyle w:val="100"/>
              <w:widowControl w:val="0"/>
              <w:bidi w:val="0"/>
              <w:adjustRightInd w:val="0"/>
              <w:snapToGrid w:val="0"/>
            </w:pPr>
          </w:p>
        </w:tc>
        <w:tc>
          <w:tcPr>
            <w:tcW w:w="790" w:type="dxa"/>
            <w:vAlign w:val="center"/>
          </w:tcPr>
          <w:p>
            <w:pPr>
              <w:pStyle w:val="100"/>
              <w:widowControl w:val="0"/>
              <w:bidi w:val="0"/>
              <w:adjustRightInd w:val="0"/>
              <w:snapToGrid w:val="0"/>
            </w:pPr>
            <w:r>
              <w:rPr>
                <w:rFonts w:hint="eastAsia"/>
                <w:lang w:val="en-US" w:eastAsia="zh-CN"/>
              </w:rPr>
              <w:t>半</w:t>
            </w:r>
            <w:r>
              <w:rPr>
                <w:rFonts w:hint="eastAsia"/>
              </w:rPr>
              <w:t>年</w:t>
            </w:r>
          </w:p>
        </w:tc>
        <w:tc>
          <w:tcPr>
            <w:tcW w:w="826" w:type="dxa"/>
            <w:vAlign w:val="center"/>
          </w:tcPr>
          <w:p>
            <w:pPr>
              <w:pStyle w:val="100"/>
              <w:widowControl w:val="0"/>
              <w:bidi w:val="0"/>
              <w:adjustRightInd w:val="0"/>
              <w:snapToGrid w:val="0"/>
            </w:pPr>
            <w:r>
              <w:rPr>
                <w:rFonts w:hint="eastAsia"/>
              </w:rPr>
              <w:t>0.5</w:t>
            </w:r>
          </w:p>
        </w:tc>
        <w:tc>
          <w:tcPr>
            <w:tcW w:w="826" w:type="dxa"/>
            <w:vAlign w:val="center"/>
          </w:tcPr>
          <w:p>
            <w:pPr>
              <w:pStyle w:val="100"/>
              <w:widowControl w:val="0"/>
              <w:bidi w:val="0"/>
              <w:adjustRightInd w:val="0"/>
              <w:snapToGrid w:val="0"/>
            </w:pPr>
            <w:r>
              <w:rPr>
                <w:rFonts w:hint="eastAsia"/>
              </w:rPr>
              <w:t>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pPr>
            <w:r>
              <w:rPr>
                <w:rFonts w:hint="eastAsia"/>
              </w:rPr>
              <w:t>废胶水罐</w:t>
            </w:r>
          </w:p>
        </w:tc>
        <w:tc>
          <w:tcPr>
            <w:tcW w:w="1140" w:type="dxa"/>
            <w:vAlign w:val="center"/>
          </w:tcPr>
          <w:p>
            <w:pPr>
              <w:pStyle w:val="100"/>
              <w:widowControl w:val="0"/>
              <w:bidi w:val="0"/>
              <w:adjustRightInd w:val="0"/>
              <w:snapToGrid w:val="0"/>
            </w:pPr>
            <w:r>
              <w:rPr>
                <w:rFonts w:hint="eastAsia"/>
              </w:rPr>
              <w:t>危险固废</w:t>
            </w:r>
          </w:p>
        </w:tc>
        <w:tc>
          <w:tcPr>
            <w:tcW w:w="934" w:type="dxa"/>
            <w:vAlign w:val="center"/>
          </w:tcPr>
          <w:p>
            <w:pPr>
              <w:pStyle w:val="100"/>
              <w:widowControl w:val="0"/>
              <w:bidi w:val="0"/>
              <w:adjustRightInd w:val="0"/>
              <w:snapToGrid w:val="0"/>
            </w:pPr>
            <w:r>
              <w:rPr>
                <w:rFonts w:hint="eastAsia"/>
              </w:rPr>
              <w:t>上胶</w:t>
            </w:r>
          </w:p>
        </w:tc>
        <w:tc>
          <w:tcPr>
            <w:tcW w:w="734" w:type="dxa"/>
            <w:vAlign w:val="center"/>
          </w:tcPr>
          <w:p>
            <w:pPr>
              <w:pStyle w:val="100"/>
              <w:widowControl w:val="0"/>
              <w:bidi w:val="0"/>
              <w:adjustRightInd w:val="0"/>
              <w:snapToGrid w:val="0"/>
            </w:pPr>
            <w:r>
              <w:rPr>
                <w:rFonts w:hint="eastAsia"/>
              </w:rPr>
              <w:t>固态</w:t>
            </w:r>
          </w:p>
        </w:tc>
        <w:tc>
          <w:tcPr>
            <w:tcW w:w="1358" w:type="dxa"/>
            <w:vAlign w:val="center"/>
          </w:tcPr>
          <w:p>
            <w:pPr>
              <w:pStyle w:val="100"/>
              <w:widowControl w:val="0"/>
              <w:bidi w:val="0"/>
              <w:adjustRightInd w:val="0"/>
              <w:snapToGrid w:val="0"/>
            </w:pPr>
            <w:r>
              <w:rPr>
                <w:rFonts w:hint="eastAsia"/>
              </w:rPr>
              <w:t>水胶</w:t>
            </w:r>
          </w:p>
        </w:tc>
        <w:tc>
          <w:tcPr>
            <w:tcW w:w="881" w:type="dxa"/>
            <w:vMerge w:val="continue"/>
            <w:vAlign w:val="center"/>
          </w:tcPr>
          <w:p>
            <w:pPr>
              <w:pStyle w:val="100"/>
              <w:widowControl w:val="0"/>
              <w:bidi w:val="0"/>
              <w:adjustRightInd w:val="0"/>
              <w:snapToGrid w:val="0"/>
            </w:pPr>
          </w:p>
        </w:tc>
        <w:tc>
          <w:tcPr>
            <w:tcW w:w="764" w:type="dxa"/>
            <w:vAlign w:val="center"/>
          </w:tcPr>
          <w:p>
            <w:pPr>
              <w:pStyle w:val="100"/>
              <w:widowControl w:val="0"/>
              <w:bidi w:val="0"/>
              <w:adjustRightInd w:val="0"/>
              <w:snapToGrid w:val="0"/>
              <w:rPr>
                <w:rFonts w:hint="default"/>
                <w:lang w:val="en-US" w:eastAsia="zh-CN"/>
              </w:rPr>
            </w:pPr>
            <w:r>
              <w:rPr>
                <w:rFonts w:hint="eastAsia"/>
              </w:rPr>
              <w:t>T</w:t>
            </w:r>
            <w:r>
              <w:rPr>
                <w:rFonts w:hint="eastAsia"/>
                <w:lang w:val="en-US" w:eastAsia="zh-CN"/>
              </w:rPr>
              <w:t>/In</w:t>
            </w:r>
          </w:p>
        </w:tc>
        <w:tc>
          <w:tcPr>
            <w:tcW w:w="993" w:type="dxa"/>
            <w:vAlign w:val="center"/>
          </w:tcPr>
          <w:p>
            <w:pPr>
              <w:pStyle w:val="100"/>
              <w:widowControl w:val="0"/>
              <w:bidi w:val="0"/>
              <w:adjustRightInd w:val="0"/>
              <w:snapToGrid w:val="0"/>
              <w:rPr>
                <w:rFonts w:hint="default"/>
                <w:lang w:val="en-US" w:eastAsia="zh-CN"/>
              </w:rPr>
            </w:pPr>
            <w:r>
              <w:rPr>
                <w:rFonts w:hint="eastAsia"/>
              </w:rPr>
              <w:t>HW</w:t>
            </w:r>
            <w:r>
              <w:rPr>
                <w:rFonts w:hint="eastAsia"/>
                <w:lang w:val="en-US" w:eastAsia="zh-CN"/>
              </w:rPr>
              <w:t>49</w:t>
            </w:r>
          </w:p>
        </w:tc>
        <w:tc>
          <w:tcPr>
            <w:tcW w:w="1610" w:type="dxa"/>
            <w:vAlign w:val="center"/>
          </w:tcPr>
          <w:p>
            <w:pPr>
              <w:pStyle w:val="100"/>
              <w:widowControl w:val="0"/>
              <w:bidi w:val="0"/>
              <w:adjustRightInd w:val="0"/>
              <w:snapToGrid w:val="0"/>
              <w:rPr>
                <w:rFonts w:hint="default"/>
                <w:lang w:val="en-US" w:eastAsia="zh-CN"/>
              </w:rPr>
            </w:pPr>
            <w:r>
              <w:rPr>
                <w:rFonts w:hint="eastAsia"/>
                <w:lang w:val="en-US" w:eastAsia="zh-CN"/>
              </w:rPr>
              <w:t>900</w:t>
            </w:r>
            <w:r>
              <w:rPr>
                <w:rFonts w:hint="eastAsia"/>
              </w:rPr>
              <w:t>-0</w:t>
            </w:r>
            <w:r>
              <w:rPr>
                <w:rFonts w:hint="eastAsia"/>
                <w:lang w:val="en-US" w:eastAsia="zh-CN"/>
              </w:rPr>
              <w:t>41</w:t>
            </w:r>
            <w:r>
              <w:rPr>
                <w:rFonts w:hint="eastAsia"/>
              </w:rPr>
              <w:t>-</w:t>
            </w:r>
            <w:r>
              <w:rPr>
                <w:rFonts w:hint="eastAsia"/>
                <w:lang w:val="en-US" w:eastAsia="zh-CN"/>
              </w:rPr>
              <w:t>49</w:t>
            </w:r>
          </w:p>
        </w:tc>
        <w:tc>
          <w:tcPr>
            <w:tcW w:w="718" w:type="dxa"/>
            <w:vAlign w:val="center"/>
          </w:tcPr>
          <w:p>
            <w:pPr>
              <w:pStyle w:val="100"/>
              <w:widowControl w:val="0"/>
              <w:bidi w:val="0"/>
              <w:adjustRightInd w:val="0"/>
              <w:snapToGrid w:val="0"/>
            </w:pPr>
            <w:r>
              <w:rPr>
                <w:rFonts w:hint="eastAsia"/>
              </w:rPr>
              <w:t>0.5</w:t>
            </w:r>
          </w:p>
        </w:tc>
        <w:tc>
          <w:tcPr>
            <w:tcW w:w="791" w:type="dxa"/>
            <w:vMerge w:val="continue"/>
            <w:vAlign w:val="center"/>
          </w:tcPr>
          <w:p>
            <w:pPr>
              <w:pStyle w:val="100"/>
              <w:widowControl w:val="0"/>
              <w:bidi w:val="0"/>
              <w:adjustRightInd w:val="0"/>
              <w:snapToGrid w:val="0"/>
            </w:pPr>
          </w:p>
        </w:tc>
        <w:tc>
          <w:tcPr>
            <w:tcW w:w="790" w:type="dxa"/>
            <w:vAlign w:val="center"/>
          </w:tcPr>
          <w:p>
            <w:pPr>
              <w:pStyle w:val="100"/>
              <w:widowControl w:val="0"/>
              <w:bidi w:val="0"/>
              <w:adjustRightInd w:val="0"/>
              <w:snapToGrid w:val="0"/>
            </w:pPr>
            <w:r>
              <w:rPr>
                <w:rFonts w:hint="eastAsia"/>
                <w:lang w:val="en-US" w:eastAsia="zh-CN"/>
              </w:rPr>
              <w:t>半</w:t>
            </w:r>
            <w:r>
              <w:rPr>
                <w:rFonts w:hint="eastAsia"/>
              </w:rPr>
              <w:t>年</w:t>
            </w:r>
          </w:p>
        </w:tc>
        <w:tc>
          <w:tcPr>
            <w:tcW w:w="826" w:type="dxa"/>
            <w:vAlign w:val="center"/>
          </w:tcPr>
          <w:p>
            <w:pPr>
              <w:pStyle w:val="100"/>
              <w:widowControl w:val="0"/>
              <w:bidi w:val="0"/>
              <w:adjustRightInd w:val="0"/>
              <w:snapToGrid w:val="0"/>
            </w:pPr>
            <w:r>
              <w:rPr>
                <w:rFonts w:hint="eastAsia"/>
              </w:rPr>
              <w:t>0.5</w:t>
            </w:r>
          </w:p>
        </w:tc>
        <w:tc>
          <w:tcPr>
            <w:tcW w:w="826" w:type="dxa"/>
            <w:vAlign w:val="center"/>
          </w:tcPr>
          <w:p>
            <w:pPr>
              <w:pStyle w:val="100"/>
              <w:widowControl w:val="0"/>
              <w:bidi w:val="0"/>
              <w:adjustRightInd w:val="0"/>
              <w:snapToGrid w:val="0"/>
            </w:pPr>
            <w:r>
              <w:rPr>
                <w:rFonts w:hint="eastAsia"/>
              </w:rPr>
              <w:t>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pPr>
            <w:r>
              <w:rPr>
                <w:rFonts w:hint="eastAsia"/>
              </w:rPr>
              <w:t>废纸箱</w:t>
            </w:r>
          </w:p>
        </w:tc>
        <w:tc>
          <w:tcPr>
            <w:tcW w:w="1140" w:type="dxa"/>
            <w:vAlign w:val="center"/>
          </w:tcPr>
          <w:p>
            <w:pPr>
              <w:pStyle w:val="100"/>
              <w:widowControl w:val="0"/>
              <w:bidi w:val="0"/>
              <w:adjustRightInd w:val="0"/>
              <w:snapToGrid w:val="0"/>
            </w:pPr>
            <w:r>
              <w:rPr>
                <w:rFonts w:hint="eastAsia"/>
              </w:rPr>
              <w:t>一般固废</w:t>
            </w:r>
          </w:p>
        </w:tc>
        <w:tc>
          <w:tcPr>
            <w:tcW w:w="934" w:type="dxa"/>
            <w:vAlign w:val="center"/>
          </w:tcPr>
          <w:p>
            <w:pPr>
              <w:pStyle w:val="100"/>
              <w:widowControl w:val="0"/>
              <w:bidi w:val="0"/>
              <w:adjustRightInd w:val="0"/>
              <w:snapToGrid w:val="0"/>
            </w:pPr>
            <w:r>
              <w:rPr>
                <w:rFonts w:hint="eastAsia"/>
              </w:rPr>
              <w:t>包装</w:t>
            </w:r>
          </w:p>
        </w:tc>
        <w:tc>
          <w:tcPr>
            <w:tcW w:w="734" w:type="dxa"/>
            <w:vAlign w:val="center"/>
          </w:tcPr>
          <w:p>
            <w:pPr>
              <w:pStyle w:val="100"/>
              <w:widowControl w:val="0"/>
              <w:bidi w:val="0"/>
              <w:adjustRightInd w:val="0"/>
              <w:snapToGrid w:val="0"/>
            </w:pPr>
            <w:r>
              <w:rPr>
                <w:rFonts w:hint="eastAsia"/>
              </w:rPr>
              <w:t>固态</w:t>
            </w:r>
          </w:p>
        </w:tc>
        <w:tc>
          <w:tcPr>
            <w:tcW w:w="1358" w:type="dxa"/>
            <w:vAlign w:val="center"/>
          </w:tcPr>
          <w:p>
            <w:pPr>
              <w:pStyle w:val="100"/>
              <w:widowControl w:val="0"/>
              <w:bidi w:val="0"/>
              <w:adjustRightInd w:val="0"/>
              <w:snapToGrid w:val="0"/>
            </w:pPr>
            <w:r>
              <w:rPr>
                <w:rFonts w:hint="eastAsia"/>
              </w:rPr>
              <w:t>纸</w:t>
            </w:r>
          </w:p>
        </w:tc>
        <w:tc>
          <w:tcPr>
            <w:tcW w:w="881" w:type="dxa"/>
            <w:vMerge w:val="continue"/>
            <w:vAlign w:val="center"/>
          </w:tcPr>
          <w:p>
            <w:pPr>
              <w:pStyle w:val="100"/>
              <w:widowControl w:val="0"/>
              <w:bidi w:val="0"/>
              <w:adjustRightInd w:val="0"/>
              <w:snapToGrid w:val="0"/>
            </w:pPr>
          </w:p>
        </w:tc>
        <w:tc>
          <w:tcPr>
            <w:tcW w:w="764" w:type="dxa"/>
            <w:vAlign w:val="center"/>
          </w:tcPr>
          <w:p>
            <w:pPr>
              <w:pStyle w:val="100"/>
              <w:widowControl w:val="0"/>
              <w:bidi w:val="0"/>
              <w:adjustRightInd w:val="0"/>
              <w:snapToGrid w:val="0"/>
            </w:pPr>
            <w:r>
              <w:rPr>
                <w:rFonts w:hint="eastAsia"/>
              </w:rPr>
              <w:t>/</w:t>
            </w:r>
          </w:p>
        </w:tc>
        <w:tc>
          <w:tcPr>
            <w:tcW w:w="993" w:type="dxa"/>
            <w:vAlign w:val="center"/>
          </w:tcPr>
          <w:p>
            <w:pPr>
              <w:pStyle w:val="100"/>
              <w:widowControl w:val="0"/>
              <w:bidi w:val="0"/>
              <w:adjustRightInd w:val="0"/>
              <w:snapToGrid w:val="0"/>
            </w:pPr>
            <w:r>
              <w:rPr>
                <w:rFonts w:hint="eastAsia"/>
              </w:rPr>
              <w:t>/</w:t>
            </w:r>
          </w:p>
        </w:tc>
        <w:tc>
          <w:tcPr>
            <w:tcW w:w="1610" w:type="dxa"/>
            <w:vAlign w:val="center"/>
          </w:tcPr>
          <w:p>
            <w:pPr>
              <w:pStyle w:val="100"/>
              <w:widowControl w:val="0"/>
              <w:bidi w:val="0"/>
              <w:adjustRightInd w:val="0"/>
              <w:snapToGrid w:val="0"/>
            </w:pPr>
            <w:r>
              <w:rPr>
                <w:rFonts w:hint="eastAsia"/>
              </w:rPr>
              <w:t>/</w:t>
            </w:r>
          </w:p>
        </w:tc>
        <w:tc>
          <w:tcPr>
            <w:tcW w:w="718" w:type="dxa"/>
            <w:vAlign w:val="center"/>
          </w:tcPr>
          <w:p>
            <w:pPr>
              <w:pStyle w:val="100"/>
              <w:widowControl w:val="0"/>
              <w:bidi w:val="0"/>
              <w:adjustRightInd w:val="0"/>
              <w:snapToGrid w:val="0"/>
            </w:pPr>
            <w:r>
              <w:rPr>
                <w:rFonts w:hint="eastAsia"/>
              </w:rPr>
              <w:t>3</w:t>
            </w:r>
          </w:p>
        </w:tc>
        <w:tc>
          <w:tcPr>
            <w:tcW w:w="791" w:type="dxa"/>
            <w:vMerge w:val="continue"/>
            <w:vAlign w:val="center"/>
          </w:tcPr>
          <w:p>
            <w:pPr>
              <w:pStyle w:val="100"/>
              <w:widowControl w:val="0"/>
              <w:bidi w:val="0"/>
              <w:adjustRightInd w:val="0"/>
              <w:snapToGrid w:val="0"/>
            </w:pPr>
          </w:p>
        </w:tc>
        <w:tc>
          <w:tcPr>
            <w:tcW w:w="790" w:type="dxa"/>
            <w:vAlign w:val="center"/>
          </w:tcPr>
          <w:p>
            <w:pPr>
              <w:pStyle w:val="100"/>
              <w:widowControl w:val="0"/>
              <w:bidi w:val="0"/>
              <w:adjustRightInd w:val="0"/>
              <w:snapToGrid w:val="0"/>
            </w:pPr>
            <w:r>
              <w:rPr>
                <w:rFonts w:hint="eastAsia"/>
              </w:rPr>
              <w:t>一年</w:t>
            </w:r>
          </w:p>
        </w:tc>
        <w:tc>
          <w:tcPr>
            <w:tcW w:w="826" w:type="dxa"/>
            <w:vAlign w:val="center"/>
          </w:tcPr>
          <w:p>
            <w:pPr>
              <w:pStyle w:val="100"/>
              <w:widowControl w:val="0"/>
              <w:bidi w:val="0"/>
              <w:adjustRightInd w:val="0"/>
              <w:snapToGrid w:val="0"/>
            </w:pPr>
            <w:r>
              <w:rPr>
                <w:rFonts w:hint="eastAsia"/>
              </w:rPr>
              <w:t>3</w:t>
            </w:r>
          </w:p>
        </w:tc>
        <w:tc>
          <w:tcPr>
            <w:tcW w:w="826" w:type="dxa"/>
            <w:vAlign w:val="center"/>
          </w:tcPr>
          <w:p>
            <w:pPr>
              <w:pStyle w:val="100"/>
              <w:widowControl w:val="0"/>
              <w:bidi w:val="0"/>
              <w:adjustRightInd w:val="0"/>
              <w:snapToGrid w:val="0"/>
            </w:pPr>
            <w:r>
              <w:rPr>
                <w:rFonts w:hint="eastAsia"/>
              </w:rPr>
              <w:t>外售利用单位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pPr>
            <w:r>
              <w:rPr>
                <w:rFonts w:hint="eastAsia"/>
              </w:rPr>
              <w:t>废活性炭</w:t>
            </w:r>
          </w:p>
        </w:tc>
        <w:tc>
          <w:tcPr>
            <w:tcW w:w="1140" w:type="dxa"/>
            <w:vAlign w:val="center"/>
          </w:tcPr>
          <w:p>
            <w:pPr>
              <w:pStyle w:val="100"/>
              <w:widowControl w:val="0"/>
              <w:bidi w:val="0"/>
              <w:adjustRightInd w:val="0"/>
              <w:snapToGrid w:val="0"/>
            </w:pPr>
            <w:r>
              <w:rPr>
                <w:rFonts w:hint="eastAsia"/>
              </w:rPr>
              <w:t>危险固废</w:t>
            </w:r>
          </w:p>
        </w:tc>
        <w:tc>
          <w:tcPr>
            <w:tcW w:w="934" w:type="dxa"/>
            <w:vAlign w:val="center"/>
          </w:tcPr>
          <w:p>
            <w:pPr>
              <w:pStyle w:val="100"/>
              <w:widowControl w:val="0"/>
              <w:bidi w:val="0"/>
              <w:adjustRightInd w:val="0"/>
              <w:snapToGrid w:val="0"/>
            </w:pPr>
            <w:r>
              <w:rPr>
                <w:rFonts w:hint="eastAsia"/>
              </w:rPr>
              <w:t>废气处理</w:t>
            </w:r>
          </w:p>
        </w:tc>
        <w:tc>
          <w:tcPr>
            <w:tcW w:w="734" w:type="dxa"/>
            <w:vAlign w:val="center"/>
          </w:tcPr>
          <w:p>
            <w:pPr>
              <w:pStyle w:val="100"/>
              <w:widowControl w:val="0"/>
              <w:bidi w:val="0"/>
              <w:adjustRightInd w:val="0"/>
              <w:snapToGrid w:val="0"/>
            </w:pPr>
            <w:r>
              <w:rPr>
                <w:rFonts w:hint="eastAsia"/>
              </w:rPr>
              <w:t>固态</w:t>
            </w:r>
          </w:p>
        </w:tc>
        <w:tc>
          <w:tcPr>
            <w:tcW w:w="1358" w:type="dxa"/>
            <w:vAlign w:val="center"/>
          </w:tcPr>
          <w:p>
            <w:pPr>
              <w:pStyle w:val="100"/>
              <w:widowControl w:val="0"/>
              <w:bidi w:val="0"/>
              <w:adjustRightInd w:val="0"/>
              <w:snapToGrid w:val="0"/>
            </w:pPr>
            <w:r>
              <w:rPr>
                <w:rFonts w:hint="eastAsia"/>
              </w:rPr>
              <w:t>活性炭、吸附的有机废气</w:t>
            </w:r>
          </w:p>
        </w:tc>
        <w:tc>
          <w:tcPr>
            <w:tcW w:w="881" w:type="dxa"/>
            <w:vMerge w:val="continue"/>
            <w:vAlign w:val="center"/>
          </w:tcPr>
          <w:p>
            <w:pPr>
              <w:pStyle w:val="100"/>
              <w:widowControl w:val="0"/>
              <w:bidi w:val="0"/>
              <w:adjustRightInd w:val="0"/>
              <w:snapToGrid w:val="0"/>
            </w:pPr>
          </w:p>
        </w:tc>
        <w:tc>
          <w:tcPr>
            <w:tcW w:w="764" w:type="dxa"/>
            <w:vAlign w:val="center"/>
          </w:tcPr>
          <w:p>
            <w:pPr>
              <w:pStyle w:val="100"/>
              <w:widowControl w:val="0"/>
              <w:bidi w:val="0"/>
              <w:adjustRightInd w:val="0"/>
              <w:snapToGrid w:val="0"/>
            </w:pPr>
            <w:r>
              <w:rPr>
                <w:rFonts w:hint="eastAsia"/>
              </w:rPr>
              <w:t>T</w:t>
            </w:r>
          </w:p>
        </w:tc>
        <w:tc>
          <w:tcPr>
            <w:tcW w:w="993" w:type="dxa"/>
            <w:vAlign w:val="center"/>
          </w:tcPr>
          <w:p>
            <w:pPr>
              <w:pStyle w:val="100"/>
              <w:widowControl w:val="0"/>
              <w:bidi w:val="0"/>
              <w:adjustRightInd w:val="0"/>
              <w:snapToGrid w:val="0"/>
            </w:pPr>
            <w:r>
              <w:rPr>
                <w:rFonts w:hint="eastAsia"/>
              </w:rPr>
              <w:t>HW49</w:t>
            </w:r>
          </w:p>
        </w:tc>
        <w:tc>
          <w:tcPr>
            <w:tcW w:w="1610" w:type="dxa"/>
            <w:vAlign w:val="center"/>
          </w:tcPr>
          <w:p>
            <w:pPr>
              <w:pStyle w:val="100"/>
              <w:widowControl w:val="0"/>
              <w:bidi w:val="0"/>
              <w:adjustRightInd w:val="0"/>
              <w:snapToGrid w:val="0"/>
            </w:pPr>
            <w:r>
              <w:rPr>
                <w:rFonts w:hint="eastAsia"/>
              </w:rPr>
              <w:t>900-0</w:t>
            </w:r>
            <w:r>
              <w:rPr>
                <w:rFonts w:hint="eastAsia"/>
                <w:lang w:val="en-US" w:eastAsia="zh-CN"/>
              </w:rPr>
              <w:t>39</w:t>
            </w:r>
            <w:r>
              <w:rPr>
                <w:rFonts w:hint="eastAsia"/>
              </w:rPr>
              <w:t>-49</w:t>
            </w:r>
          </w:p>
        </w:tc>
        <w:tc>
          <w:tcPr>
            <w:tcW w:w="718" w:type="dxa"/>
            <w:vAlign w:val="center"/>
          </w:tcPr>
          <w:p>
            <w:pPr>
              <w:pStyle w:val="100"/>
              <w:widowControl w:val="0"/>
              <w:bidi w:val="0"/>
              <w:adjustRightInd w:val="0"/>
              <w:snapToGrid w:val="0"/>
            </w:pPr>
            <w:r>
              <w:rPr>
                <w:rFonts w:hint="eastAsia"/>
              </w:rPr>
              <w:t>0.5</w:t>
            </w:r>
          </w:p>
        </w:tc>
        <w:tc>
          <w:tcPr>
            <w:tcW w:w="791" w:type="dxa"/>
            <w:vMerge w:val="continue"/>
            <w:vAlign w:val="center"/>
          </w:tcPr>
          <w:p>
            <w:pPr>
              <w:pStyle w:val="100"/>
              <w:widowControl w:val="0"/>
              <w:bidi w:val="0"/>
              <w:adjustRightInd w:val="0"/>
              <w:snapToGrid w:val="0"/>
            </w:pPr>
          </w:p>
        </w:tc>
        <w:tc>
          <w:tcPr>
            <w:tcW w:w="790" w:type="dxa"/>
            <w:vAlign w:val="center"/>
          </w:tcPr>
          <w:p>
            <w:pPr>
              <w:pStyle w:val="100"/>
              <w:widowControl w:val="0"/>
              <w:bidi w:val="0"/>
              <w:adjustRightInd w:val="0"/>
              <w:snapToGrid w:val="0"/>
            </w:pPr>
            <w:r>
              <w:rPr>
                <w:rFonts w:hint="eastAsia"/>
              </w:rPr>
              <w:t>半年</w:t>
            </w:r>
          </w:p>
        </w:tc>
        <w:tc>
          <w:tcPr>
            <w:tcW w:w="826" w:type="dxa"/>
            <w:vAlign w:val="center"/>
          </w:tcPr>
          <w:p>
            <w:pPr>
              <w:pStyle w:val="100"/>
              <w:widowControl w:val="0"/>
              <w:bidi w:val="0"/>
              <w:adjustRightInd w:val="0"/>
              <w:snapToGrid w:val="0"/>
            </w:pPr>
            <w:r>
              <w:rPr>
                <w:rFonts w:hint="eastAsia"/>
              </w:rPr>
              <w:t>0.5</w:t>
            </w:r>
          </w:p>
        </w:tc>
        <w:tc>
          <w:tcPr>
            <w:tcW w:w="826" w:type="dxa"/>
            <w:vAlign w:val="center"/>
          </w:tcPr>
          <w:p>
            <w:pPr>
              <w:pStyle w:val="100"/>
              <w:widowControl w:val="0"/>
              <w:bidi w:val="0"/>
              <w:adjustRightInd w:val="0"/>
              <w:snapToGrid w:val="0"/>
            </w:pPr>
            <w:r>
              <w:rPr>
                <w:rFonts w:hint="eastAsia"/>
              </w:rPr>
              <w:t>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pPr>
            <w:r>
              <w:rPr>
                <w:rFonts w:hint="eastAsia"/>
              </w:rPr>
              <w:t>不合格品</w:t>
            </w:r>
          </w:p>
        </w:tc>
        <w:tc>
          <w:tcPr>
            <w:tcW w:w="1140" w:type="dxa"/>
            <w:vAlign w:val="center"/>
          </w:tcPr>
          <w:p>
            <w:pPr>
              <w:pStyle w:val="100"/>
              <w:widowControl w:val="0"/>
              <w:bidi w:val="0"/>
              <w:adjustRightInd w:val="0"/>
              <w:snapToGrid w:val="0"/>
            </w:pPr>
            <w:r>
              <w:rPr>
                <w:rFonts w:hint="eastAsia"/>
              </w:rPr>
              <w:t>一般固废</w:t>
            </w:r>
          </w:p>
        </w:tc>
        <w:tc>
          <w:tcPr>
            <w:tcW w:w="934" w:type="dxa"/>
            <w:vAlign w:val="center"/>
          </w:tcPr>
          <w:p>
            <w:pPr>
              <w:pStyle w:val="100"/>
              <w:widowControl w:val="0"/>
              <w:bidi w:val="0"/>
              <w:adjustRightInd w:val="0"/>
              <w:snapToGrid w:val="0"/>
            </w:pPr>
            <w:r>
              <w:rPr>
                <w:rFonts w:hint="eastAsia"/>
              </w:rPr>
              <w:t>检验</w:t>
            </w:r>
          </w:p>
        </w:tc>
        <w:tc>
          <w:tcPr>
            <w:tcW w:w="734" w:type="dxa"/>
            <w:vAlign w:val="center"/>
          </w:tcPr>
          <w:p>
            <w:pPr>
              <w:pStyle w:val="100"/>
              <w:widowControl w:val="0"/>
              <w:bidi w:val="0"/>
              <w:adjustRightInd w:val="0"/>
              <w:snapToGrid w:val="0"/>
            </w:pPr>
            <w:r>
              <w:rPr>
                <w:rFonts w:hint="eastAsia"/>
              </w:rPr>
              <w:t>固态</w:t>
            </w:r>
          </w:p>
        </w:tc>
        <w:tc>
          <w:tcPr>
            <w:tcW w:w="1358" w:type="dxa"/>
            <w:vAlign w:val="center"/>
          </w:tcPr>
          <w:p>
            <w:pPr>
              <w:pStyle w:val="100"/>
              <w:widowControl w:val="0"/>
              <w:bidi w:val="0"/>
              <w:adjustRightInd w:val="0"/>
              <w:snapToGrid w:val="0"/>
            </w:pPr>
            <w:r>
              <w:rPr>
                <w:rFonts w:hint="eastAsia"/>
              </w:rPr>
              <w:t>PET</w:t>
            </w:r>
          </w:p>
        </w:tc>
        <w:tc>
          <w:tcPr>
            <w:tcW w:w="881" w:type="dxa"/>
            <w:vMerge w:val="continue"/>
            <w:vAlign w:val="center"/>
          </w:tcPr>
          <w:p>
            <w:pPr>
              <w:pStyle w:val="100"/>
              <w:widowControl w:val="0"/>
              <w:bidi w:val="0"/>
              <w:adjustRightInd w:val="0"/>
              <w:snapToGrid w:val="0"/>
            </w:pPr>
          </w:p>
        </w:tc>
        <w:tc>
          <w:tcPr>
            <w:tcW w:w="764" w:type="dxa"/>
            <w:vAlign w:val="center"/>
          </w:tcPr>
          <w:p>
            <w:pPr>
              <w:pStyle w:val="100"/>
              <w:widowControl w:val="0"/>
              <w:bidi w:val="0"/>
              <w:adjustRightInd w:val="0"/>
              <w:snapToGrid w:val="0"/>
            </w:pPr>
            <w:r>
              <w:rPr>
                <w:rFonts w:hint="eastAsia"/>
              </w:rPr>
              <w:t>/</w:t>
            </w:r>
          </w:p>
        </w:tc>
        <w:tc>
          <w:tcPr>
            <w:tcW w:w="993" w:type="dxa"/>
            <w:vAlign w:val="center"/>
          </w:tcPr>
          <w:p>
            <w:pPr>
              <w:pStyle w:val="100"/>
              <w:widowControl w:val="0"/>
              <w:bidi w:val="0"/>
              <w:adjustRightInd w:val="0"/>
              <w:snapToGrid w:val="0"/>
            </w:pPr>
            <w:r>
              <w:rPr>
                <w:rFonts w:hint="eastAsia"/>
              </w:rPr>
              <w:t>/</w:t>
            </w:r>
          </w:p>
        </w:tc>
        <w:tc>
          <w:tcPr>
            <w:tcW w:w="1610" w:type="dxa"/>
            <w:vAlign w:val="center"/>
          </w:tcPr>
          <w:p>
            <w:pPr>
              <w:pStyle w:val="100"/>
              <w:widowControl w:val="0"/>
              <w:bidi w:val="0"/>
              <w:adjustRightInd w:val="0"/>
              <w:snapToGrid w:val="0"/>
            </w:pPr>
            <w:r>
              <w:rPr>
                <w:rFonts w:hint="eastAsia"/>
              </w:rPr>
              <w:t>/</w:t>
            </w:r>
          </w:p>
        </w:tc>
        <w:tc>
          <w:tcPr>
            <w:tcW w:w="718" w:type="dxa"/>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791" w:type="dxa"/>
            <w:vMerge w:val="continue"/>
            <w:vAlign w:val="center"/>
          </w:tcPr>
          <w:p>
            <w:pPr>
              <w:pStyle w:val="100"/>
              <w:widowControl w:val="0"/>
              <w:bidi w:val="0"/>
              <w:adjustRightInd w:val="0"/>
              <w:snapToGrid w:val="0"/>
            </w:pPr>
          </w:p>
        </w:tc>
        <w:tc>
          <w:tcPr>
            <w:tcW w:w="790" w:type="dxa"/>
            <w:vAlign w:val="center"/>
          </w:tcPr>
          <w:p>
            <w:pPr>
              <w:pStyle w:val="100"/>
              <w:widowControl w:val="0"/>
              <w:bidi w:val="0"/>
              <w:adjustRightInd w:val="0"/>
              <w:snapToGrid w:val="0"/>
            </w:pPr>
            <w:r>
              <w:rPr>
                <w:rFonts w:hint="eastAsia"/>
              </w:rPr>
              <w:t>一年</w:t>
            </w:r>
          </w:p>
        </w:tc>
        <w:tc>
          <w:tcPr>
            <w:tcW w:w="826" w:type="dxa"/>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826" w:type="dxa"/>
            <w:vAlign w:val="center"/>
          </w:tcPr>
          <w:p>
            <w:pPr>
              <w:pStyle w:val="100"/>
              <w:widowControl w:val="0"/>
              <w:bidi w:val="0"/>
              <w:adjustRightInd w:val="0"/>
              <w:snapToGrid w:val="0"/>
            </w:pPr>
            <w:r>
              <w:rPr>
                <w:rFonts w:hint="eastAsia"/>
              </w:rPr>
              <w:t>外售利用单位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rPr>
                <w:rFonts w:hint="eastAsia"/>
                <w:lang w:val="en-US" w:eastAsia="zh-CN"/>
              </w:rPr>
            </w:pPr>
            <w:r>
              <w:rPr>
                <w:rFonts w:hint="eastAsia"/>
                <w:lang w:val="en-US" w:eastAsia="zh-CN"/>
              </w:rPr>
              <w:t>废抹布</w:t>
            </w:r>
          </w:p>
        </w:tc>
        <w:tc>
          <w:tcPr>
            <w:tcW w:w="1140" w:type="dxa"/>
            <w:vAlign w:val="center"/>
          </w:tcPr>
          <w:p>
            <w:pPr>
              <w:pStyle w:val="100"/>
              <w:widowControl w:val="0"/>
              <w:bidi w:val="0"/>
              <w:adjustRightInd w:val="0"/>
              <w:snapToGrid w:val="0"/>
              <w:rPr>
                <w:rFonts w:hint="eastAsia"/>
                <w:lang w:val="en-US" w:eastAsia="zh-CN"/>
              </w:rPr>
            </w:pPr>
            <w:r>
              <w:rPr>
                <w:rFonts w:hint="eastAsia"/>
                <w:lang w:val="en-US" w:eastAsia="zh-CN"/>
              </w:rPr>
              <w:t>危险固废</w:t>
            </w:r>
          </w:p>
        </w:tc>
        <w:tc>
          <w:tcPr>
            <w:tcW w:w="934" w:type="dxa"/>
            <w:vAlign w:val="center"/>
          </w:tcPr>
          <w:p>
            <w:pPr>
              <w:pStyle w:val="100"/>
              <w:widowControl w:val="0"/>
              <w:bidi w:val="0"/>
              <w:adjustRightInd w:val="0"/>
              <w:snapToGrid w:val="0"/>
              <w:rPr>
                <w:rFonts w:hint="default"/>
                <w:lang w:val="en-US" w:eastAsia="zh-CN"/>
              </w:rPr>
            </w:pPr>
            <w:r>
              <w:rPr>
                <w:rFonts w:hint="eastAsia"/>
                <w:lang w:val="en-US" w:eastAsia="zh-CN"/>
              </w:rPr>
              <w:t>擦拭</w:t>
            </w:r>
          </w:p>
        </w:tc>
        <w:tc>
          <w:tcPr>
            <w:tcW w:w="734" w:type="dxa"/>
            <w:vAlign w:val="center"/>
          </w:tcPr>
          <w:p>
            <w:pPr>
              <w:pStyle w:val="100"/>
              <w:widowControl w:val="0"/>
              <w:bidi w:val="0"/>
              <w:adjustRightInd w:val="0"/>
              <w:snapToGrid w:val="0"/>
              <w:rPr>
                <w:rFonts w:hint="eastAsia"/>
                <w:lang w:val="en-US" w:eastAsia="zh-CN"/>
              </w:rPr>
            </w:pPr>
            <w:r>
              <w:rPr>
                <w:rFonts w:hint="eastAsia"/>
                <w:lang w:val="en-US" w:eastAsia="zh-CN"/>
              </w:rPr>
              <w:t>固态</w:t>
            </w:r>
          </w:p>
        </w:tc>
        <w:tc>
          <w:tcPr>
            <w:tcW w:w="1358" w:type="dxa"/>
            <w:vAlign w:val="center"/>
          </w:tcPr>
          <w:p>
            <w:pPr>
              <w:pStyle w:val="100"/>
              <w:widowControl w:val="0"/>
              <w:bidi w:val="0"/>
              <w:adjustRightInd w:val="0"/>
              <w:snapToGrid w:val="0"/>
              <w:rPr>
                <w:rFonts w:hint="default"/>
                <w:lang w:val="en-US" w:eastAsia="zh-CN"/>
              </w:rPr>
            </w:pPr>
            <w:r>
              <w:rPr>
                <w:rFonts w:hint="eastAsia"/>
                <w:lang w:val="en-US" w:eastAsia="zh-CN"/>
              </w:rPr>
              <w:t>布、油墨</w:t>
            </w:r>
          </w:p>
        </w:tc>
        <w:tc>
          <w:tcPr>
            <w:tcW w:w="881" w:type="dxa"/>
            <w:vMerge w:val="continue"/>
            <w:vAlign w:val="center"/>
          </w:tcPr>
          <w:p>
            <w:pPr>
              <w:pStyle w:val="100"/>
              <w:widowControl w:val="0"/>
              <w:bidi w:val="0"/>
              <w:adjustRightInd w:val="0"/>
              <w:snapToGrid w:val="0"/>
            </w:pPr>
          </w:p>
        </w:tc>
        <w:tc>
          <w:tcPr>
            <w:tcW w:w="764" w:type="dxa"/>
            <w:vAlign w:val="center"/>
          </w:tcPr>
          <w:p>
            <w:pPr>
              <w:pStyle w:val="100"/>
              <w:widowControl w:val="0"/>
              <w:bidi w:val="0"/>
              <w:adjustRightInd w:val="0"/>
              <w:snapToGrid w:val="0"/>
              <w:rPr>
                <w:rFonts w:hint="eastAsia"/>
                <w:lang w:val="en-US" w:eastAsia="zh-CN"/>
              </w:rPr>
            </w:pPr>
            <w:r>
              <w:rPr>
                <w:rFonts w:hint="eastAsia"/>
                <w:lang w:val="en-US" w:eastAsia="zh-CN"/>
              </w:rPr>
              <w:t>T/C/I/R</w:t>
            </w:r>
          </w:p>
        </w:tc>
        <w:tc>
          <w:tcPr>
            <w:tcW w:w="993" w:type="dxa"/>
            <w:vAlign w:val="center"/>
          </w:tcPr>
          <w:p>
            <w:pPr>
              <w:pStyle w:val="100"/>
              <w:widowControl w:val="0"/>
              <w:bidi w:val="0"/>
              <w:adjustRightInd w:val="0"/>
              <w:snapToGrid w:val="0"/>
              <w:rPr>
                <w:rFonts w:hint="default"/>
                <w:lang w:val="en-US" w:eastAsia="zh-CN"/>
              </w:rPr>
            </w:pPr>
            <w:r>
              <w:rPr>
                <w:rFonts w:hint="eastAsia"/>
                <w:lang w:val="en-US" w:eastAsia="zh-CN"/>
              </w:rPr>
              <w:t>HW49</w:t>
            </w:r>
          </w:p>
        </w:tc>
        <w:tc>
          <w:tcPr>
            <w:tcW w:w="1610" w:type="dxa"/>
            <w:vAlign w:val="center"/>
          </w:tcPr>
          <w:p>
            <w:pPr>
              <w:pStyle w:val="100"/>
              <w:widowControl w:val="0"/>
              <w:bidi w:val="0"/>
              <w:adjustRightInd w:val="0"/>
              <w:snapToGrid w:val="0"/>
              <w:rPr>
                <w:rFonts w:hint="default"/>
                <w:lang w:val="en-US" w:eastAsia="zh-CN"/>
              </w:rPr>
            </w:pPr>
            <w:r>
              <w:rPr>
                <w:rFonts w:hint="eastAsia"/>
                <w:lang w:val="en-US" w:eastAsia="zh-CN"/>
              </w:rPr>
              <w:t>900-047-49</w:t>
            </w:r>
          </w:p>
        </w:tc>
        <w:tc>
          <w:tcPr>
            <w:tcW w:w="718" w:type="dxa"/>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791" w:type="dxa"/>
            <w:vMerge w:val="continue"/>
            <w:vAlign w:val="center"/>
          </w:tcPr>
          <w:p>
            <w:pPr>
              <w:pStyle w:val="100"/>
              <w:widowControl w:val="0"/>
              <w:bidi w:val="0"/>
              <w:adjustRightInd w:val="0"/>
              <w:snapToGrid w:val="0"/>
            </w:pPr>
          </w:p>
        </w:tc>
        <w:tc>
          <w:tcPr>
            <w:tcW w:w="790" w:type="dxa"/>
            <w:vAlign w:val="center"/>
          </w:tcPr>
          <w:p>
            <w:pPr>
              <w:pStyle w:val="100"/>
              <w:widowControl w:val="0"/>
              <w:bidi w:val="0"/>
              <w:adjustRightInd w:val="0"/>
              <w:snapToGrid w:val="0"/>
              <w:rPr>
                <w:rFonts w:hint="eastAsia"/>
                <w:lang w:val="en-US" w:eastAsia="zh-CN"/>
              </w:rPr>
            </w:pPr>
            <w:r>
              <w:rPr>
                <w:rFonts w:hint="eastAsia"/>
                <w:lang w:val="en-US" w:eastAsia="zh-CN"/>
              </w:rPr>
              <w:t>半年</w:t>
            </w:r>
          </w:p>
        </w:tc>
        <w:tc>
          <w:tcPr>
            <w:tcW w:w="826" w:type="dxa"/>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826" w:type="dxa"/>
            <w:vAlign w:val="center"/>
          </w:tcPr>
          <w:p>
            <w:pPr>
              <w:pStyle w:val="100"/>
              <w:widowControl w:val="0"/>
              <w:bidi w:val="0"/>
              <w:adjustRightInd w:val="0"/>
              <w:snapToGrid w:val="0"/>
              <w:rPr>
                <w:rFonts w:hint="eastAsia"/>
                <w:lang w:val="en-US" w:eastAsia="zh-CN"/>
              </w:rPr>
            </w:pPr>
            <w:r>
              <w:rPr>
                <w:rFonts w:hint="eastAsia"/>
                <w:lang w:val="en-US" w:eastAsia="zh-CN"/>
              </w:rPr>
              <w:t>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01" w:type="dxa"/>
            <w:vAlign w:val="center"/>
          </w:tcPr>
          <w:p>
            <w:pPr>
              <w:pStyle w:val="100"/>
              <w:widowControl w:val="0"/>
              <w:bidi w:val="0"/>
              <w:adjustRightInd w:val="0"/>
              <w:snapToGrid w:val="0"/>
              <w:rPr>
                <w:rFonts w:hint="eastAsia"/>
                <w:lang w:val="en-US" w:eastAsia="zh-CN"/>
              </w:rPr>
            </w:pPr>
            <w:r>
              <w:rPr>
                <w:rFonts w:hint="eastAsia"/>
              </w:rPr>
              <w:t>生活垃圾</w:t>
            </w:r>
          </w:p>
        </w:tc>
        <w:tc>
          <w:tcPr>
            <w:tcW w:w="1140" w:type="dxa"/>
            <w:vAlign w:val="center"/>
          </w:tcPr>
          <w:p>
            <w:pPr>
              <w:pStyle w:val="100"/>
              <w:widowControl w:val="0"/>
              <w:bidi w:val="0"/>
              <w:adjustRightInd w:val="0"/>
              <w:snapToGrid w:val="0"/>
              <w:rPr>
                <w:rFonts w:hint="eastAsia"/>
                <w:lang w:val="en-US" w:eastAsia="zh-CN"/>
              </w:rPr>
            </w:pPr>
            <w:r>
              <w:rPr>
                <w:rFonts w:hint="eastAsia"/>
              </w:rPr>
              <w:t>一般固废</w:t>
            </w:r>
          </w:p>
        </w:tc>
        <w:tc>
          <w:tcPr>
            <w:tcW w:w="934" w:type="dxa"/>
            <w:vAlign w:val="center"/>
          </w:tcPr>
          <w:p>
            <w:pPr>
              <w:pStyle w:val="100"/>
              <w:widowControl w:val="0"/>
              <w:bidi w:val="0"/>
              <w:adjustRightInd w:val="0"/>
              <w:snapToGrid w:val="0"/>
              <w:rPr>
                <w:rFonts w:hint="eastAsia"/>
                <w:lang w:val="en-US" w:eastAsia="zh-CN"/>
              </w:rPr>
            </w:pPr>
            <w:r>
              <w:rPr>
                <w:rFonts w:hint="eastAsia"/>
              </w:rPr>
              <w:t>/</w:t>
            </w:r>
          </w:p>
        </w:tc>
        <w:tc>
          <w:tcPr>
            <w:tcW w:w="734" w:type="dxa"/>
            <w:vAlign w:val="center"/>
          </w:tcPr>
          <w:p>
            <w:pPr>
              <w:pStyle w:val="100"/>
              <w:widowControl w:val="0"/>
              <w:bidi w:val="0"/>
              <w:adjustRightInd w:val="0"/>
              <w:snapToGrid w:val="0"/>
              <w:rPr>
                <w:rFonts w:hint="eastAsia"/>
                <w:lang w:val="en-US" w:eastAsia="zh-CN"/>
              </w:rPr>
            </w:pPr>
            <w:r>
              <w:rPr>
                <w:rFonts w:hint="eastAsia"/>
              </w:rPr>
              <w:t>固态</w:t>
            </w:r>
          </w:p>
        </w:tc>
        <w:tc>
          <w:tcPr>
            <w:tcW w:w="1358" w:type="dxa"/>
            <w:vAlign w:val="center"/>
          </w:tcPr>
          <w:p>
            <w:pPr>
              <w:pStyle w:val="100"/>
              <w:widowControl w:val="0"/>
              <w:bidi w:val="0"/>
              <w:adjustRightInd w:val="0"/>
              <w:snapToGrid w:val="0"/>
              <w:rPr>
                <w:rFonts w:hint="eastAsia"/>
                <w:lang w:val="en-US" w:eastAsia="zh-CN"/>
              </w:rPr>
            </w:pPr>
            <w:r>
              <w:rPr>
                <w:rFonts w:hint="eastAsia"/>
              </w:rPr>
              <w:t>/</w:t>
            </w:r>
          </w:p>
        </w:tc>
        <w:tc>
          <w:tcPr>
            <w:tcW w:w="881" w:type="dxa"/>
            <w:vMerge w:val="continue"/>
            <w:vAlign w:val="center"/>
          </w:tcPr>
          <w:p>
            <w:pPr>
              <w:pStyle w:val="100"/>
              <w:widowControl w:val="0"/>
              <w:bidi w:val="0"/>
              <w:adjustRightInd w:val="0"/>
              <w:snapToGrid w:val="0"/>
              <w:rPr>
                <w:lang w:val="en-US" w:eastAsia="zh-CN"/>
              </w:rPr>
            </w:pPr>
          </w:p>
        </w:tc>
        <w:tc>
          <w:tcPr>
            <w:tcW w:w="764" w:type="dxa"/>
            <w:vAlign w:val="center"/>
          </w:tcPr>
          <w:p>
            <w:pPr>
              <w:pStyle w:val="100"/>
              <w:widowControl w:val="0"/>
              <w:bidi w:val="0"/>
              <w:adjustRightInd w:val="0"/>
              <w:snapToGrid w:val="0"/>
              <w:rPr>
                <w:rFonts w:hint="eastAsia"/>
                <w:lang w:val="en-US" w:eastAsia="zh-CN"/>
              </w:rPr>
            </w:pPr>
            <w:r>
              <w:rPr>
                <w:rFonts w:hint="eastAsia"/>
              </w:rPr>
              <w:t>/</w:t>
            </w:r>
          </w:p>
        </w:tc>
        <w:tc>
          <w:tcPr>
            <w:tcW w:w="993" w:type="dxa"/>
            <w:vAlign w:val="center"/>
          </w:tcPr>
          <w:p>
            <w:pPr>
              <w:pStyle w:val="100"/>
              <w:widowControl w:val="0"/>
              <w:bidi w:val="0"/>
              <w:adjustRightInd w:val="0"/>
              <w:snapToGrid w:val="0"/>
              <w:rPr>
                <w:rFonts w:hint="eastAsia"/>
                <w:lang w:val="en-US" w:eastAsia="zh-CN"/>
              </w:rPr>
            </w:pPr>
            <w:r>
              <w:rPr>
                <w:rFonts w:hint="eastAsia"/>
              </w:rPr>
              <w:t>/</w:t>
            </w:r>
          </w:p>
        </w:tc>
        <w:tc>
          <w:tcPr>
            <w:tcW w:w="1610" w:type="dxa"/>
            <w:vAlign w:val="center"/>
          </w:tcPr>
          <w:p>
            <w:pPr>
              <w:pStyle w:val="100"/>
              <w:widowControl w:val="0"/>
              <w:bidi w:val="0"/>
              <w:adjustRightInd w:val="0"/>
              <w:snapToGrid w:val="0"/>
              <w:rPr>
                <w:rFonts w:hint="eastAsia"/>
                <w:lang w:val="en-US" w:eastAsia="zh-CN"/>
              </w:rPr>
            </w:pPr>
            <w:r>
              <w:rPr>
                <w:rFonts w:hint="eastAsia"/>
              </w:rPr>
              <w:t>/</w:t>
            </w:r>
          </w:p>
        </w:tc>
        <w:tc>
          <w:tcPr>
            <w:tcW w:w="718" w:type="dxa"/>
            <w:vAlign w:val="center"/>
          </w:tcPr>
          <w:p>
            <w:pPr>
              <w:pStyle w:val="100"/>
              <w:widowControl w:val="0"/>
              <w:bidi w:val="0"/>
              <w:adjustRightInd w:val="0"/>
              <w:snapToGrid w:val="0"/>
              <w:rPr>
                <w:rFonts w:hint="eastAsia"/>
                <w:lang w:val="en-US" w:eastAsia="zh-CN"/>
              </w:rPr>
            </w:pPr>
            <w:r>
              <w:rPr>
                <w:rFonts w:hint="eastAsia"/>
              </w:rPr>
              <w:t>8.4</w:t>
            </w:r>
          </w:p>
        </w:tc>
        <w:tc>
          <w:tcPr>
            <w:tcW w:w="791" w:type="dxa"/>
            <w:vMerge w:val="continue"/>
            <w:vAlign w:val="center"/>
          </w:tcPr>
          <w:p>
            <w:pPr>
              <w:pStyle w:val="100"/>
              <w:widowControl w:val="0"/>
              <w:bidi w:val="0"/>
              <w:adjustRightInd w:val="0"/>
              <w:snapToGrid w:val="0"/>
              <w:rPr>
                <w:lang w:val="en-US" w:eastAsia="zh-CN"/>
              </w:rPr>
            </w:pPr>
          </w:p>
        </w:tc>
        <w:tc>
          <w:tcPr>
            <w:tcW w:w="790" w:type="dxa"/>
            <w:vAlign w:val="center"/>
          </w:tcPr>
          <w:p>
            <w:pPr>
              <w:pStyle w:val="100"/>
              <w:widowControl w:val="0"/>
              <w:bidi w:val="0"/>
              <w:adjustRightInd w:val="0"/>
              <w:snapToGrid w:val="0"/>
              <w:rPr>
                <w:rFonts w:hint="eastAsia"/>
                <w:lang w:val="en-US" w:eastAsia="zh-CN"/>
              </w:rPr>
            </w:pPr>
            <w:r>
              <w:rPr>
                <w:rFonts w:hint="eastAsia"/>
              </w:rPr>
              <w:t>一年</w:t>
            </w:r>
          </w:p>
        </w:tc>
        <w:tc>
          <w:tcPr>
            <w:tcW w:w="826" w:type="dxa"/>
            <w:vAlign w:val="center"/>
          </w:tcPr>
          <w:p>
            <w:pPr>
              <w:pStyle w:val="100"/>
              <w:widowControl w:val="0"/>
              <w:bidi w:val="0"/>
              <w:adjustRightInd w:val="0"/>
              <w:snapToGrid w:val="0"/>
              <w:rPr>
                <w:rFonts w:hint="eastAsia"/>
                <w:lang w:val="en-US" w:eastAsia="zh-CN"/>
              </w:rPr>
            </w:pPr>
            <w:r>
              <w:rPr>
                <w:rFonts w:hint="eastAsia"/>
              </w:rPr>
              <w:t>8.4</w:t>
            </w:r>
          </w:p>
        </w:tc>
        <w:tc>
          <w:tcPr>
            <w:tcW w:w="826" w:type="dxa"/>
            <w:vAlign w:val="center"/>
          </w:tcPr>
          <w:p>
            <w:pPr>
              <w:pStyle w:val="100"/>
              <w:widowControl w:val="0"/>
              <w:bidi w:val="0"/>
              <w:adjustRightInd w:val="0"/>
              <w:snapToGrid w:val="0"/>
              <w:rPr>
                <w:rFonts w:hint="eastAsia"/>
                <w:lang w:val="en-US" w:eastAsia="zh-CN"/>
              </w:rPr>
            </w:pPr>
            <w:r>
              <w:rPr>
                <w:rFonts w:hint="eastAsia"/>
              </w:rPr>
              <w:t>环卫清运</w:t>
            </w:r>
          </w:p>
        </w:tc>
      </w:tr>
    </w:tbl>
    <w:p>
      <w:pPr>
        <w:pStyle w:val="103"/>
        <w:sectPr>
          <w:pgSz w:w="16838" w:h="11906" w:orient="landscape"/>
          <w:pgMar w:top="1418" w:right="1418" w:bottom="1418" w:left="1418" w:header="851" w:footer="992" w:gutter="0"/>
          <w:pgBorders>
            <w:top w:val="single" w:color="auto" w:sz="4" w:space="1"/>
            <w:left w:val="single" w:color="auto" w:sz="4" w:space="4"/>
            <w:bottom w:val="single" w:color="auto" w:sz="4" w:space="1"/>
            <w:right w:val="single" w:color="auto" w:sz="4" w:space="4"/>
          </w:pgBorders>
          <w:pgNumType w:fmt="numberInDash"/>
          <w:cols w:space="720" w:num="1"/>
          <w:docGrid w:linePitch="312" w:charSpace="0"/>
        </w:sectPr>
      </w:pPr>
    </w:p>
    <w:p>
      <w:pPr>
        <w:pStyle w:val="273"/>
        <w:bidi w:val="0"/>
        <w:rPr>
          <w:rFonts w:hint="eastAsia"/>
        </w:rPr>
      </w:pPr>
      <w:r>
        <w:rPr>
          <w:rFonts w:hint="eastAsia"/>
        </w:rPr>
        <w:t>表</w:t>
      </w:r>
      <w:r>
        <w:rPr>
          <w:rFonts w:hint="eastAsia"/>
          <w:lang w:val="en-US" w:eastAsia="zh-CN"/>
        </w:rPr>
        <w:t>5-9</w:t>
      </w:r>
      <w:r>
        <w:rPr>
          <w:rFonts w:hint="eastAsia"/>
        </w:rPr>
        <w:t xml:space="preserve">   本项目危险废物汇总</w:t>
      </w:r>
    </w:p>
    <w:tbl>
      <w:tblPr>
        <w:tblStyle w:val="26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39"/>
        <w:gridCol w:w="835"/>
        <w:gridCol w:w="835"/>
        <w:gridCol w:w="999"/>
        <w:gridCol w:w="1068"/>
        <w:gridCol w:w="658"/>
        <w:gridCol w:w="699"/>
        <w:gridCol w:w="698"/>
        <w:gridCol w:w="698"/>
        <w:gridCol w:w="695"/>
        <w:gridCol w:w="694"/>
      </w:tblGrid>
      <w:tr>
        <w:tblPrEx>
          <w:tblCellMar>
            <w:top w:w="0" w:type="dxa"/>
            <w:left w:w="108" w:type="dxa"/>
            <w:bottom w:w="0" w:type="dxa"/>
            <w:right w:w="108" w:type="dxa"/>
          </w:tblCellMar>
        </w:tblPrEx>
        <w:trPr>
          <w:trHeight w:val="1021" w:hRule="atLeast"/>
          <w:jc w:val="center"/>
        </w:trPr>
        <w:tc>
          <w:tcPr>
            <w:tcW w:w="502" w:type="dxa"/>
            <w:vAlign w:val="center"/>
          </w:tcPr>
          <w:p>
            <w:pPr>
              <w:pStyle w:val="100"/>
              <w:widowControl w:val="0"/>
              <w:bidi w:val="0"/>
              <w:adjustRightInd w:val="0"/>
              <w:snapToGrid w:val="0"/>
            </w:pPr>
            <w:r>
              <w:rPr>
                <w:rFonts w:hint="eastAsia"/>
              </w:rPr>
              <w:t>序号</w:t>
            </w:r>
          </w:p>
        </w:tc>
        <w:tc>
          <w:tcPr>
            <w:tcW w:w="839" w:type="dxa"/>
            <w:vAlign w:val="center"/>
          </w:tcPr>
          <w:p>
            <w:pPr>
              <w:pStyle w:val="100"/>
              <w:widowControl w:val="0"/>
              <w:bidi w:val="0"/>
              <w:adjustRightInd w:val="0"/>
              <w:snapToGrid w:val="0"/>
            </w:pPr>
            <w:r>
              <w:rPr>
                <w:rFonts w:hint="eastAsia"/>
              </w:rPr>
              <w:t>危险废物名称</w:t>
            </w:r>
          </w:p>
        </w:tc>
        <w:tc>
          <w:tcPr>
            <w:tcW w:w="835" w:type="dxa"/>
            <w:vAlign w:val="center"/>
          </w:tcPr>
          <w:p>
            <w:pPr>
              <w:pStyle w:val="100"/>
              <w:widowControl w:val="0"/>
              <w:bidi w:val="0"/>
              <w:adjustRightInd w:val="0"/>
              <w:snapToGrid w:val="0"/>
            </w:pPr>
            <w:r>
              <w:rPr>
                <w:rFonts w:hint="eastAsia"/>
              </w:rPr>
              <w:t>危险废物类别</w:t>
            </w:r>
          </w:p>
        </w:tc>
        <w:tc>
          <w:tcPr>
            <w:tcW w:w="835" w:type="dxa"/>
            <w:vAlign w:val="center"/>
          </w:tcPr>
          <w:p>
            <w:pPr>
              <w:pStyle w:val="100"/>
              <w:widowControl w:val="0"/>
              <w:bidi w:val="0"/>
              <w:adjustRightInd w:val="0"/>
              <w:snapToGrid w:val="0"/>
            </w:pPr>
            <w:r>
              <w:rPr>
                <w:rFonts w:hint="eastAsia"/>
              </w:rPr>
              <w:t>危险废物代码</w:t>
            </w:r>
          </w:p>
        </w:tc>
        <w:tc>
          <w:tcPr>
            <w:tcW w:w="999" w:type="dxa"/>
            <w:vAlign w:val="center"/>
          </w:tcPr>
          <w:p>
            <w:pPr>
              <w:pStyle w:val="100"/>
              <w:widowControl w:val="0"/>
              <w:bidi w:val="0"/>
              <w:adjustRightInd w:val="0"/>
              <w:snapToGrid w:val="0"/>
            </w:pPr>
            <w:r>
              <w:t>产生量</w:t>
            </w:r>
            <w:r>
              <w:rPr>
                <w:rFonts w:hint="eastAsia"/>
              </w:rPr>
              <w:t>t</w:t>
            </w:r>
            <w:r>
              <w:t>/a</w:t>
            </w:r>
          </w:p>
        </w:tc>
        <w:tc>
          <w:tcPr>
            <w:tcW w:w="1068" w:type="dxa"/>
            <w:vAlign w:val="center"/>
          </w:tcPr>
          <w:p>
            <w:pPr>
              <w:pStyle w:val="100"/>
              <w:widowControl w:val="0"/>
              <w:bidi w:val="0"/>
              <w:adjustRightInd w:val="0"/>
              <w:snapToGrid w:val="0"/>
            </w:pPr>
            <w:r>
              <w:rPr>
                <w:rFonts w:hint="eastAsia"/>
              </w:rPr>
              <w:t>产生工序及装置</w:t>
            </w:r>
          </w:p>
        </w:tc>
        <w:tc>
          <w:tcPr>
            <w:tcW w:w="658" w:type="dxa"/>
            <w:vAlign w:val="center"/>
          </w:tcPr>
          <w:p>
            <w:pPr>
              <w:pStyle w:val="100"/>
              <w:widowControl w:val="0"/>
              <w:bidi w:val="0"/>
              <w:adjustRightInd w:val="0"/>
              <w:snapToGrid w:val="0"/>
            </w:pPr>
            <w:r>
              <w:rPr>
                <w:rFonts w:hint="eastAsia"/>
              </w:rPr>
              <w:t>形态</w:t>
            </w:r>
          </w:p>
        </w:tc>
        <w:tc>
          <w:tcPr>
            <w:tcW w:w="699" w:type="dxa"/>
            <w:vAlign w:val="center"/>
          </w:tcPr>
          <w:p>
            <w:pPr>
              <w:pStyle w:val="100"/>
              <w:widowControl w:val="0"/>
              <w:bidi w:val="0"/>
              <w:adjustRightInd w:val="0"/>
              <w:snapToGrid w:val="0"/>
            </w:pPr>
            <w:r>
              <w:rPr>
                <w:rFonts w:hint="eastAsia"/>
              </w:rPr>
              <w:t>主要成分</w:t>
            </w:r>
          </w:p>
        </w:tc>
        <w:tc>
          <w:tcPr>
            <w:tcW w:w="698" w:type="dxa"/>
            <w:vAlign w:val="center"/>
          </w:tcPr>
          <w:p>
            <w:pPr>
              <w:pStyle w:val="100"/>
              <w:widowControl w:val="0"/>
              <w:bidi w:val="0"/>
              <w:adjustRightInd w:val="0"/>
              <w:snapToGrid w:val="0"/>
            </w:pPr>
            <w:r>
              <w:rPr>
                <w:rFonts w:hint="eastAsia"/>
              </w:rPr>
              <w:t>有害成分</w:t>
            </w:r>
          </w:p>
        </w:tc>
        <w:tc>
          <w:tcPr>
            <w:tcW w:w="698" w:type="dxa"/>
            <w:vAlign w:val="center"/>
          </w:tcPr>
          <w:p>
            <w:pPr>
              <w:pStyle w:val="100"/>
              <w:widowControl w:val="0"/>
              <w:bidi w:val="0"/>
              <w:adjustRightInd w:val="0"/>
              <w:snapToGrid w:val="0"/>
            </w:pPr>
            <w:r>
              <w:rPr>
                <w:rFonts w:hint="eastAsia"/>
              </w:rPr>
              <w:t>产废周期</w:t>
            </w:r>
          </w:p>
        </w:tc>
        <w:tc>
          <w:tcPr>
            <w:tcW w:w="695" w:type="dxa"/>
            <w:vAlign w:val="center"/>
          </w:tcPr>
          <w:p>
            <w:pPr>
              <w:pStyle w:val="100"/>
              <w:widowControl w:val="0"/>
              <w:bidi w:val="0"/>
              <w:adjustRightInd w:val="0"/>
              <w:snapToGrid w:val="0"/>
            </w:pPr>
            <w:r>
              <w:rPr>
                <w:rFonts w:hint="eastAsia"/>
              </w:rPr>
              <w:t>危险</w:t>
            </w:r>
          </w:p>
          <w:p>
            <w:pPr>
              <w:pStyle w:val="100"/>
              <w:widowControl w:val="0"/>
              <w:bidi w:val="0"/>
              <w:adjustRightInd w:val="0"/>
              <w:snapToGrid w:val="0"/>
            </w:pPr>
            <w:r>
              <w:rPr>
                <w:rFonts w:hint="eastAsia"/>
              </w:rPr>
              <w:t>特性</w:t>
            </w:r>
          </w:p>
        </w:tc>
        <w:tc>
          <w:tcPr>
            <w:tcW w:w="694" w:type="dxa"/>
            <w:vAlign w:val="center"/>
          </w:tcPr>
          <w:p>
            <w:pPr>
              <w:pStyle w:val="100"/>
              <w:widowControl w:val="0"/>
              <w:bidi w:val="0"/>
              <w:adjustRightInd w:val="0"/>
              <w:snapToGrid w:val="0"/>
            </w:pPr>
            <w:r>
              <w:rPr>
                <w:rFonts w:hint="eastAsia"/>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dxa"/>
            <w:vAlign w:val="center"/>
          </w:tcPr>
          <w:p>
            <w:pPr>
              <w:pStyle w:val="100"/>
              <w:widowControl w:val="0"/>
              <w:bidi w:val="0"/>
              <w:adjustRightInd w:val="0"/>
              <w:snapToGrid w:val="0"/>
            </w:pPr>
            <w:r>
              <w:t>1</w:t>
            </w:r>
          </w:p>
        </w:tc>
        <w:tc>
          <w:tcPr>
            <w:tcW w:w="839" w:type="dxa"/>
            <w:vAlign w:val="center"/>
          </w:tcPr>
          <w:p>
            <w:pPr>
              <w:pStyle w:val="100"/>
              <w:widowControl w:val="0"/>
              <w:bidi w:val="0"/>
              <w:adjustRightInd w:val="0"/>
              <w:snapToGrid w:val="0"/>
            </w:pPr>
            <w:r>
              <w:rPr>
                <w:rFonts w:hint="eastAsia"/>
              </w:rPr>
              <w:t>废油墨罐</w:t>
            </w:r>
          </w:p>
        </w:tc>
        <w:tc>
          <w:tcPr>
            <w:tcW w:w="835" w:type="dxa"/>
            <w:vAlign w:val="center"/>
          </w:tcPr>
          <w:p>
            <w:pPr>
              <w:pStyle w:val="100"/>
              <w:widowControl w:val="0"/>
              <w:bidi w:val="0"/>
              <w:adjustRightInd w:val="0"/>
              <w:snapToGrid w:val="0"/>
              <w:rPr>
                <w:rFonts w:hint="default"/>
                <w:lang w:val="en-US" w:eastAsia="zh-CN"/>
              </w:rPr>
            </w:pPr>
            <w:r>
              <w:t>HW</w:t>
            </w:r>
            <w:r>
              <w:rPr>
                <w:rFonts w:hint="eastAsia"/>
                <w:lang w:val="en-US" w:eastAsia="zh-CN"/>
              </w:rPr>
              <w:t>49</w:t>
            </w:r>
          </w:p>
        </w:tc>
        <w:tc>
          <w:tcPr>
            <w:tcW w:w="835" w:type="dxa"/>
            <w:vAlign w:val="center"/>
          </w:tcPr>
          <w:p>
            <w:pPr>
              <w:pStyle w:val="100"/>
              <w:widowControl w:val="0"/>
              <w:bidi w:val="0"/>
              <w:adjustRightInd w:val="0"/>
              <w:snapToGrid w:val="0"/>
            </w:pPr>
            <w:r>
              <w:rPr>
                <w:rFonts w:hint="eastAsia"/>
              </w:rPr>
              <w:t>900-0</w:t>
            </w:r>
            <w:r>
              <w:rPr>
                <w:rFonts w:hint="eastAsia"/>
                <w:lang w:val="en-US" w:eastAsia="zh-CN"/>
              </w:rPr>
              <w:t>41</w:t>
            </w:r>
            <w:r>
              <w:rPr>
                <w:rFonts w:hint="eastAsia"/>
              </w:rPr>
              <w:t>-49</w:t>
            </w:r>
          </w:p>
        </w:tc>
        <w:tc>
          <w:tcPr>
            <w:tcW w:w="999" w:type="dxa"/>
            <w:vAlign w:val="center"/>
          </w:tcPr>
          <w:p>
            <w:pPr>
              <w:pStyle w:val="100"/>
              <w:widowControl w:val="0"/>
              <w:bidi w:val="0"/>
              <w:adjustRightInd w:val="0"/>
              <w:snapToGrid w:val="0"/>
            </w:pPr>
            <w:r>
              <w:rPr>
                <w:rFonts w:hint="eastAsia"/>
              </w:rPr>
              <w:t>0.5</w:t>
            </w:r>
          </w:p>
        </w:tc>
        <w:tc>
          <w:tcPr>
            <w:tcW w:w="1068" w:type="dxa"/>
            <w:vAlign w:val="center"/>
          </w:tcPr>
          <w:p>
            <w:pPr>
              <w:pStyle w:val="100"/>
              <w:widowControl w:val="0"/>
              <w:bidi w:val="0"/>
              <w:adjustRightInd w:val="0"/>
              <w:snapToGrid w:val="0"/>
            </w:pPr>
            <w:r>
              <w:rPr>
                <w:rFonts w:hint="eastAsia"/>
              </w:rPr>
              <w:t>印刷</w:t>
            </w:r>
          </w:p>
        </w:tc>
        <w:tc>
          <w:tcPr>
            <w:tcW w:w="658" w:type="dxa"/>
            <w:vAlign w:val="center"/>
          </w:tcPr>
          <w:p>
            <w:pPr>
              <w:pStyle w:val="100"/>
              <w:widowControl w:val="0"/>
              <w:bidi w:val="0"/>
              <w:adjustRightInd w:val="0"/>
              <w:snapToGrid w:val="0"/>
            </w:pPr>
            <w:r>
              <w:rPr>
                <w:rFonts w:hint="eastAsia"/>
              </w:rPr>
              <w:t>固态</w:t>
            </w:r>
          </w:p>
        </w:tc>
        <w:tc>
          <w:tcPr>
            <w:tcW w:w="699" w:type="dxa"/>
            <w:vAlign w:val="center"/>
          </w:tcPr>
          <w:p>
            <w:pPr>
              <w:pStyle w:val="100"/>
              <w:widowControl w:val="0"/>
              <w:bidi w:val="0"/>
              <w:adjustRightInd w:val="0"/>
              <w:snapToGrid w:val="0"/>
            </w:pPr>
            <w:r>
              <w:rPr>
                <w:rFonts w:hint="eastAsia"/>
              </w:rPr>
              <w:t>油墨</w:t>
            </w:r>
          </w:p>
        </w:tc>
        <w:tc>
          <w:tcPr>
            <w:tcW w:w="698" w:type="dxa"/>
            <w:vAlign w:val="center"/>
          </w:tcPr>
          <w:p>
            <w:pPr>
              <w:pStyle w:val="100"/>
              <w:widowControl w:val="0"/>
              <w:bidi w:val="0"/>
              <w:adjustRightInd w:val="0"/>
              <w:snapToGrid w:val="0"/>
            </w:pPr>
            <w:r>
              <w:rPr>
                <w:rFonts w:hint="eastAsia"/>
              </w:rPr>
              <w:t>油墨</w:t>
            </w:r>
          </w:p>
        </w:tc>
        <w:tc>
          <w:tcPr>
            <w:tcW w:w="698" w:type="dxa"/>
            <w:vAlign w:val="center"/>
          </w:tcPr>
          <w:p>
            <w:pPr>
              <w:pStyle w:val="100"/>
              <w:widowControl w:val="0"/>
              <w:bidi w:val="0"/>
              <w:adjustRightInd w:val="0"/>
              <w:snapToGrid w:val="0"/>
            </w:pPr>
            <w:r>
              <w:rPr>
                <w:rFonts w:hint="eastAsia"/>
                <w:lang w:val="en-US" w:eastAsia="zh-CN"/>
              </w:rPr>
              <w:t>半</w:t>
            </w:r>
            <w:r>
              <w:rPr>
                <w:rFonts w:hint="eastAsia"/>
              </w:rPr>
              <w:t>年</w:t>
            </w:r>
          </w:p>
        </w:tc>
        <w:tc>
          <w:tcPr>
            <w:tcW w:w="695" w:type="dxa"/>
            <w:vAlign w:val="center"/>
          </w:tcPr>
          <w:p>
            <w:pPr>
              <w:pStyle w:val="100"/>
              <w:widowControl w:val="0"/>
              <w:bidi w:val="0"/>
              <w:adjustRightInd w:val="0"/>
              <w:snapToGrid w:val="0"/>
              <w:rPr>
                <w:rFonts w:hint="default"/>
                <w:lang w:val="en-US" w:eastAsia="zh-CN"/>
              </w:rPr>
            </w:pPr>
            <w:r>
              <w:rPr>
                <w:rFonts w:hint="eastAsia"/>
              </w:rPr>
              <w:t>T</w:t>
            </w:r>
            <w:r>
              <w:rPr>
                <w:rFonts w:hint="eastAsia"/>
                <w:lang w:val="en-US" w:eastAsia="zh-CN"/>
              </w:rPr>
              <w:t>/In</w:t>
            </w:r>
          </w:p>
        </w:tc>
        <w:tc>
          <w:tcPr>
            <w:tcW w:w="694" w:type="dxa"/>
            <w:vAlign w:val="center"/>
          </w:tcPr>
          <w:p>
            <w:pPr>
              <w:pStyle w:val="100"/>
              <w:widowControl w:val="0"/>
              <w:bidi w:val="0"/>
              <w:adjustRightInd w:val="0"/>
              <w:snapToGrid w:val="0"/>
            </w:pPr>
            <w:r>
              <w:rPr>
                <w:rFonts w:hint="eastAsia"/>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dxa"/>
            <w:vAlign w:val="center"/>
          </w:tcPr>
          <w:p>
            <w:pPr>
              <w:pStyle w:val="100"/>
              <w:widowControl w:val="0"/>
              <w:bidi w:val="0"/>
              <w:adjustRightInd w:val="0"/>
              <w:snapToGrid w:val="0"/>
            </w:pPr>
            <w:r>
              <w:t>2</w:t>
            </w:r>
          </w:p>
        </w:tc>
        <w:tc>
          <w:tcPr>
            <w:tcW w:w="839" w:type="dxa"/>
            <w:vAlign w:val="center"/>
          </w:tcPr>
          <w:p>
            <w:pPr>
              <w:pStyle w:val="100"/>
              <w:widowControl w:val="0"/>
              <w:bidi w:val="0"/>
              <w:adjustRightInd w:val="0"/>
              <w:snapToGrid w:val="0"/>
            </w:pPr>
            <w:r>
              <w:rPr>
                <w:rFonts w:hint="eastAsia"/>
              </w:rPr>
              <w:t>废胶水罐</w:t>
            </w:r>
          </w:p>
        </w:tc>
        <w:tc>
          <w:tcPr>
            <w:tcW w:w="835" w:type="dxa"/>
            <w:vAlign w:val="center"/>
          </w:tcPr>
          <w:p>
            <w:pPr>
              <w:pStyle w:val="100"/>
              <w:widowControl w:val="0"/>
              <w:bidi w:val="0"/>
              <w:adjustRightInd w:val="0"/>
              <w:snapToGrid w:val="0"/>
              <w:rPr>
                <w:rFonts w:hint="default"/>
                <w:lang w:val="en-US" w:eastAsia="zh-CN"/>
              </w:rPr>
            </w:pPr>
            <w:r>
              <w:t>HW</w:t>
            </w:r>
            <w:r>
              <w:rPr>
                <w:rFonts w:hint="eastAsia"/>
                <w:lang w:val="en-US" w:eastAsia="zh-CN"/>
              </w:rPr>
              <w:t>49</w:t>
            </w:r>
          </w:p>
        </w:tc>
        <w:tc>
          <w:tcPr>
            <w:tcW w:w="835" w:type="dxa"/>
            <w:vAlign w:val="center"/>
          </w:tcPr>
          <w:p>
            <w:pPr>
              <w:pStyle w:val="100"/>
              <w:widowControl w:val="0"/>
              <w:bidi w:val="0"/>
              <w:adjustRightInd w:val="0"/>
              <w:snapToGrid w:val="0"/>
            </w:pPr>
            <w:r>
              <w:rPr>
                <w:rFonts w:hint="eastAsia"/>
              </w:rPr>
              <w:t>900-0</w:t>
            </w:r>
            <w:r>
              <w:rPr>
                <w:rFonts w:hint="eastAsia"/>
                <w:lang w:val="en-US" w:eastAsia="zh-CN"/>
              </w:rPr>
              <w:t>41</w:t>
            </w:r>
            <w:r>
              <w:rPr>
                <w:rFonts w:hint="eastAsia"/>
              </w:rPr>
              <w:t>-49</w:t>
            </w:r>
          </w:p>
        </w:tc>
        <w:tc>
          <w:tcPr>
            <w:tcW w:w="999" w:type="dxa"/>
            <w:vAlign w:val="center"/>
          </w:tcPr>
          <w:p>
            <w:pPr>
              <w:pStyle w:val="100"/>
              <w:widowControl w:val="0"/>
              <w:bidi w:val="0"/>
              <w:adjustRightInd w:val="0"/>
              <w:snapToGrid w:val="0"/>
            </w:pPr>
            <w:r>
              <w:rPr>
                <w:rFonts w:hint="eastAsia"/>
              </w:rPr>
              <w:t>0.5</w:t>
            </w:r>
          </w:p>
        </w:tc>
        <w:tc>
          <w:tcPr>
            <w:tcW w:w="1068" w:type="dxa"/>
            <w:vAlign w:val="center"/>
          </w:tcPr>
          <w:p>
            <w:pPr>
              <w:pStyle w:val="100"/>
              <w:widowControl w:val="0"/>
              <w:bidi w:val="0"/>
              <w:adjustRightInd w:val="0"/>
              <w:snapToGrid w:val="0"/>
            </w:pPr>
            <w:r>
              <w:rPr>
                <w:rFonts w:hint="eastAsia"/>
              </w:rPr>
              <w:t>上胶</w:t>
            </w:r>
          </w:p>
        </w:tc>
        <w:tc>
          <w:tcPr>
            <w:tcW w:w="658" w:type="dxa"/>
            <w:vAlign w:val="center"/>
          </w:tcPr>
          <w:p>
            <w:pPr>
              <w:pStyle w:val="100"/>
              <w:widowControl w:val="0"/>
              <w:bidi w:val="0"/>
              <w:adjustRightInd w:val="0"/>
              <w:snapToGrid w:val="0"/>
            </w:pPr>
            <w:r>
              <w:rPr>
                <w:rFonts w:hint="eastAsia"/>
              </w:rPr>
              <w:t>固态</w:t>
            </w:r>
          </w:p>
        </w:tc>
        <w:tc>
          <w:tcPr>
            <w:tcW w:w="699" w:type="dxa"/>
            <w:vAlign w:val="center"/>
          </w:tcPr>
          <w:p>
            <w:pPr>
              <w:pStyle w:val="100"/>
              <w:widowControl w:val="0"/>
              <w:bidi w:val="0"/>
              <w:adjustRightInd w:val="0"/>
              <w:snapToGrid w:val="0"/>
            </w:pPr>
            <w:r>
              <w:rPr>
                <w:rFonts w:hint="eastAsia"/>
              </w:rPr>
              <w:t>水胶</w:t>
            </w:r>
          </w:p>
        </w:tc>
        <w:tc>
          <w:tcPr>
            <w:tcW w:w="698" w:type="dxa"/>
            <w:vAlign w:val="center"/>
          </w:tcPr>
          <w:p>
            <w:pPr>
              <w:pStyle w:val="100"/>
              <w:widowControl w:val="0"/>
              <w:bidi w:val="0"/>
              <w:adjustRightInd w:val="0"/>
              <w:snapToGrid w:val="0"/>
            </w:pPr>
            <w:r>
              <w:rPr>
                <w:rFonts w:hint="eastAsia"/>
              </w:rPr>
              <w:t>水胶</w:t>
            </w:r>
          </w:p>
        </w:tc>
        <w:tc>
          <w:tcPr>
            <w:tcW w:w="698" w:type="dxa"/>
            <w:vAlign w:val="center"/>
          </w:tcPr>
          <w:p>
            <w:pPr>
              <w:pStyle w:val="100"/>
              <w:widowControl w:val="0"/>
              <w:bidi w:val="0"/>
              <w:adjustRightInd w:val="0"/>
              <w:snapToGrid w:val="0"/>
            </w:pPr>
            <w:r>
              <w:rPr>
                <w:rFonts w:hint="eastAsia"/>
                <w:lang w:val="en-US" w:eastAsia="zh-CN"/>
              </w:rPr>
              <w:t>半</w:t>
            </w:r>
            <w:r>
              <w:rPr>
                <w:rFonts w:hint="eastAsia"/>
              </w:rPr>
              <w:t>年</w:t>
            </w:r>
          </w:p>
        </w:tc>
        <w:tc>
          <w:tcPr>
            <w:tcW w:w="695" w:type="dxa"/>
            <w:vAlign w:val="center"/>
          </w:tcPr>
          <w:p>
            <w:pPr>
              <w:pStyle w:val="100"/>
              <w:widowControl w:val="0"/>
              <w:bidi w:val="0"/>
              <w:adjustRightInd w:val="0"/>
              <w:snapToGrid w:val="0"/>
              <w:rPr>
                <w:rFonts w:hint="default"/>
                <w:lang w:val="en-US" w:eastAsia="zh-CN"/>
              </w:rPr>
            </w:pPr>
            <w:r>
              <w:rPr>
                <w:rFonts w:hint="eastAsia"/>
              </w:rPr>
              <w:t>T</w:t>
            </w:r>
            <w:r>
              <w:rPr>
                <w:rFonts w:hint="eastAsia"/>
                <w:lang w:val="en-US" w:eastAsia="zh-CN"/>
              </w:rPr>
              <w:t>/In</w:t>
            </w:r>
          </w:p>
        </w:tc>
        <w:tc>
          <w:tcPr>
            <w:tcW w:w="694" w:type="dxa"/>
            <w:vAlign w:val="center"/>
          </w:tcPr>
          <w:p>
            <w:pPr>
              <w:pStyle w:val="100"/>
              <w:widowControl w:val="0"/>
              <w:bidi w:val="0"/>
              <w:adjustRightInd w:val="0"/>
              <w:snapToGrid w:val="0"/>
            </w:pPr>
            <w:r>
              <w:rPr>
                <w:rFonts w:hint="eastAsia"/>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dxa"/>
            <w:vAlign w:val="center"/>
          </w:tcPr>
          <w:p>
            <w:pPr>
              <w:pStyle w:val="100"/>
              <w:widowControl w:val="0"/>
              <w:bidi w:val="0"/>
              <w:adjustRightInd w:val="0"/>
              <w:snapToGrid w:val="0"/>
            </w:pPr>
            <w:r>
              <w:rPr>
                <w:rFonts w:hint="eastAsia"/>
              </w:rPr>
              <w:t>3</w:t>
            </w:r>
          </w:p>
        </w:tc>
        <w:tc>
          <w:tcPr>
            <w:tcW w:w="839" w:type="dxa"/>
            <w:vAlign w:val="center"/>
          </w:tcPr>
          <w:p>
            <w:pPr>
              <w:pStyle w:val="100"/>
              <w:widowControl w:val="0"/>
              <w:bidi w:val="0"/>
              <w:adjustRightInd w:val="0"/>
              <w:snapToGrid w:val="0"/>
            </w:pPr>
            <w:r>
              <w:rPr>
                <w:rFonts w:hint="eastAsia"/>
              </w:rPr>
              <w:t>废活性炭</w:t>
            </w:r>
          </w:p>
        </w:tc>
        <w:tc>
          <w:tcPr>
            <w:tcW w:w="835" w:type="dxa"/>
            <w:vAlign w:val="center"/>
          </w:tcPr>
          <w:p>
            <w:pPr>
              <w:pStyle w:val="100"/>
              <w:widowControl w:val="0"/>
              <w:bidi w:val="0"/>
              <w:adjustRightInd w:val="0"/>
              <w:snapToGrid w:val="0"/>
              <w:rPr>
                <w:rFonts w:hint="default"/>
                <w:lang w:val="en-US" w:eastAsia="zh-CN"/>
              </w:rPr>
            </w:pPr>
            <w:r>
              <w:rPr>
                <w:rFonts w:hint="eastAsia"/>
              </w:rPr>
              <w:t>HW</w:t>
            </w:r>
            <w:r>
              <w:rPr>
                <w:rFonts w:hint="eastAsia"/>
                <w:lang w:val="en-US" w:eastAsia="zh-CN"/>
              </w:rPr>
              <w:t>49</w:t>
            </w:r>
          </w:p>
        </w:tc>
        <w:tc>
          <w:tcPr>
            <w:tcW w:w="835" w:type="dxa"/>
            <w:vAlign w:val="center"/>
          </w:tcPr>
          <w:p>
            <w:pPr>
              <w:pStyle w:val="100"/>
              <w:widowControl w:val="0"/>
              <w:bidi w:val="0"/>
              <w:adjustRightInd w:val="0"/>
              <w:snapToGrid w:val="0"/>
            </w:pPr>
            <w:r>
              <w:rPr>
                <w:rFonts w:hint="eastAsia"/>
              </w:rPr>
              <w:t>900-0</w:t>
            </w:r>
            <w:r>
              <w:rPr>
                <w:rFonts w:hint="eastAsia"/>
                <w:lang w:val="en-US" w:eastAsia="zh-CN"/>
              </w:rPr>
              <w:t>39</w:t>
            </w:r>
            <w:r>
              <w:rPr>
                <w:rFonts w:hint="eastAsia"/>
              </w:rPr>
              <w:t>-49</w:t>
            </w:r>
          </w:p>
        </w:tc>
        <w:tc>
          <w:tcPr>
            <w:tcW w:w="999" w:type="dxa"/>
            <w:vAlign w:val="center"/>
          </w:tcPr>
          <w:p>
            <w:pPr>
              <w:pStyle w:val="100"/>
              <w:widowControl w:val="0"/>
              <w:bidi w:val="0"/>
              <w:adjustRightInd w:val="0"/>
              <w:snapToGrid w:val="0"/>
            </w:pPr>
            <w:r>
              <w:rPr>
                <w:rFonts w:hint="eastAsia"/>
              </w:rPr>
              <w:t>0.5</w:t>
            </w:r>
          </w:p>
        </w:tc>
        <w:tc>
          <w:tcPr>
            <w:tcW w:w="1068" w:type="dxa"/>
            <w:vAlign w:val="center"/>
          </w:tcPr>
          <w:p>
            <w:pPr>
              <w:pStyle w:val="100"/>
              <w:widowControl w:val="0"/>
              <w:bidi w:val="0"/>
              <w:adjustRightInd w:val="0"/>
              <w:snapToGrid w:val="0"/>
            </w:pPr>
            <w:r>
              <w:rPr>
                <w:rFonts w:hint="eastAsia"/>
              </w:rPr>
              <w:t>废气处理</w:t>
            </w:r>
          </w:p>
        </w:tc>
        <w:tc>
          <w:tcPr>
            <w:tcW w:w="658" w:type="dxa"/>
            <w:vAlign w:val="center"/>
          </w:tcPr>
          <w:p>
            <w:pPr>
              <w:pStyle w:val="100"/>
              <w:widowControl w:val="0"/>
              <w:bidi w:val="0"/>
              <w:adjustRightInd w:val="0"/>
              <w:snapToGrid w:val="0"/>
            </w:pPr>
            <w:r>
              <w:rPr>
                <w:rFonts w:hint="eastAsia"/>
              </w:rPr>
              <w:t>固态</w:t>
            </w:r>
          </w:p>
        </w:tc>
        <w:tc>
          <w:tcPr>
            <w:tcW w:w="699" w:type="dxa"/>
            <w:vAlign w:val="center"/>
          </w:tcPr>
          <w:p>
            <w:pPr>
              <w:pStyle w:val="100"/>
              <w:widowControl w:val="0"/>
              <w:bidi w:val="0"/>
              <w:adjustRightInd w:val="0"/>
              <w:snapToGrid w:val="0"/>
            </w:pPr>
            <w:r>
              <w:rPr>
                <w:rFonts w:hint="eastAsia"/>
              </w:rPr>
              <w:t>活性炭、吸附的有机废气</w:t>
            </w:r>
          </w:p>
        </w:tc>
        <w:tc>
          <w:tcPr>
            <w:tcW w:w="698" w:type="dxa"/>
            <w:vAlign w:val="center"/>
          </w:tcPr>
          <w:p>
            <w:pPr>
              <w:pStyle w:val="100"/>
              <w:widowControl w:val="0"/>
              <w:bidi w:val="0"/>
              <w:adjustRightInd w:val="0"/>
              <w:snapToGrid w:val="0"/>
            </w:pPr>
            <w:r>
              <w:rPr>
                <w:rFonts w:hint="eastAsia"/>
              </w:rPr>
              <w:t>吸附的有机废气</w:t>
            </w:r>
          </w:p>
        </w:tc>
        <w:tc>
          <w:tcPr>
            <w:tcW w:w="698" w:type="dxa"/>
            <w:vAlign w:val="center"/>
          </w:tcPr>
          <w:p>
            <w:pPr>
              <w:pStyle w:val="100"/>
              <w:widowControl w:val="0"/>
              <w:bidi w:val="0"/>
              <w:adjustRightInd w:val="0"/>
              <w:snapToGrid w:val="0"/>
            </w:pPr>
            <w:r>
              <w:rPr>
                <w:rFonts w:hint="eastAsia"/>
              </w:rPr>
              <w:t>半年</w:t>
            </w:r>
          </w:p>
        </w:tc>
        <w:tc>
          <w:tcPr>
            <w:tcW w:w="695" w:type="dxa"/>
            <w:vAlign w:val="center"/>
          </w:tcPr>
          <w:p>
            <w:pPr>
              <w:pStyle w:val="100"/>
              <w:widowControl w:val="0"/>
              <w:bidi w:val="0"/>
              <w:adjustRightInd w:val="0"/>
              <w:snapToGrid w:val="0"/>
            </w:pPr>
            <w:r>
              <w:rPr>
                <w:rFonts w:hint="eastAsia"/>
              </w:rPr>
              <w:t>T</w:t>
            </w:r>
          </w:p>
        </w:tc>
        <w:tc>
          <w:tcPr>
            <w:tcW w:w="694" w:type="dxa"/>
            <w:vAlign w:val="center"/>
          </w:tcPr>
          <w:p>
            <w:pPr>
              <w:pStyle w:val="100"/>
              <w:widowControl w:val="0"/>
              <w:bidi w:val="0"/>
              <w:adjustRightInd w:val="0"/>
              <w:snapToGrid w:val="0"/>
            </w:pPr>
            <w:r>
              <w:rPr>
                <w:rFonts w:hint="eastAsia"/>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dxa"/>
            <w:vAlign w:val="center"/>
          </w:tcPr>
          <w:p>
            <w:pPr>
              <w:pStyle w:val="100"/>
              <w:widowControl w:val="0"/>
              <w:bidi w:val="0"/>
              <w:adjustRightInd w:val="0"/>
              <w:snapToGrid w:val="0"/>
              <w:rPr>
                <w:rFonts w:hint="default"/>
                <w:lang w:val="en-US" w:eastAsia="zh-CN"/>
              </w:rPr>
            </w:pPr>
            <w:r>
              <w:rPr>
                <w:rFonts w:hint="eastAsia"/>
                <w:lang w:val="en-US" w:eastAsia="zh-CN"/>
              </w:rPr>
              <w:t>4</w:t>
            </w:r>
          </w:p>
        </w:tc>
        <w:tc>
          <w:tcPr>
            <w:tcW w:w="839" w:type="dxa"/>
            <w:vAlign w:val="center"/>
          </w:tcPr>
          <w:p>
            <w:pPr>
              <w:pStyle w:val="100"/>
              <w:widowControl w:val="0"/>
              <w:bidi w:val="0"/>
              <w:adjustRightInd w:val="0"/>
              <w:snapToGrid w:val="0"/>
              <w:rPr>
                <w:rFonts w:hint="eastAsia"/>
                <w:lang w:val="en-US" w:eastAsia="zh-CN"/>
              </w:rPr>
            </w:pPr>
            <w:r>
              <w:rPr>
                <w:rFonts w:hint="eastAsia"/>
                <w:lang w:val="en-US" w:eastAsia="zh-CN"/>
              </w:rPr>
              <w:t>废抹布</w:t>
            </w:r>
          </w:p>
        </w:tc>
        <w:tc>
          <w:tcPr>
            <w:tcW w:w="835" w:type="dxa"/>
            <w:vAlign w:val="center"/>
          </w:tcPr>
          <w:p>
            <w:pPr>
              <w:pStyle w:val="100"/>
              <w:widowControl w:val="0"/>
              <w:bidi w:val="0"/>
              <w:adjustRightInd w:val="0"/>
              <w:snapToGrid w:val="0"/>
              <w:rPr>
                <w:rFonts w:hint="default"/>
                <w:lang w:val="en-US" w:eastAsia="zh-CN"/>
              </w:rPr>
            </w:pPr>
            <w:r>
              <w:rPr>
                <w:rFonts w:hint="eastAsia"/>
                <w:lang w:val="en-US" w:eastAsia="zh-CN"/>
              </w:rPr>
              <w:t>HW49</w:t>
            </w:r>
          </w:p>
        </w:tc>
        <w:tc>
          <w:tcPr>
            <w:tcW w:w="835" w:type="dxa"/>
            <w:vAlign w:val="center"/>
          </w:tcPr>
          <w:p>
            <w:pPr>
              <w:pStyle w:val="100"/>
              <w:widowControl w:val="0"/>
              <w:bidi w:val="0"/>
              <w:adjustRightInd w:val="0"/>
              <w:snapToGrid w:val="0"/>
              <w:rPr>
                <w:rFonts w:hint="default"/>
                <w:lang w:val="en-US" w:eastAsia="zh-CN"/>
              </w:rPr>
            </w:pPr>
            <w:r>
              <w:rPr>
                <w:rFonts w:hint="eastAsia"/>
                <w:lang w:val="en-US" w:eastAsia="zh-CN"/>
              </w:rPr>
              <w:t>900-047-49</w:t>
            </w:r>
          </w:p>
        </w:tc>
        <w:tc>
          <w:tcPr>
            <w:tcW w:w="999" w:type="dxa"/>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1068" w:type="dxa"/>
            <w:vAlign w:val="center"/>
          </w:tcPr>
          <w:p>
            <w:pPr>
              <w:pStyle w:val="100"/>
              <w:widowControl w:val="0"/>
              <w:bidi w:val="0"/>
              <w:adjustRightInd w:val="0"/>
              <w:snapToGrid w:val="0"/>
              <w:rPr>
                <w:rFonts w:hint="eastAsia"/>
                <w:lang w:val="en-US" w:eastAsia="zh-CN"/>
              </w:rPr>
            </w:pPr>
            <w:r>
              <w:rPr>
                <w:rFonts w:hint="eastAsia"/>
                <w:lang w:val="en-US" w:eastAsia="zh-CN"/>
              </w:rPr>
              <w:t>擦拭</w:t>
            </w:r>
          </w:p>
        </w:tc>
        <w:tc>
          <w:tcPr>
            <w:tcW w:w="658" w:type="dxa"/>
            <w:vAlign w:val="center"/>
          </w:tcPr>
          <w:p>
            <w:pPr>
              <w:pStyle w:val="100"/>
              <w:widowControl w:val="0"/>
              <w:bidi w:val="0"/>
              <w:adjustRightInd w:val="0"/>
              <w:snapToGrid w:val="0"/>
              <w:rPr>
                <w:rFonts w:hint="eastAsia"/>
                <w:lang w:val="en-US" w:eastAsia="zh-CN"/>
              </w:rPr>
            </w:pPr>
            <w:r>
              <w:rPr>
                <w:rFonts w:hint="eastAsia"/>
                <w:lang w:val="en-US" w:eastAsia="zh-CN"/>
              </w:rPr>
              <w:t>固态</w:t>
            </w:r>
          </w:p>
        </w:tc>
        <w:tc>
          <w:tcPr>
            <w:tcW w:w="699" w:type="dxa"/>
            <w:vAlign w:val="center"/>
          </w:tcPr>
          <w:p>
            <w:pPr>
              <w:pStyle w:val="100"/>
              <w:widowControl w:val="0"/>
              <w:bidi w:val="0"/>
              <w:adjustRightInd w:val="0"/>
              <w:snapToGrid w:val="0"/>
              <w:rPr>
                <w:rFonts w:hint="default"/>
                <w:lang w:val="en-US" w:eastAsia="zh-CN"/>
              </w:rPr>
            </w:pPr>
            <w:r>
              <w:rPr>
                <w:rFonts w:hint="eastAsia"/>
                <w:lang w:val="en-US" w:eastAsia="zh-CN"/>
              </w:rPr>
              <w:t>布、油墨</w:t>
            </w:r>
          </w:p>
        </w:tc>
        <w:tc>
          <w:tcPr>
            <w:tcW w:w="698" w:type="dxa"/>
            <w:vAlign w:val="center"/>
          </w:tcPr>
          <w:p>
            <w:pPr>
              <w:pStyle w:val="100"/>
              <w:widowControl w:val="0"/>
              <w:bidi w:val="0"/>
              <w:adjustRightInd w:val="0"/>
              <w:snapToGrid w:val="0"/>
              <w:rPr>
                <w:rFonts w:hint="eastAsia"/>
                <w:lang w:val="en-US" w:eastAsia="zh-CN"/>
              </w:rPr>
            </w:pPr>
            <w:r>
              <w:rPr>
                <w:rFonts w:hint="eastAsia"/>
                <w:lang w:val="en-US" w:eastAsia="zh-CN"/>
              </w:rPr>
              <w:t>油墨</w:t>
            </w:r>
          </w:p>
        </w:tc>
        <w:tc>
          <w:tcPr>
            <w:tcW w:w="698" w:type="dxa"/>
            <w:vAlign w:val="center"/>
          </w:tcPr>
          <w:p>
            <w:pPr>
              <w:pStyle w:val="100"/>
              <w:widowControl w:val="0"/>
              <w:bidi w:val="0"/>
              <w:adjustRightInd w:val="0"/>
              <w:snapToGrid w:val="0"/>
              <w:rPr>
                <w:rFonts w:hint="eastAsia"/>
                <w:lang w:val="en-US" w:eastAsia="zh-CN"/>
              </w:rPr>
            </w:pPr>
            <w:r>
              <w:rPr>
                <w:rFonts w:hint="eastAsia"/>
                <w:lang w:val="en-US" w:eastAsia="zh-CN"/>
              </w:rPr>
              <w:t>半年</w:t>
            </w:r>
          </w:p>
        </w:tc>
        <w:tc>
          <w:tcPr>
            <w:tcW w:w="695" w:type="dxa"/>
            <w:vAlign w:val="center"/>
          </w:tcPr>
          <w:p>
            <w:pPr>
              <w:pStyle w:val="100"/>
              <w:widowControl w:val="0"/>
              <w:bidi w:val="0"/>
              <w:adjustRightInd w:val="0"/>
              <w:snapToGrid w:val="0"/>
              <w:rPr>
                <w:rFonts w:hint="eastAsia"/>
                <w:lang w:val="en-US" w:eastAsia="zh-CN"/>
              </w:rPr>
            </w:pPr>
            <w:r>
              <w:rPr>
                <w:rFonts w:hint="eastAsia"/>
                <w:lang w:val="en-US" w:eastAsia="zh-CN"/>
              </w:rPr>
              <w:t>T/C/I/R</w:t>
            </w:r>
          </w:p>
        </w:tc>
        <w:tc>
          <w:tcPr>
            <w:tcW w:w="694" w:type="dxa"/>
            <w:vAlign w:val="center"/>
          </w:tcPr>
          <w:p>
            <w:pPr>
              <w:pStyle w:val="100"/>
              <w:widowControl w:val="0"/>
              <w:bidi w:val="0"/>
              <w:adjustRightInd w:val="0"/>
              <w:snapToGrid w:val="0"/>
              <w:rPr>
                <w:rFonts w:hint="default"/>
                <w:lang w:val="en-US" w:eastAsia="zh-CN"/>
              </w:rPr>
            </w:pPr>
            <w:r>
              <w:rPr>
                <w:rFonts w:hint="eastAsia"/>
                <w:lang w:val="en-US" w:eastAsia="zh-CN"/>
              </w:rPr>
              <w:t>委托有资质单位处置</w:t>
            </w:r>
          </w:p>
        </w:tc>
      </w:tr>
    </w:tbl>
    <w:p>
      <w:pPr>
        <w:pStyle w:val="103"/>
      </w:pPr>
    </w:p>
    <w:p>
      <w:pPr>
        <w:pStyle w:val="102"/>
      </w:pPr>
      <w:r>
        <w:t>本项目污染物“三本账”</w:t>
      </w:r>
      <w:r>
        <w:rPr>
          <w:rFonts w:hint="eastAsia"/>
        </w:rPr>
        <w:t>测算</w:t>
      </w:r>
    </w:p>
    <w:p>
      <w:pPr>
        <w:pStyle w:val="103"/>
        <w:bidi w:val="0"/>
      </w:pPr>
      <w:r>
        <w:t>本项目污染物排放</w:t>
      </w:r>
      <w:r>
        <w:rPr>
          <w:rFonts w:hint="eastAsia"/>
        </w:rPr>
        <w:t>“</w:t>
      </w:r>
      <w:r>
        <w:t>三本账</w:t>
      </w:r>
      <w:r>
        <w:rPr>
          <w:rFonts w:hint="eastAsia"/>
        </w:rPr>
        <w:t>”</w:t>
      </w:r>
      <w:r>
        <w:t>见表5-</w:t>
      </w:r>
      <w:r>
        <w:rPr>
          <w:rFonts w:hint="eastAsia"/>
          <w:lang w:val="en-US" w:eastAsia="zh-CN"/>
        </w:rPr>
        <w:t>10</w:t>
      </w:r>
      <w:r>
        <w:t>。</w:t>
      </w:r>
    </w:p>
    <w:p>
      <w:pPr>
        <w:pStyle w:val="273"/>
        <w:bidi w:val="0"/>
        <w:rPr>
          <w:rFonts w:hint="eastAsia"/>
        </w:rPr>
      </w:pPr>
      <w:r>
        <w:rPr>
          <w:rFonts w:hint="eastAsia"/>
        </w:rPr>
        <w:t>表5-</w:t>
      </w:r>
      <w:r>
        <w:rPr>
          <w:rFonts w:hint="eastAsia"/>
          <w:lang w:val="en-US" w:eastAsia="zh-CN"/>
        </w:rPr>
        <w:t>10</w:t>
      </w:r>
      <w:r>
        <w:rPr>
          <w:rFonts w:hint="eastAsia"/>
        </w:rPr>
        <w:t xml:space="preserve">  本项目污染物三本帐   单位：t/a  </w:t>
      </w:r>
    </w:p>
    <w:tbl>
      <w:tblPr>
        <w:tblStyle w:val="260"/>
        <w:tblW w:w="50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818"/>
        <w:gridCol w:w="1192"/>
        <w:gridCol w:w="1710"/>
        <w:gridCol w:w="1547"/>
        <w:gridCol w:w="1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703" w:type="pct"/>
            <w:gridSpan w:val="2"/>
            <w:vMerge w:val="restart"/>
            <w:vAlign w:val="center"/>
          </w:tcPr>
          <w:p>
            <w:pPr>
              <w:pStyle w:val="100"/>
              <w:widowControl w:val="0"/>
              <w:bidi w:val="0"/>
              <w:adjustRightInd w:val="0"/>
              <w:snapToGrid w:val="0"/>
            </w:pPr>
            <w:r>
              <w:rPr>
                <w:rFonts w:hint="eastAsia"/>
              </w:rPr>
              <w:t>污染物</w:t>
            </w:r>
          </w:p>
        </w:tc>
        <w:tc>
          <w:tcPr>
            <w:tcW w:w="641" w:type="pct"/>
            <w:vMerge w:val="restart"/>
            <w:vAlign w:val="center"/>
          </w:tcPr>
          <w:p>
            <w:pPr>
              <w:pStyle w:val="100"/>
              <w:widowControl w:val="0"/>
              <w:bidi w:val="0"/>
              <w:adjustRightInd w:val="0"/>
              <w:snapToGrid w:val="0"/>
            </w:pPr>
            <w:r>
              <w:rPr>
                <w:rFonts w:hint="eastAsia"/>
              </w:rPr>
              <w:t>产生量</w:t>
            </w:r>
          </w:p>
        </w:tc>
        <w:tc>
          <w:tcPr>
            <w:tcW w:w="920" w:type="pct"/>
            <w:vMerge w:val="restart"/>
            <w:vAlign w:val="center"/>
          </w:tcPr>
          <w:p>
            <w:pPr>
              <w:pStyle w:val="100"/>
              <w:widowControl w:val="0"/>
              <w:bidi w:val="0"/>
              <w:adjustRightInd w:val="0"/>
              <w:snapToGrid w:val="0"/>
            </w:pPr>
            <w:r>
              <w:rPr>
                <w:rFonts w:hint="eastAsia"/>
              </w:rPr>
              <w:t>治理削减量</w:t>
            </w:r>
          </w:p>
        </w:tc>
        <w:tc>
          <w:tcPr>
            <w:tcW w:w="1734" w:type="pct"/>
            <w:gridSpan w:val="2"/>
            <w:vAlign w:val="center"/>
          </w:tcPr>
          <w:p>
            <w:pPr>
              <w:pStyle w:val="100"/>
              <w:widowControl w:val="0"/>
              <w:bidi w:val="0"/>
              <w:adjustRightInd w:val="0"/>
              <w:snapToGrid w:val="0"/>
            </w:pPr>
            <w:r>
              <w:rPr>
                <w:rFonts w:hint="eastAsia"/>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03" w:type="pct"/>
            <w:gridSpan w:val="2"/>
            <w:vMerge w:val="continue"/>
            <w:vAlign w:val="center"/>
          </w:tcPr>
          <w:p>
            <w:pPr>
              <w:pStyle w:val="100"/>
              <w:widowControl w:val="0"/>
              <w:bidi w:val="0"/>
              <w:adjustRightInd w:val="0"/>
              <w:snapToGrid w:val="0"/>
            </w:pPr>
          </w:p>
        </w:tc>
        <w:tc>
          <w:tcPr>
            <w:tcW w:w="641" w:type="pct"/>
            <w:vMerge w:val="continue"/>
            <w:vAlign w:val="center"/>
          </w:tcPr>
          <w:p>
            <w:pPr>
              <w:pStyle w:val="100"/>
              <w:widowControl w:val="0"/>
              <w:bidi w:val="0"/>
              <w:adjustRightInd w:val="0"/>
              <w:snapToGrid w:val="0"/>
            </w:pPr>
          </w:p>
        </w:tc>
        <w:tc>
          <w:tcPr>
            <w:tcW w:w="920" w:type="pct"/>
            <w:vMerge w:val="continue"/>
            <w:vAlign w:val="center"/>
          </w:tcPr>
          <w:p>
            <w:pPr>
              <w:pStyle w:val="100"/>
              <w:widowControl w:val="0"/>
              <w:bidi w:val="0"/>
              <w:adjustRightInd w:val="0"/>
              <w:snapToGrid w:val="0"/>
            </w:pPr>
          </w:p>
        </w:tc>
        <w:tc>
          <w:tcPr>
            <w:tcW w:w="832" w:type="pct"/>
            <w:vAlign w:val="center"/>
          </w:tcPr>
          <w:p>
            <w:pPr>
              <w:pStyle w:val="100"/>
              <w:widowControl w:val="0"/>
              <w:bidi w:val="0"/>
              <w:adjustRightInd w:val="0"/>
              <w:snapToGrid w:val="0"/>
            </w:pPr>
            <w:r>
              <w:rPr>
                <w:rFonts w:hint="eastAsia"/>
              </w:rPr>
              <w:t>有组织</w:t>
            </w:r>
          </w:p>
        </w:tc>
        <w:tc>
          <w:tcPr>
            <w:tcW w:w="902" w:type="pct"/>
            <w:vAlign w:val="center"/>
          </w:tcPr>
          <w:p>
            <w:pPr>
              <w:pStyle w:val="100"/>
              <w:widowControl w:val="0"/>
              <w:bidi w:val="0"/>
              <w:adjustRightInd w:val="0"/>
              <w:snapToGrid w:val="0"/>
            </w:pPr>
            <w:r>
              <w:rPr>
                <w:rFonts w:hint="eastAsia"/>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5" w:type="pct"/>
            <w:vAlign w:val="center"/>
          </w:tcPr>
          <w:p>
            <w:pPr>
              <w:pStyle w:val="100"/>
              <w:widowControl w:val="0"/>
              <w:bidi w:val="0"/>
              <w:adjustRightInd w:val="0"/>
              <w:snapToGrid w:val="0"/>
            </w:pPr>
            <w:r>
              <w:t>废气</w:t>
            </w:r>
          </w:p>
        </w:tc>
        <w:tc>
          <w:tcPr>
            <w:tcW w:w="977" w:type="pct"/>
            <w:vAlign w:val="center"/>
          </w:tcPr>
          <w:p>
            <w:pPr>
              <w:pStyle w:val="100"/>
              <w:widowControl w:val="0"/>
              <w:bidi w:val="0"/>
              <w:adjustRightInd w:val="0"/>
              <w:snapToGrid w:val="0"/>
            </w:pPr>
            <w:r>
              <w:rPr>
                <w:rFonts w:hint="eastAsia"/>
              </w:rPr>
              <w:t>非甲烷总烃</w:t>
            </w:r>
          </w:p>
        </w:tc>
        <w:tc>
          <w:tcPr>
            <w:tcW w:w="641" w:type="pct"/>
            <w:vAlign w:val="center"/>
          </w:tcPr>
          <w:p>
            <w:pPr>
              <w:pStyle w:val="100"/>
              <w:widowControl w:val="0"/>
              <w:bidi w:val="0"/>
              <w:adjustRightInd w:val="0"/>
              <w:snapToGrid w:val="0"/>
            </w:pPr>
            <w:r>
              <w:rPr>
                <w:rFonts w:hint="eastAsia"/>
              </w:rPr>
              <w:t>0.43</w:t>
            </w:r>
          </w:p>
        </w:tc>
        <w:tc>
          <w:tcPr>
            <w:tcW w:w="920" w:type="pct"/>
            <w:vAlign w:val="center"/>
          </w:tcPr>
          <w:p>
            <w:pPr>
              <w:pStyle w:val="100"/>
              <w:widowControl w:val="0"/>
              <w:bidi w:val="0"/>
              <w:adjustRightInd w:val="0"/>
              <w:snapToGrid w:val="0"/>
            </w:pPr>
            <w:r>
              <w:rPr>
                <w:rFonts w:hint="eastAsia"/>
              </w:rPr>
              <w:t>0.349</w:t>
            </w:r>
          </w:p>
        </w:tc>
        <w:tc>
          <w:tcPr>
            <w:tcW w:w="832" w:type="pct"/>
            <w:vAlign w:val="center"/>
          </w:tcPr>
          <w:p>
            <w:pPr>
              <w:pStyle w:val="100"/>
              <w:widowControl w:val="0"/>
              <w:bidi w:val="0"/>
              <w:adjustRightInd w:val="0"/>
              <w:snapToGrid w:val="0"/>
            </w:pPr>
            <w:r>
              <w:t>0.</w:t>
            </w:r>
            <w:r>
              <w:rPr>
                <w:rFonts w:hint="eastAsia"/>
              </w:rPr>
              <w:t>0387</w:t>
            </w:r>
          </w:p>
        </w:tc>
        <w:tc>
          <w:tcPr>
            <w:tcW w:w="902" w:type="pct"/>
            <w:vAlign w:val="center"/>
          </w:tcPr>
          <w:p>
            <w:pPr>
              <w:pStyle w:val="100"/>
              <w:widowControl w:val="0"/>
              <w:bidi w:val="0"/>
              <w:adjustRightInd w:val="0"/>
              <w:snapToGrid w:val="0"/>
            </w:pPr>
            <w:r>
              <w:t>0.</w:t>
            </w:r>
            <w:r>
              <w:rPr>
                <w:rFonts w:hint="eastAsia"/>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703" w:type="pct"/>
            <w:gridSpan w:val="2"/>
            <w:vAlign w:val="center"/>
          </w:tcPr>
          <w:p>
            <w:pPr>
              <w:pStyle w:val="100"/>
              <w:widowControl w:val="0"/>
              <w:bidi w:val="0"/>
              <w:adjustRightInd w:val="0"/>
              <w:snapToGrid w:val="0"/>
            </w:pPr>
            <w:r>
              <w:rPr>
                <w:rFonts w:hint="eastAsia"/>
              </w:rPr>
              <w:t>污染物</w:t>
            </w:r>
          </w:p>
        </w:tc>
        <w:tc>
          <w:tcPr>
            <w:tcW w:w="641" w:type="pct"/>
            <w:vAlign w:val="center"/>
          </w:tcPr>
          <w:p>
            <w:pPr>
              <w:pStyle w:val="100"/>
              <w:widowControl w:val="0"/>
              <w:bidi w:val="0"/>
              <w:adjustRightInd w:val="0"/>
              <w:snapToGrid w:val="0"/>
            </w:pPr>
            <w:r>
              <w:rPr>
                <w:rFonts w:hint="eastAsia"/>
              </w:rPr>
              <w:t>产生量t/a</w:t>
            </w:r>
          </w:p>
        </w:tc>
        <w:tc>
          <w:tcPr>
            <w:tcW w:w="920" w:type="pct"/>
            <w:vAlign w:val="center"/>
          </w:tcPr>
          <w:p>
            <w:pPr>
              <w:pStyle w:val="100"/>
              <w:widowControl w:val="0"/>
              <w:bidi w:val="0"/>
              <w:adjustRightInd w:val="0"/>
              <w:snapToGrid w:val="0"/>
            </w:pPr>
            <w:r>
              <w:rPr>
                <w:rFonts w:hint="eastAsia"/>
              </w:rPr>
              <w:t>治理削减量t/a</w:t>
            </w:r>
          </w:p>
        </w:tc>
        <w:tc>
          <w:tcPr>
            <w:tcW w:w="832" w:type="pct"/>
            <w:vAlign w:val="center"/>
          </w:tcPr>
          <w:p>
            <w:pPr>
              <w:pStyle w:val="100"/>
              <w:widowControl w:val="0"/>
              <w:bidi w:val="0"/>
              <w:adjustRightInd w:val="0"/>
              <w:snapToGrid w:val="0"/>
            </w:pPr>
            <w:r>
              <w:rPr>
                <w:rFonts w:hint="eastAsia"/>
              </w:rPr>
              <w:t>厂排口</w:t>
            </w:r>
          </w:p>
        </w:tc>
        <w:tc>
          <w:tcPr>
            <w:tcW w:w="902" w:type="pct"/>
            <w:vAlign w:val="center"/>
          </w:tcPr>
          <w:p>
            <w:pPr>
              <w:pStyle w:val="100"/>
              <w:widowControl w:val="0"/>
              <w:bidi w:val="0"/>
              <w:adjustRightInd w:val="0"/>
              <w:snapToGrid w:val="0"/>
            </w:pPr>
            <w:r>
              <w:rPr>
                <w:rFonts w:hint="eastAsia"/>
              </w:rPr>
              <w:t>外环境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25" w:type="pct"/>
            <w:vMerge w:val="restart"/>
            <w:vAlign w:val="center"/>
          </w:tcPr>
          <w:p>
            <w:pPr>
              <w:pStyle w:val="100"/>
              <w:widowControl w:val="0"/>
              <w:bidi w:val="0"/>
              <w:adjustRightInd w:val="0"/>
              <w:snapToGrid w:val="0"/>
            </w:pPr>
            <w:r>
              <w:rPr>
                <w:rFonts w:hint="eastAsia"/>
              </w:rPr>
              <w:t>废水</w:t>
            </w:r>
          </w:p>
        </w:tc>
        <w:tc>
          <w:tcPr>
            <w:tcW w:w="977" w:type="pct"/>
            <w:vAlign w:val="center"/>
          </w:tcPr>
          <w:p>
            <w:pPr>
              <w:pStyle w:val="100"/>
              <w:widowControl w:val="0"/>
              <w:bidi w:val="0"/>
              <w:adjustRightInd w:val="0"/>
              <w:snapToGrid w:val="0"/>
            </w:pPr>
            <w:r>
              <w:rPr>
                <w:rFonts w:hint="eastAsia"/>
              </w:rPr>
              <w:t>生活污水量</w:t>
            </w:r>
          </w:p>
        </w:tc>
        <w:tc>
          <w:tcPr>
            <w:tcW w:w="641" w:type="pct"/>
            <w:vAlign w:val="center"/>
          </w:tcPr>
          <w:p>
            <w:pPr>
              <w:pStyle w:val="100"/>
              <w:widowControl w:val="0"/>
              <w:bidi w:val="0"/>
              <w:adjustRightInd w:val="0"/>
              <w:snapToGrid w:val="0"/>
            </w:pPr>
            <w:r>
              <w:rPr>
                <w:rFonts w:hint="eastAsia"/>
              </w:rPr>
              <w:t>856.8</w:t>
            </w:r>
          </w:p>
        </w:tc>
        <w:tc>
          <w:tcPr>
            <w:tcW w:w="920" w:type="pct"/>
            <w:vAlign w:val="center"/>
          </w:tcPr>
          <w:p>
            <w:pPr>
              <w:pStyle w:val="100"/>
              <w:widowControl w:val="0"/>
              <w:bidi w:val="0"/>
              <w:adjustRightInd w:val="0"/>
              <w:snapToGrid w:val="0"/>
            </w:pPr>
            <w:r>
              <w:rPr>
                <w:rFonts w:hint="eastAsia"/>
              </w:rPr>
              <w:t>0</w:t>
            </w:r>
          </w:p>
        </w:tc>
        <w:tc>
          <w:tcPr>
            <w:tcW w:w="832" w:type="pct"/>
            <w:vAlign w:val="center"/>
          </w:tcPr>
          <w:p>
            <w:pPr>
              <w:pStyle w:val="100"/>
              <w:widowControl w:val="0"/>
              <w:bidi w:val="0"/>
              <w:adjustRightInd w:val="0"/>
              <w:snapToGrid w:val="0"/>
            </w:pPr>
            <w:r>
              <w:rPr>
                <w:rFonts w:hint="eastAsia"/>
              </w:rPr>
              <w:t>856.8</w:t>
            </w:r>
          </w:p>
        </w:tc>
        <w:tc>
          <w:tcPr>
            <w:tcW w:w="902" w:type="pct"/>
            <w:vAlign w:val="center"/>
          </w:tcPr>
          <w:p>
            <w:pPr>
              <w:pStyle w:val="100"/>
              <w:widowControl w:val="0"/>
              <w:bidi w:val="0"/>
              <w:adjustRightInd w:val="0"/>
              <w:snapToGrid w:val="0"/>
            </w:pPr>
            <w:r>
              <w:rPr>
                <w:rFonts w:hint="eastAsia"/>
              </w:rPr>
              <w:t>856.8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COD</w:t>
            </w:r>
          </w:p>
        </w:tc>
        <w:tc>
          <w:tcPr>
            <w:tcW w:w="641" w:type="pct"/>
            <w:vAlign w:val="center"/>
          </w:tcPr>
          <w:p>
            <w:pPr>
              <w:pStyle w:val="100"/>
              <w:widowControl w:val="0"/>
              <w:bidi w:val="0"/>
              <w:adjustRightInd w:val="0"/>
              <w:snapToGrid w:val="0"/>
            </w:pPr>
            <w:r>
              <w:rPr>
                <w:rFonts w:hint="eastAsia"/>
              </w:rPr>
              <w:t>0.3</w:t>
            </w:r>
          </w:p>
        </w:tc>
        <w:tc>
          <w:tcPr>
            <w:tcW w:w="920" w:type="pct"/>
            <w:vAlign w:val="center"/>
          </w:tcPr>
          <w:p>
            <w:pPr>
              <w:pStyle w:val="100"/>
              <w:widowControl w:val="0"/>
              <w:bidi w:val="0"/>
              <w:adjustRightInd w:val="0"/>
              <w:snapToGrid w:val="0"/>
            </w:pPr>
            <w:r>
              <w:rPr>
                <w:rFonts w:hint="eastAsia"/>
              </w:rPr>
              <w:t>0</w:t>
            </w:r>
          </w:p>
        </w:tc>
        <w:tc>
          <w:tcPr>
            <w:tcW w:w="832" w:type="pct"/>
            <w:vAlign w:val="center"/>
          </w:tcPr>
          <w:p>
            <w:pPr>
              <w:pStyle w:val="100"/>
              <w:widowControl w:val="0"/>
              <w:bidi w:val="0"/>
              <w:adjustRightInd w:val="0"/>
              <w:snapToGrid w:val="0"/>
            </w:pPr>
            <w:r>
              <w:rPr>
                <w:rFonts w:hint="eastAsia"/>
              </w:rPr>
              <w:t>0.3</w:t>
            </w:r>
          </w:p>
        </w:tc>
        <w:tc>
          <w:tcPr>
            <w:tcW w:w="902" w:type="pct"/>
            <w:vAlign w:val="center"/>
          </w:tcPr>
          <w:p>
            <w:pPr>
              <w:pStyle w:val="100"/>
              <w:widowControl w:val="0"/>
              <w:bidi w:val="0"/>
              <w:adjustRightInd w:val="0"/>
              <w:snapToGrid w:val="0"/>
            </w:pPr>
            <w:r>
              <w:t>0</w:t>
            </w:r>
            <w:r>
              <w:rPr>
                <w:rFonts w:hint="eastAsia"/>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SS</w:t>
            </w:r>
          </w:p>
        </w:tc>
        <w:tc>
          <w:tcPr>
            <w:tcW w:w="641" w:type="pct"/>
            <w:vAlign w:val="center"/>
          </w:tcPr>
          <w:p>
            <w:pPr>
              <w:pStyle w:val="100"/>
              <w:widowControl w:val="0"/>
              <w:bidi w:val="0"/>
              <w:adjustRightInd w:val="0"/>
              <w:snapToGrid w:val="0"/>
            </w:pPr>
            <w:r>
              <w:rPr>
                <w:rFonts w:hint="eastAsia"/>
              </w:rPr>
              <w:t>0.19</w:t>
            </w:r>
          </w:p>
        </w:tc>
        <w:tc>
          <w:tcPr>
            <w:tcW w:w="920" w:type="pct"/>
            <w:vAlign w:val="center"/>
          </w:tcPr>
          <w:p>
            <w:pPr>
              <w:pStyle w:val="100"/>
              <w:widowControl w:val="0"/>
              <w:bidi w:val="0"/>
              <w:adjustRightInd w:val="0"/>
              <w:snapToGrid w:val="0"/>
            </w:pPr>
            <w:r>
              <w:rPr>
                <w:rFonts w:hint="eastAsia"/>
              </w:rPr>
              <w:t>0</w:t>
            </w:r>
          </w:p>
        </w:tc>
        <w:tc>
          <w:tcPr>
            <w:tcW w:w="832" w:type="pct"/>
            <w:vAlign w:val="center"/>
          </w:tcPr>
          <w:p>
            <w:pPr>
              <w:pStyle w:val="100"/>
              <w:widowControl w:val="0"/>
              <w:bidi w:val="0"/>
              <w:adjustRightInd w:val="0"/>
              <w:snapToGrid w:val="0"/>
            </w:pPr>
            <w:r>
              <w:rPr>
                <w:rFonts w:hint="eastAsia"/>
              </w:rPr>
              <w:t>0.19</w:t>
            </w:r>
          </w:p>
        </w:tc>
        <w:tc>
          <w:tcPr>
            <w:tcW w:w="902" w:type="pct"/>
            <w:vAlign w:val="center"/>
          </w:tcPr>
          <w:p>
            <w:pPr>
              <w:pStyle w:val="100"/>
              <w:widowControl w:val="0"/>
              <w:bidi w:val="0"/>
              <w:adjustRightInd w:val="0"/>
              <w:snapToGrid w:val="0"/>
            </w:pPr>
            <w:r>
              <w:t>0.0</w:t>
            </w:r>
            <w:r>
              <w:rPr>
                <w:rFonts w:hint="eastAsia"/>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氨氮</w:t>
            </w:r>
          </w:p>
        </w:tc>
        <w:tc>
          <w:tcPr>
            <w:tcW w:w="641" w:type="pct"/>
            <w:vAlign w:val="center"/>
          </w:tcPr>
          <w:p>
            <w:pPr>
              <w:pStyle w:val="100"/>
              <w:widowControl w:val="0"/>
              <w:bidi w:val="0"/>
              <w:adjustRightInd w:val="0"/>
              <w:snapToGrid w:val="0"/>
            </w:pPr>
            <w:r>
              <w:t>0.</w:t>
            </w:r>
            <w:r>
              <w:rPr>
                <w:rFonts w:hint="eastAsia"/>
              </w:rPr>
              <w:t>026</w:t>
            </w:r>
          </w:p>
        </w:tc>
        <w:tc>
          <w:tcPr>
            <w:tcW w:w="920" w:type="pct"/>
            <w:vAlign w:val="center"/>
          </w:tcPr>
          <w:p>
            <w:pPr>
              <w:pStyle w:val="100"/>
              <w:widowControl w:val="0"/>
              <w:bidi w:val="0"/>
              <w:adjustRightInd w:val="0"/>
              <w:snapToGrid w:val="0"/>
            </w:pPr>
            <w:r>
              <w:rPr>
                <w:rFonts w:hint="eastAsia"/>
              </w:rPr>
              <w:t>0</w:t>
            </w:r>
          </w:p>
        </w:tc>
        <w:tc>
          <w:tcPr>
            <w:tcW w:w="832" w:type="pct"/>
            <w:vAlign w:val="center"/>
          </w:tcPr>
          <w:p>
            <w:pPr>
              <w:pStyle w:val="100"/>
              <w:widowControl w:val="0"/>
              <w:bidi w:val="0"/>
              <w:adjustRightInd w:val="0"/>
              <w:snapToGrid w:val="0"/>
            </w:pPr>
            <w:r>
              <w:t>0</w:t>
            </w:r>
            <w:r>
              <w:rPr>
                <w:rFonts w:hint="eastAsia"/>
              </w:rPr>
              <w:t>.026</w:t>
            </w:r>
          </w:p>
        </w:tc>
        <w:tc>
          <w:tcPr>
            <w:tcW w:w="902" w:type="pct"/>
            <w:vAlign w:val="center"/>
          </w:tcPr>
          <w:p>
            <w:pPr>
              <w:pStyle w:val="100"/>
              <w:widowControl w:val="0"/>
              <w:bidi w:val="0"/>
              <w:adjustRightInd w:val="0"/>
              <w:snapToGrid w:val="0"/>
            </w:pPr>
            <w:r>
              <w:t>0.0</w:t>
            </w:r>
            <w:r>
              <w:rPr>
                <w:rFonts w:hint="eastAsia"/>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总氮</w:t>
            </w:r>
          </w:p>
        </w:tc>
        <w:tc>
          <w:tcPr>
            <w:tcW w:w="641" w:type="pct"/>
            <w:vAlign w:val="center"/>
          </w:tcPr>
          <w:p>
            <w:pPr>
              <w:pStyle w:val="100"/>
              <w:widowControl w:val="0"/>
              <w:bidi w:val="0"/>
              <w:adjustRightInd w:val="0"/>
              <w:snapToGrid w:val="0"/>
            </w:pPr>
            <w:r>
              <w:t>0.</w:t>
            </w:r>
            <w:r>
              <w:rPr>
                <w:rFonts w:hint="eastAsia"/>
              </w:rPr>
              <w:t>034</w:t>
            </w:r>
          </w:p>
        </w:tc>
        <w:tc>
          <w:tcPr>
            <w:tcW w:w="920" w:type="pct"/>
            <w:vAlign w:val="center"/>
          </w:tcPr>
          <w:p>
            <w:pPr>
              <w:pStyle w:val="100"/>
              <w:widowControl w:val="0"/>
              <w:bidi w:val="0"/>
              <w:adjustRightInd w:val="0"/>
              <w:snapToGrid w:val="0"/>
            </w:pPr>
            <w:r>
              <w:rPr>
                <w:rFonts w:hint="eastAsia"/>
              </w:rPr>
              <w:t>0</w:t>
            </w:r>
          </w:p>
        </w:tc>
        <w:tc>
          <w:tcPr>
            <w:tcW w:w="832" w:type="pct"/>
            <w:vAlign w:val="center"/>
          </w:tcPr>
          <w:p>
            <w:pPr>
              <w:pStyle w:val="100"/>
              <w:widowControl w:val="0"/>
              <w:bidi w:val="0"/>
              <w:adjustRightInd w:val="0"/>
              <w:snapToGrid w:val="0"/>
            </w:pPr>
            <w:r>
              <w:t>0.</w:t>
            </w:r>
            <w:r>
              <w:rPr>
                <w:rFonts w:hint="eastAsia"/>
              </w:rPr>
              <w:t>034</w:t>
            </w:r>
          </w:p>
        </w:tc>
        <w:tc>
          <w:tcPr>
            <w:tcW w:w="902" w:type="pct"/>
            <w:vAlign w:val="center"/>
          </w:tcPr>
          <w:p>
            <w:pPr>
              <w:pStyle w:val="100"/>
              <w:widowControl w:val="0"/>
              <w:bidi w:val="0"/>
              <w:adjustRightInd w:val="0"/>
              <w:snapToGrid w:val="0"/>
            </w:pPr>
            <w:r>
              <w:t>0.0</w:t>
            </w:r>
            <w:r>
              <w:rPr>
                <w:rFonts w:hint="eastAsia"/>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总磷</w:t>
            </w:r>
          </w:p>
        </w:tc>
        <w:tc>
          <w:tcPr>
            <w:tcW w:w="641" w:type="pct"/>
            <w:vAlign w:val="center"/>
          </w:tcPr>
          <w:p>
            <w:pPr>
              <w:pStyle w:val="100"/>
              <w:widowControl w:val="0"/>
              <w:bidi w:val="0"/>
              <w:adjustRightInd w:val="0"/>
              <w:snapToGrid w:val="0"/>
            </w:pPr>
            <w:r>
              <w:t>0.0</w:t>
            </w:r>
            <w:r>
              <w:rPr>
                <w:rFonts w:hint="eastAsia"/>
              </w:rPr>
              <w:t>03</w:t>
            </w:r>
          </w:p>
        </w:tc>
        <w:tc>
          <w:tcPr>
            <w:tcW w:w="920" w:type="pct"/>
            <w:vAlign w:val="center"/>
          </w:tcPr>
          <w:p>
            <w:pPr>
              <w:pStyle w:val="100"/>
              <w:widowControl w:val="0"/>
              <w:bidi w:val="0"/>
              <w:adjustRightInd w:val="0"/>
              <w:snapToGrid w:val="0"/>
            </w:pPr>
            <w:r>
              <w:rPr>
                <w:rFonts w:hint="eastAsia"/>
              </w:rPr>
              <w:t>0</w:t>
            </w:r>
          </w:p>
        </w:tc>
        <w:tc>
          <w:tcPr>
            <w:tcW w:w="832" w:type="pct"/>
            <w:vAlign w:val="center"/>
          </w:tcPr>
          <w:p>
            <w:pPr>
              <w:pStyle w:val="100"/>
              <w:widowControl w:val="0"/>
              <w:bidi w:val="0"/>
              <w:adjustRightInd w:val="0"/>
              <w:snapToGrid w:val="0"/>
            </w:pPr>
            <w:r>
              <w:t>0.0</w:t>
            </w:r>
            <w:r>
              <w:rPr>
                <w:rFonts w:hint="eastAsia"/>
              </w:rPr>
              <w:t>03</w:t>
            </w:r>
          </w:p>
        </w:tc>
        <w:tc>
          <w:tcPr>
            <w:tcW w:w="902" w:type="pct"/>
            <w:vAlign w:val="center"/>
          </w:tcPr>
          <w:p>
            <w:pPr>
              <w:pStyle w:val="100"/>
              <w:widowControl w:val="0"/>
              <w:bidi w:val="0"/>
              <w:adjustRightInd w:val="0"/>
              <w:snapToGrid w:val="0"/>
            </w:pPr>
            <w:r>
              <w:t>0.00</w:t>
            </w:r>
            <w:r>
              <w:rPr>
                <w:rFonts w:hint="eastAsia"/>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703" w:type="pct"/>
            <w:gridSpan w:val="2"/>
            <w:vAlign w:val="center"/>
          </w:tcPr>
          <w:p>
            <w:pPr>
              <w:pStyle w:val="100"/>
              <w:widowControl w:val="0"/>
              <w:bidi w:val="0"/>
              <w:adjustRightInd w:val="0"/>
              <w:snapToGrid w:val="0"/>
            </w:pPr>
            <w:r>
              <w:rPr>
                <w:rFonts w:hint="eastAsia"/>
              </w:rPr>
              <w:t>污染物</w:t>
            </w:r>
          </w:p>
        </w:tc>
        <w:tc>
          <w:tcPr>
            <w:tcW w:w="641" w:type="pct"/>
            <w:vAlign w:val="center"/>
          </w:tcPr>
          <w:p>
            <w:pPr>
              <w:pStyle w:val="100"/>
              <w:widowControl w:val="0"/>
              <w:bidi w:val="0"/>
              <w:adjustRightInd w:val="0"/>
              <w:snapToGrid w:val="0"/>
            </w:pPr>
            <w:r>
              <w:rPr>
                <w:rFonts w:hint="eastAsia"/>
              </w:rPr>
              <w:t>产生量</w:t>
            </w:r>
          </w:p>
        </w:tc>
        <w:tc>
          <w:tcPr>
            <w:tcW w:w="920" w:type="pct"/>
            <w:vAlign w:val="center"/>
          </w:tcPr>
          <w:p>
            <w:pPr>
              <w:pStyle w:val="100"/>
              <w:widowControl w:val="0"/>
              <w:bidi w:val="0"/>
              <w:adjustRightInd w:val="0"/>
              <w:snapToGrid w:val="0"/>
            </w:pPr>
            <w:r>
              <w:rPr>
                <w:rFonts w:hint="eastAsia"/>
              </w:rPr>
              <w:t>治理削减量</w:t>
            </w:r>
          </w:p>
        </w:tc>
        <w:tc>
          <w:tcPr>
            <w:tcW w:w="1734" w:type="pct"/>
            <w:gridSpan w:val="2"/>
            <w:vAlign w:val="center"/>
          </w:tcPr>
          <w:p>
            <w:pPr>
              <w:pStyle w:val="100"/>
              <w:widowControl w:val="0"/>
              <w:bidi w:val="0"/>
              <w:adjustRightInd w:val="0"/>
              <w:snapToGrid w:val="0"/>
            </w:pPr>
            <w:r>
              <w:rPr>
                <w:rFonts w:hint="eastAsia"/>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restart"/>
            <w:vAlign w:val="center"/>
          </w:tcPr>
          <w:p>
            <w:pPr>
              <w:pStyle w:val="100"/>
              <w:widowControl w:val="0"/>
              <w:bidi w:val="0"/>
              <w:adjustRightInd w:val="0"/>
              <w:snapToGrid w:val="0"/>
            </w:pPr>
            <w:r>
              <w:t>固废</w:t>
            </w:r>
          </w:p>
        </w:tc>
        <w:tc>
          <w:tcPr>
            <w:tcW w:w="977" w:type="pct"/>
            <w:vAlign w:val="center"/>
          </w:tcPr>
          <w:p>
            <w:pPr>
              <w:pStyle w:val="100"/>
              <w:widowControl w:val="0"/>
              <w:bidi w:val="0"/>
              <w:adjustRightInd w:val="0"/>
              <w:snapToGrid w:val="0"/>
            </w:pPr>
            <w:r>
              <w:rPr>
                <w:rFonts w:hint="eastAsia"/>
              </w:rPr>
              <w:t>PET边角料</w:t>
            </w:r>
          </w:p>
        </w:tc>
        <w:tc>
          <w:tcPr>
            <w:tcW w:w="641" w:type="pct"/>
            <w:vAlign w:val="center"/>
          </w:tcPr>
          <w:p>
            <w:pPr>
              <w:pStyle w:val="100"/>
              <w:widowControl w:val="0"/>
              <w:bidi w:val="0"/>
              <w:adjustRightInd w:val="0"/>
              <w:snapToGrid w:val="0"/>
            </w:pPr>
            <w:r>
              <w:rPr>
                <w:rFonts w:hint="eastAsia"/>
              </w:rPr>
              <w:t>2</w:t>
            </w:r>
          </w:p>
        </w:tc>
        <w:tc>
          <w:tcPr>
            <w:tcW w:w="920" w:type="pct"/>
            <w:vAlign w:val="center"/>
          </w:tcPr>
          <w:p>
            <w:pPr>
              <w:pStyle w:val="100"/>
              <w:widowControl w:val="0"/>
              <w:bidi w:val="0"/>
              <w:adjustRightInd w:val="0"/>
              <w:snapToGrid w:val="0"/>
            </w:pPr>
            <w:r>
              <w:rPr>
                <w:rFonts w:hint="eastAsia"/>
              </w:rPr>
              <w:t>2</w:t>
            </w:r>
          </w:p>
        </w:tc>
        <w:tc>
          <w:tcPr>
            <w:tcW w:w="1734" w:type="pct"/>
            <w:gridSpan w:val="2"/>
            <w:vAlign w:val="center"/>
          </w:tcPr>
          <w:p>
            <w:pPr>
              <w:pStyle w:val="100"/>
              <w:widowControl w:val="0"/>
              <w:bidi w:val="0"/>
              <w:adjustRightInd w:val="0"/>
              <w:snapToGrid w:val="0"/>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废油墨罐</w:t>
            </w:r>
          </w:p>
        </w:tc>
        <w:tc>
          <w:tcPr>
            <w:tcW w:w="641" w:type="pct"/>
            <w:vAlign w:val="center"/>
          </w:tcPr>
          <w:p>
            <w:pPr>
              <w:pStyle w:val="100"/>
              <w:widowControl w:val="0"/>
              <w:bidi w:val="0"/>
              <w:adjustRightInd w:val="0"/>
              <w:snapToGrid w:val="0"/>
            </w:pPr>
            <w:r>
              <w:rPr>
                <w:rFonts w:hint="eastAsia"/>
              </w:rPr>
              <w:t>1</w:t>
            </w:r>
          </w:p>
        </w:tc>
        <w:tc>
          <w:tcPr>
            <w:tcW w:w="920" w:type="pct"/>
            <w:vAlign w:val="center"/>
          </w:tcPr>
          <w:p>
            <w:pPr>
              <w:pStyle w:val="100"/>
              <w:widowControl w:val="0"/>
              <w:bidi w:val="0"/>
              <w:adjustRightInd w:val="0"/>
              <w:snapToGrid w:val="0"/>
            </w:pPr>
            <w:r>
              <w:rPr>
                <w:rFonts w:hint="eastAsia"/>
              </w:rPr>
              <w:t>1</w:t>
            </w:r>
          </w:p>
        </w:tc>
        <w:tc>
          <w:tcPr>
            <w:tcW w:w="1734" w:type="pct"/>
            <w:gridSpan w:val="2"/>
            <w:vAlign w:val="center"/>
          </w:tcPr>
          <w:p>
            <w:pPr>
              <w:pStyle w:val="100"/>
              <w:widowControl w:val="0"/>
              <w:bidi w:val="0"/>
              <w:adjustRightInd w:val="0"/>
              <w:snapToGrid w:val="0"/>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废胶水罐</w:t>
            </w:r>
          </w:p>
        </w:tc>
        <w:tc>
          <w:tcPr>
            <w:tcW w:w="641" w:type="pct"/>
            <w:vAlign w:val="center"/>
          </w:tcPr>
          <w:p>
            <w:pPr>
              <w:pStyle w:val="100"/>
              <w:widowControl w:val="0"/>
              <w:bidi w:val="0"/>
              <w:adjustRightInd w:val="0"/>
              <w:snapToGrid w:val="0"/>
            </w:pPr>
            <w:r>
              <w:rPr>
                <w:rFonts w:hint="eastAsia"/>
              </w:rPr>
              <w:t>0.5</w:t>
            </w:r>
          </w:p>
        </w:tc>
        <w:tc>
          <w:tcPr>
            <w:tcW w:w="920" w:type="pct"/>
            <w:vAlign w:val="center"/>
          </w:tcPr>
          <w:p>
            <w:pPr>
              <w:pStyle w:val="100"/>
              <w:widowControl w:val="0"/>
              <w:bidi w:val="0"/>
              <w:adjustRightInd w:val="0"/>
              <w:snapToGrid w:val="0"/>
            </w:pPr>
            <w:r>
              <w:rPr>
                <w:rFonts w:hint="eastAsia"/>
              </w:rPr>
              <w:t>0.5</w:t>
            </w:r>
          </w:p>
        </w:tc>
        <w:tc>
          <w:tcPr>
            <w:tcW w:w="1734" w:type="pct"/>
            <w:gridSpan w:val="2"/>
            <w:vAlign w:val="center"/>
          </w:tcPr>
          <w:p>
            <w:pPr>
              <w:pStyle w:val="100"/>
              <w:widowControl w:val="0"/>
              <w:bidi w:val="0"/>
              <w:adjustRightInd w:val="0"/>
              <w:snapToGrid w:val="0"/>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废纸箱</w:t>
            </w:r>
          </w:p>
        </w:tc>
        <w:tc>
          <w:tcPr>
            <w:tcW w:w="641" w:type="pct"/>
            <w:vAlign w:val="center"/>
          </w:tcPr>
          <w:p>
            <w:pPr>
              <w:pStyle w:val="100"/>
              <w:widowControl w:val="0"/>
              <w:bidi w:val="0"/>
              <w:adjustRightInd w:val="0"/>
              <w:snapToGrid w:val="0"/>
            </w:pPr>
            <w:r>
              <w:rPr>
                <w:rFonts w:hint="eastAsia"/>
              </w:rPr>
              <w:t>3</w:t>
            </w:r>
          </w:p>
        </w:tc>
        <w:tc>
          <w:tcPr>
            <w:tcW w:w="920" w:type="pct"/>
            <w:vAlign w:val="center"/>
          </w:tcPr>
          <w:p>
            <w:pPr>
              <w:pStyle w:val="100"/>
              <w:widowControl w:val="0"/>
              <w:bidi w:val="0"/>
              <w:adjustRightInd w:val="0"/>
              <w:snapToGrid w:val="0"/>
            </w:pPr>
            <w:r>
              <w:rPr>
                <w:rFonts w:hint="eastAsia"/>
              </w:rPr>
              <w:t>3</w:t>
            </w:r>
          </w:p>
        </w:tc>
        <w:tc>
          <w:tcPr>
            <w:tcW w:w="1734" w:type="pct"/>
            <w:gridSpan w:val="2"/>
            <w:vAlign w:val="center"/>
          </w:tcPr>
          <w:p>
            <w:pPr>
              <w:pStyle w:val="100"/>
              <w:widowControl w:val="0"/>
              <w:bidi w:val="0"/>
              <w:adjustRightInd w:val="0"/>
              <w:snapToGrid w:val="0"/>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废活性炭</w:t>
            </w:r>
          </w:p>
        </w:tc>
        <w:tc>
          <w:tcPr>
            <w:tcW w:w="641" w:type="pct"/>
            <w:vAlign w:val="center"/>
          </w:tcPr>
          <w:p>
            <w:pPr>
              <w:pStyle w:val="100"/>
              <w:widowControl w:val="0"/>
              <w:bidi w:val="0"/>
              <w:adjustRightInd w:val="0"/>
              <w:snapToGrid w:val="0"/>
            </w:pPr>
            <w:r>
              <w:rPr>
                <w:rFonts w:hint="eastAsia"/>
              </w:rPr>
              <w:t>0.5</w:t>
            </w:r>
          </w:p>
        </w:tc>
        <w:tc>
          <w:tcPr>
            <w:tcW w:w="920" w:type="pct"/>
            <w:vAlign w:val="center"/>
          </w:tcPr>
          <w:p>
            <w:pPr>
              <w:pStyle w:val="100"/>
              <w:widowControl w:val="0"/>
              <w:bidi w:val="0"/>
              <w:adjustRightInd w:val="0"/>
              <w:snapToGrid w:val="0"/>
            </w:pPr>
            <w:r>
              <w:rPr>
                <w:rFonts w:hint="eastAsia"/>
              </w:rPr>
              <w:t>0.5</w:t>
            </w:r>
          </w:p>
        </w:tc>
        <w:tc>
          <w:tcPr>
            <w:tcW w:w="1734" w:type="pct"/>
            <w:gridSpan w:val="2"/>
            <w:vAlign w:val="center"/>
          </w:tcPr>
          <w:p>
            <w:pPr>
              <w:pStyle w:val="100"/>
              <w:widowControl w:val="0"/>
              <w:bidi w:val="0"/>
              <w:adjustRightInd w:val="0"/>
              <w:snapToGrid w:val="0"/>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pPr>
            <w:r>
              <w:rPr>
                <w:rFonts w:hint="eastAsia"/>
              </w:rPr>
              <w:t>不合格品</w:t>
            </w:r>
          </w:p>
        </w:tc>
        <w:tc>
          <w:tcPr>
            <w:tcW w:w="641" w:type="pct"/>
            <w:vAlign w:val="center"/>
          </w:tcPr>
          <w:p>
            <w:pPr>
              <w:pStyle w:val="100"/>
              <w:widowControl w:val="0"/>
              <w:bidi w:val="0"/>
              <w:adjustRightInd w:val="0"/>
              <w:snapToGrid w:val="0"/>
              <w:rPr>
                <w:rFonts w:hint="default"/>
                <w:lang w:val="en-US" w:eastAsia="zh-CN"/>
              </w:rPr>
            </w:pPr>
            <w:r>
              <w:rPr>
                <w:rFonts w:hint="eastAsia"/>
                <w:lang w:val="en-US" w:eastAsia="zh-CN"/>
              </w:rPr>
              <w:t>1</w:t>
            </w:r>
          </w:p>
        </w:tc>
        <w:tc>
          <w:tcPr>
            <w:tcW w:w="920" w:type="pct"/>
            <w:vAlign w:val="center"/>
          </w:tcPr>
          <w:p>
            <w:pPr>
              <w:pStyle w:val="100"/>
              <w:widowControl w:val="0"/>
              <w:bidi w:val="0"/>
              <w:adjustRightInd w:val="0"/>
              <w:snapToGrid w:val="0"/>
              <w:rPr>
                <w:rFonts w:hint="default"/>
                <w:lang w:val="en-US" w:eastAsia="zh-CN"/>
              </w:rPr>
            </w:pPr>
            <w:r>
              <w:rPr>
                <w:rFonts w:hint="eastAsia"/>
                <w:lang w:val="en-US" w:eastAsia="zh-CN"/>
              </w:rPr>
              <w:t>1</w:t>
            </w:r>
          </w:p>
        </w:tc>
        <w:tc>
          <w:tcPr>
            <w:tcW w:w="1734" w:type="pct"/>
            <w:gridSpan w:val="2"/>
            <w:vAlign w:val="center"/>
          </w:tcPr>
          <w:p>
            <w:pPr>
              <w:pStyle w:val="100"/>
              <w:widowControl w:val="0"/>
              <w:bidi w:val="0"/>
              <w:adjustRightInd w:val="0"/>
              <w:snapToGrid w:val="0"/>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rPr>
                <w:rFonts w:hint="eastAsia"/>
                <w:lang w:val="en-US" w:eastAsia="zh-CN"/>
              </w:rPr>
            </w:pPr>
            <w:r>
              <w:rPr>
                <w:rFonts w:hint="eastAsia"/>
                <w:lang w:val="en-US" w:eastAsia="zh-CN"/>
              </w:rPr>
              <w:t>废抹布</w:t>
            </w:r>
          </w:p>
        </w:tc>
        <w:tc>
          <w:tcPr>
            <w:tcW w:w="641" w:type="pct"/>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920" w:type="pct"/>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1734" w:type="pct"/>
            <w:gridSpan w:val="2"/>
            <w:vAlign w:val="center"/>
          </w:tcPr>
          <w:p>
            <w:pPr>
              <w:pStyle w:val="100"/>
              <w:widowControl w:val="0"/>
              <w:bidi w:val="0"/>
              <w:adjustRightInd w:val="0"/>
              <w:snapToGrid w:val="0"/>
              <w:rPr>
                <w:rFonts w:hint="eastAsia"/>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5" w:type="pct"/>
            <w:vMerge w:val="continue"/>
            <w:vAlign w:val="center"/>
          </w:tcPr>
          <w:p>
            <w:pPr>
              <w:pStyle w:val="100"/>
              <w:widowControl w:val="0"/>
              <w:bidi w:val="0"/>
              <w:adjustRightInd w:val="0"/>
              <w:snapToGrid w:val="0"/>
            </w:pPr>
          </w:p>
        </w:tc>
        <w:tc>
          <w:tcPr>
            <w:tcW w:w="977" w:type="pct"/>
            <w:vAlign w:val="center"/>
          </w:tcPr>
          <w:p>
            <w:pPr>
              <w:pStyle w:val="100"/>
              <w:widowControl w:val="0"/>
              <w:bidi w:val="0"/>
              <w:adjustRightInd w:val="0"/>
              <w:snapToGrid w:val="0"/>
              <w:rPr>
                <w:rFonts w:hint="eastAsia"/>
                <w:lang w:val="en-US" w:eastAsia="zh-CN"/>
              </w:rPr>
            </w:pPr>
            <w:r>
              <w:rPr>
                <w:rFonts w:hint="eastAsia"/>
              </w:rPr>
              <w:t>生活垃圾</w:t>
            </w:r>
          </w:p>
        </w:tc>
        <w:tc>
          <w:tcPr>
            <w:tcW w:w="641" w:type="pct"/>
            <w:vAlign w:val="center"/>
          </w:tcPr>
          <w:p>
            <w:pPr>
              <w:pStyle w:val="100"/>
              <w:widowControl w:val="0"/>
              <w:bidi w:val="0"/>
              <w:adjustRightInd w:val="0"/>
              <w:snapToGrid w:val="0"/>
              <w:rPr>
                <w:rFonts w:hint="eastAsia"/>
                <w:lang w:val="en-US" w:eastAsia="zh-CN"/>
              </w:rPr>
            </w:pPr>
            <w:r>
              <w:rPr>
                <w:rFonts w:hint="eastAsia"/>
              </w:rPr>
              <w:t>0.8</w:t>
            </w:r>
          </w:p>
        </w:tc>
        <w:tc>
          <w:tcPr>
            <w:tcW w:w="920" w:type="pct"/>
            <w:vAlign w:val="center"/>
          </w:tcPr>
          <w:p>
            <w:pPr>
              <w:pStyle w:val="100"/>
              <w:widowControl w:val="0"/>
              <w:bidi w:val="0"/>
              <w:adjustRightInd w:val="0"/>
              <w:snapToGrid w:val="0"/>
              <w:rPr>
                <w:rFonts w:hint="eastAsia"/>
                <w:lang w:val="en-US" w:eastAsia="zh-CN"/>
              </w:rPr>
            </w:pPr>
            <w:r>
              <w:rPr>
                <w:rFonts w:hint="eastAsia"/>
              </w:rPr>
              <w:t>0.8</w:t>
            </w:r>
          </w:p>
        </w:tc>
        <w:tc>
          <w:tcPr>
            <w:tcW w:w="1734" w:type="pct"/>
            <w:gridSpan w:val="2"/>
            <w:vAlign w:val="center"/>
          </w:tcPr>
          <w:p>
            <w:pPr>
              <w:pStyle w:val="100"/>
              <w:widowControl w:val="0"/>
              <w:bidi w:val="0"/>
              <w:adjustRightInd w:val="0"/>
              <w:snapToGrid w:val="0"/>
              <w:rPr>
                <w:lang w:val="en-US" w:eastAsia="zh-CN"/>
              </w:rPr>
            </w:pPr>
            <w:r>
              <w:t>0</w:t>
            </w:r>
          </w:p>
        </w:tc>
      </w:tr>
    </w:tbl>
    <w:p>
      <w:pPr>
        <w:pStyle w:val="103"/>
        <w:sectPr>
          <w:pgSz w:w="11906" w:h="16838"/>
          <w:pgMar w:top="1418" w:right="1418" w:bottom="1418" w:left="1418" w:header="851" w:footer="992" w:gutter="0"/>
          <w:pgBorders>
            <w:top w:val="single" w:color="auto" w:sz="4" w:space="1"/>
            <w:left w:val="single" w:color="auto" w:sz="4" w:space="4"/>
            <w:bottom w:val="single" w:color="auto" w:sz="4" w:space="1"/>
            <w:right w:val="single" w:color="auto" w:sz="4" w:space="4"/>
          </w:pgBorders>
          <w:pgNumType w:fmt="numberInDash"/>
          <w:cols w:space="720" w:num="1"/>
          <w:docGrid w:linePitch="312" w:charSpace="0"/>
        </w:sectPr>
      </w:pPr>
    </w:p>
    <w:p>
      <w:pPr>
        <w:pStyle w:val="273"/>
        <w:bidi w:val="0"/>
        <w:rPr>
          <w:rFonts w:hint="eastAsia"/>
        </w:rPr>
      </w:pPr>
      <w:r>
        <w:rPr>
          <w:rFonts w:hint="eastAsia"/>
          <w:lang w:val="en-US" w:eastAsia="zh-CN"/>
        </w:rPr>
        <w:t xml:space="preserve">5-11  </w:t>
      </w:r>
      <w:r>
        <w:rPr>
          <w:rFonts w:hint="eastAsia"/>
        </w:rPr>
        <w:t>项目污染物排放量统计</w:t>
      </w:r>
    </w:p>
    <w:tbl>
      <w:tblPr>
        <w:tblStyle w:val="260"/>
        <w:tblW w:w="49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60"/>
        <w:gridCol w:w="660"/>
        <w:gridCol w:w="840"/>
        <w:gridCol w:w="853"/>
        <w:gridCol w:w="871"/>
        <w:gridCol w:w="589"/>
        <w:gridCol w:w="564"/>
        <w:gridCol w:w="759"/>
        <w:gridCol w:w="795"/>
        <w:gridCol w:w="742"/>
        <w:gridCol w:w="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40" w:type="pct"/>
            <w:gridSpan w:val="2"/>
            <w:vMerge w:val="restart"/>
            <w:vAlign w:val="center"/>
          </w:tcPr>
          <w:p>
            <w:pPr>
              <w:pStyle w:val="100"/>
              <w:widowControl w:val="0"/>
              <w:bidi w:val="0"/>
              <w:adjustRightInd w:val="0"/>
              <w:snapToGrid w:val="0"/>
            </w:pPr>
            <w:r>
              <w:rPr>
                <w:rFonts w:hint="eastAsia"/>
              </w:rPr>
              <w:t>污染物</w:t>
            </w:r>
          </w:p>
        </w:tc>
        <w:tc>
          <w:tcPr>
            <w:tcW w:w="884" w:type="pct"/>
            <w:gridSpan w:val="2"/>
            <w:vAlign w:val="center"/>
          </w:tcPr>
          <w:p>
            <w:pPr>
              <w:pStyle w:val="100"/>
              <w:widowControl w:val="0"/>
              <w:bidi w:val="0"/>
              <w:adjustRightInd w:val="0"/>
              <w:snapToGrid w:val="0"/>
            </w:pPr>
            <w:r>
              <w:rPr>
                <w:rFonts w:hint="eastAsia"/>
                <w:lang w:val="en-US" w:eastAsia="zh-CN"/>
              </w:rPr>
              <w:t>原</w:t>
            </w:r>
            <w:r>
              <w:rPr>
                <w:rFonts w:hint="eastAsia"/>
              </w:rPr>
              <w:t>有工程排放量</w:t>
            </w:r>
          </w:p>
        </w:tc>
        <w:tc>
          <w:tcPr>
            <w:tcW w:w="1016" w:type="pct"/>
            <w:gridSpan w:val="2"/>
            <w:vAlign w:val="center"/>
          </w:tcPr>
          <w:p>
            <w:pPr>
              <w:pStyle w:val="100"/>
              <w:widowControl w:val="0"/>
              <w:bidi w:val="0"/>
              <w:adjustRightInd w:val="0"/>
              <w:snapToGrid w:val="0"/>
            </w:pPr>
            <w:r>
              <w:rPr>
                <w:rFonts w:hint="eastAsia"/>
              </w:rPr>
              <w:t>拟建项目排放量</w:t>
            </w:r>
          </w:p>
        </w:tc>
        <w:tc>
          <w:tcPr>
            <w:tcW w:w="679" w:type="pct"/>
            <w:gridSpan w:val="2"/>
            <w:vAlign w:val="center"/>
          </w:tcPr>
          <w:p>
            <w:pPr>
              <w:pStyle w:val="100"/>
              <w:widowControl w:val="0"/>
              <w:bidi w:val="0"/>
              <w:adjustRightInd w:val="0"/>
              <w:snapToGrid w:val="0"/>
            </w:pPr>
            <w:r>
              <w:rPr>
                <w:rFonts w:hint="eastAsia"/>
              </w:rPr>
              <w:t>“以新带老”削减量</w:t>
            </w:r>
          </w:p>
        </w:tc>
        <w:tc>
          <w:tcPr>
            <w:tcW w:w="916" w:type="pct"/>
            <w:gridSpan w:val="2"/>
            <w:vAlign w:val="center"/>
          </w:tcPr>
          <w:p>
            <w:pPr>
              <w:pStyle w:val="100"/>
              <w:widowControl w:val="0"/>
              <w:bidi w:val="0"/>
              <w:adjustRightInd w:val="0"/>
              <w:snapToGrid w:val="0"/>
            </w:pPr>
            <w:r>
              <w:rPr>
                <w:rFonts w:hint="eastAsia"/>
                <w:lang w:val="en-US" w:eastAsia="zh-CN"/>
              </w:rPr>
              <w:t>搬迁</w:t>
            </w:r>
            <w:r>
              <w:rPr>
                <w:rFonts w:hint="eastAsia"/>
              </w:rPr>
              <w:t>工程完成后总排放量</w:t>
            </w:r>
          </w:p>
        </w:tc>
        <w:tc>
          <w:tcPr>
            <w:tcW w:w="862" w:type="pct"/>
            <w:gridSpan w:val="2"/>
            <w:vAlign w:val="center"/>
          </w:tcPr>
          <w:p>
            <w:pPr>
              <w:pStyle w:val="100"/>
              <w:widowControl w:val="0"/>
              <w:bidi w:val="0"/>
              <w:adjustRightInd w:val="0"/>
              <w:snapToGrid w:val="0"/>
            </w:pPr>
            <w:r>
              <w:rPr>
                <w:rFonts w:hint="eastAsia"/>
              </w:rPr>
              <w:t>增减变化量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40" w:type="pct"/>
            <w:gridSpan w:val="2"/>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有组织</w:t>
            </w:r>
          </w:p>
        </w:tc>
        <w:tc>
          <w:tcPr>
            <w:tcW w:w="495" w:type="pct"/>
            <w:vAlign w:val="center"/>
          </w:tcPr>
          <w:p>
            <w:pPr>
              <w:pStyle w:val="100"/>
              <w:widowControl w:val="0"/>
              <w:bidi w:val="0"/>
              <w:adjustRightInd w:val="0"/>
              <w:snapToGrid w:val="0"/>
            </w:pPr>
            <w:r>
              <w:rPr>
                <w:rFonts w:hint="eastAsia"/>
              </w:rPr>
              <w:t>无组织</w:t>
            </w:r>
          </w:p>
        </w:tc>
        <w:tc>
          <w:tcPr>
            <w:tcW w:w="503" w:type="pct"/>
            <w:vAlign w:val="center"/>
          </w:tcPr>
          <w:p>
            <w:pPr>
              <w:pStyle w:val="100"/>
              <w:widowControl w:val="0"/>
              <w:bidi w:val="0"/>
              <w:adjustRightInd w:val="0"/>
              <w:snapToGrid w:val="0"/>
            </w:pPr>
            <w:r>
              <w:rPr>
                <w:rFonts w:hint="eastAsia"/>
              </w:rPr>
              <w:t>有组织</w:t>
            </w:r>
          </w:p>
        </w:tc>
        <w:tc>
          <w:tcPr>
            <w:tcW w:w="513" w:type="pct"/>
            <w:vAlign w:val="center"/>
          </w:tcPr>
          <w:p>
            <w:pPr>
              <w:pStyle w:val="100"/>
              <w:widowControl w:val="0"/>
              <w:bidi w:val="0"/>
              <w:adjustRightInd w:val="0"/>
              <w:snapToGrid w:val="0"/>
            </w:pPr>
            <w:r>
              <w:rPr>
                <w:rFonts w:hint="eastAsia"/>
              </w:rPr>
              <w:t>无组织</w:t>
            </w:r>
          </w:p>
        </w:tc>
        <w:tc>
          <w:tcPr>
            <w:tcW w:w="347" w:type="pct"/>
            <w:vAlign w:val="center"/>
          </w:tcPr>
          <w:p>
            <w:pPr>
              <w:pStyle w:val="100"/>
              <w:widowControl w:val="0"/>
              <w:bidi w:val="0"/>
              <w:adjustRightInd w:val="0"/>
              <w:snapToGrid w:val="0"/>
            </w:pPr>
            <w:r>
              <w:rPr>
                <w:rFonts w:hint="eastAsia"/>
              </w:rPr>
              <w:t>有组织</w:t>
            </w:r>
          </w:p>
        </w:tc>
        <w:tc>
          <w:tcPr>
            <w:tcW w:w="332" w:type="pct"/>
            <w:vAlign w:val="center"/>
          </w:tcPr>
          <w:p>
            <w:pPr>
              <w:pStyle w:val="100"/>
              <w:widowControl w:val="0"/>
              <w:bidi w:val="0"/>
              <w:adjustRightInd w:val="0"/>
              <w:snapToGrid w:val="0"/>
            </w:pPr>
            <w:r>
              <w:rPr>
                <w:rFonts w:hint="eastAsia"/>
              </w:rPr>
              <w:t>无组织</w:t>
            </w:r>
          </w:p>
        </w:tc>
        <w:tc>
          <w:tcPr>
            <w:tcW w:w="447" w:type="pct"/>
            <w:vAlign w:val="center"/>
          </w:tcPr>
          <w:p>
            <w:pPr>
              <w:pStyle w:val="100"/>
              <w:widowControl w:val="0"/>
              <w:bidi w:val="0"/>
              <w:adjustRightInd w:val="0"/>
              <w:snapToGrid w:val="0"/>
            </w:pPr>
            <w:r>
              <w:rPr>
                <w:rFonts w:hint="eastAsia"/>
              </w:rPr>
              <w:t>有组织</w:t>
            </w:r>
          </w:p>
        </w:tc>
        <w:tc>
          <w:tcPr>
            <w:tcW w:w="468" w:type="pct"/>
            <w:vAlign w:val="center"/>
          </w:tcPr>
          <w:p>
            <w:pPr>
              <w:pStyle w:val="100"/>
              <w:widowControl w:val="0"/>
              <w:bidi w:val="0"/>
              <w:adjustRightInd w:val="0"/>
              <w:snapToGrid w:val="0"/>
            </w:pPr>
            <w:r>
              <w:rPr>
                <w:rFonts w:hint="eastAsia"/>
              </w:rPr>
              <w:t>无组织</w:t>
            </w:r>
          </w:p>
        </w:tc>
        <w:tc>
          <w:tcPr>
            <w:tcW w:w="437" w:type="pct"/>
            <w:vAlign w:val="center"/>
          </w:tcPr>
          <w:p>
            <w:pPr>
              <w:pStyle w:val="100"/>
              <w:widowControl w:val="0"/>
              <w:bidi w:val="0"/>
              <w:adjustRightInd w:val="0"/>
              <w:snapToGrid w:val="0"/>
            </w:pPr>
            <w:r>
              <w:rPr>
                <w:rFonts w:hint="eastAsia"/>
              </w:rPr>
              <w:t>有组织</w:t>
            </w:r>
          </w:p>
        </w:tc>
        <w:tc>
          <w:tcPr>
            <w:tcW w:w="424" w:type="pct"/>
            <w:vAlign w:val="center"/>
          </w:tcPr>
          <w:p>
            <w:pPr>
              <w:pStyle w:val="100"/>
              <w:widowControl w:val="0"/>
              <w:bidi w:val="0"/>
              <w:adjustRightInd w:val="0"/>
              <w:snapToGrid w:val="0"/>
            </w:pPr>
            <w:r>
              <w:rPr>
                <w:rFonts w:hint="eastAsia"/>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51" w:type="pct"/>
            <w:vAlign w:val="center"/>
          </w:tcPr>
          <w:p>
            <w:pPr>
              <w:pStyle w:val="100"/>
              <w:widowControl w:val="0"/>
              <w:bidi w:val="0"/>
              <w:adjustRightInd w:val="0"/>
              <w:snapToGrid w:val="0"/>
            </w:pPr>
            <w:r>
              <w:rPr>
                <w:rFonts w:hint="eastAsia"/>
              </w:rPr>
              <w:t>废气</w:t>
            </w:r>
          </w:p>
        </w:tc>
        <w:tc>
          <w:tcPr>
            <w:tcW w:w="389" w:type="pct"/>
            <w:vAlign w:val="center"/>
          </w:tcPr>
          <w:p>
            <w:pPr>
              <w:pStyle w:val="100"/>
              <w:widowControl w:val="0"/>
              <w:bidi w:val="0"/>
              <w:adjustRightInd w:val="0"/>
              <w:snapToGrid w:val="0"/>
            </w:pPr>
            <w:r>
              <w:rPr>
                <w:rFonts w:hint="eastAsia"/>
              </w:rPr>
              <w:t>非甲烷总烃</w:t>
            </w:r>
          </w:p>
        </w:tc>
        <w:tc>
          <w:tcPr>
            <w:tcW w:w="389" w:type="pct"/>
            <w:vAlign w:val="center"/>
          </w:tcPr>
          <w:p>
            <w:pPr>
              <w:pStyle w:val="100"/>
              <w:widowControl w:val="0"/>
              <w:bidi w:val="0"/>
              <w:adjustRightInd w:val="0"/>
              <w:snapToGrid w:val="0"/>
              <w:rPr>
                <w:rFonts w:hint="eastAsia"/>
                <w:lang w:eastAsia="zh-CN"/>
              </w:rPr>
            </w:pPr>
            <w:r>
              <w:rPr>
                <w:rFonts w:hint="eastAsia"/>
                <w:lang w:val="en-US" w:eastAsia="zh-CN"/>
              </w:rPr>
              <w:t>/</w:t>
            </w:r>
          </w:p>
        </w:tc>
        <w:tc>
          <w:tcPr>
            <w:tcW w:w="495" w:type="pct"/>
            <w:vAlign w:val="center"/>
          </w:tcPr>
          <w:p>
            <w:pPr>
              <w:pStyle w:val="100"/>
              <w:widowControl w:val="0"/>
              <w:bidi w:val="0"/>
              <w:adjustRightInd w:val="0"/>
              <w:snapToGrid w:val="0"/>
              <w:rPr>
                <w:rFonts w:hint="eastAsia"/>
                <w:lang w:val="en-US" w:eastAsia="zh-CN"/>
              </w:rPr>
            </w:pPr>
            <w:r>
              <w:rPr>
                <w:rFonts w:hint="eastAsia"/>
                <w:lang w:val="en-US" w:eastAsia="zh-CN"/>
              </w:rPr>
              <w:t>/</w:t>
            </w:r>
          </w:p>
        </w:tc>
        <w:tc>
          <w:tcPr>
            <w:tcW w:w="503" w:type="pct"/>
            <w:vAlign w:val="center"/>
          </w:tcPr>
          <w:p>
            <w:pPr>
              <w:pStyle w:val="100"/>
              <w:widowControl w:val="0"/>
              <w:bidi w:val="0"/>
              <w:adjustRightInd w:val="0"/>
              <w:snapToGrid w:val="0"/>
            </w:pPr>
            <w:r>
              <w:rPr>
                <w:rFonts w:hint="eastAsia"/>
              </w:rPr>
              <w:t>0.0387</w:t>
            </w:r>
          </w:p>
        </w:tc>
        <w:tc>
          <w:tcPr>
            <w:tcW w:w="513" w:type="pct"/>
            <w:vAlign w:val="center"/>
          </w:tcPr>
          <w:p>
            <w:pPr>
              <w:pStyle w:val="100"/>
              <w:widowControl w:val="0"/>
              <w:bidi w:val="0"/>
              <w:adjustRightInd w:val="0"/>
              <w:snapToGrid w:val="0"/>
            </w:pPr>
            <w:r>
              <w:rPr>
                <w:rFonts w:hint="eastAsia"/>
              </w:rPr>
              <w:t>0.0815</w:t>
            </w:r>
          </w:p>
        </w:tc>
        <w:tc>
          <w:tcPr>
            <w:tcW w:w="347" w:type="pct"/>
            <w:vAlign w:val="center"/>
          </w:tcPr>
          <w:p>
            <w:pPr>
              <w:pStyle w:val="100"/>
              <w:widowControl w:val="0"/>
              <w:bidi w:val="0"/>
              <w:adjustRightInd w:val="0"/>
              <w:snapToGrid w:val="0"/>
              <w:rPr>
                <w:rFonts w:hint="eastAsia"/>
                <w:lang w:val="en-US" w:eastAsia="zh-CN"/>
              </w:rPr>
            </w:pPr>
            <w:r>
              <w:rPr>
                <w:rFonts w:hint="eastAsia"/>
                <w:lang w:val="en-US" w:eastAsia="zh-CN"/>
              </w:rPr>
              <w:t>/</w:t>
            </w:r>
          </w:p>
        </w:tc>
        <w:tc>
          <w:tcPr>
            <w:tcW w:w="332" w:type="pct"/>
            <w:vAlign w:val="center"/>
          </w:tcPr>
          <w:p>
            <w:pPr>
              <w:pStyle w:val="100"/>
              <w:widowControl w:val="0"/>
              <w:bidi w:val="0"/>
              <w:adjustRightInd w:val="0"/>
              <w:snapToGrid w:val="0"/>
              <w:rPr>
                <w:rFonts w:hint="eastAsia"/>
                <w:lang w:val="en-US" w:eastAsia="zh-CN"/>
              </w:rPr>
            </w:pPr>
            <w:r>
              <w:rPr>
                <w:rFonts w:hint="eastAsia"/>
                <w:lang w:val="en-US" w:eastAsia="zh-CN"/>
              </w:rPr>
              <w:t>/</w:t>
            </w:r>
          </w:p>
        </w:tc>
        <w:tc>
          <w:tcPr>
            <w:tcW w:w="447" w:type="pct"/>
            <w:vAlign w:val="center"/>
          </w:tcPr>
          <w:p>
            <w:pPr>
              <w:pStyle w:val="100"/>
              <w:widowControl w:val="0"/>
              <w:bidi w:val="0"/>
              <w:adjustRightInd w:val="0"/>
              <w:snapToGrid w:val="0"/>
              <w:rPr>
                <w:rFonts w:hint="default"/>
                <w:lang w:val="en-US" w:eastAsia="zh-CN"/>
              </w:rPr>
            </w:pPr>
            <w:r>
              <w:rPr>
                <w:rFonts w:hint="eastAsia"/>
                <w:lang w:val="en-US" w:eastAsia="zh-CN"/>
              </w:rPr>
              <w:t>0.0387</w:t>
            </w:r>
          </w:p>
        </w:tc>
        <w:tc>
          <w:tcPr>
            <w:tcW w:w="468" w:type="pct"/>
            <w:vAlign w:val="center"/>
          </w:tcPr>
          <w:p>
            <w:pPr>
              <w:pStyle w:val="100"/>
              <w:widowControl w:val="0"/>
              <w:bidi w:val="0"/>
              <w:adjustRightInd w:val="0"/>
              <w:snapToGrid w:val="0"/>
              <w:rPr>
                <w:rFonts w:hint="default"/>
                <w:lang w:val="en-US" w:eastAsia="zh-CN"/>
              </w:rPr>
            </w:pPr>
            <w:r>
              <w:rPr>
                <w:rFonts w:hint="eastAsia"/>
                <w:lang w:val="en-US" w:eastAsia="zh-CN"/>
              </w:rPr>
              <w:t>0.0815</w:t>
            </w:r>
          </w:p>
        </w:tc>
        <w:tc>
          <w:tcPr>
            <w:tcW w:w="437" w:type="pct"/>
            <w:vAlign w:val="center"/>
          </w:tcPr>
          <w:p>
            <w:pPr>
              <w:pStyle w:val="100"/>
              <w:widowControl w:val="0"/>
              <w:bidi w:val="0"/>
              <w:adjustRightInd w:val="0"/>
              <w:snapToGrid w:val="0"/>
              <w:rPr>
                <w:rFonts w:hint="default"/>
                <w:lang w:val="en-US" w:eastAsia="zh-CN"/>
              </w:rPr>
            </w:pPr>
            <w:r>
              <w:rPr>
                <w:rFonts w:hint="eastAsia"/>
                <w:lang w:val="en-US" w:eastAsia="zh-CN"/>
              </w:rPr>
              <w:t>+0.0387</w:t>
            </w:r>
          </w:p>
        </w:tc>
        <w:tc>
          <w:tcPr>
            <w:tcW w:w="424" w:type="pct"/>
            <w:vAlign w:val="center"/>
          </w:tcPr>
          <w:p>
            <w:pPr>
              <w:pStyle w:val="100"/>
              <w:widowControl w:val="0"/>
              <w:bidi w:val="0"/>
              <w:adjustRightInd w:val="0"/>
              <w:snapToGrid w:val="0"/>
              <w:rPr>
                <w:rFonts w:hint="default"/>
                <w:lang w:val="en-US" w:eastAsia="zh-CN"/>
              </w:rPr>
            </w:pPr>
            <w:r>
              <w:rPr>
                <w:rFonts w:hint="eastAsia"/>
                <w:lang w:val="en-US" w:eastAsia="zh-CN"/>
              </w:rPr>
              <w:t>+0.0815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40" w:type="pct"/>
            <w:gridSpan w:val="2"/>
            <w:vAlign w:val="center"/>
          </w:tcPr>
          <w:p>
            <w:pPr>
              <w:pStyle w:val="100"/>
              <w:widowControl w:val="0"/>
              <w:bidi w:val="0"/>
              <w:adjustRightInd w:val="0"/>
              <w:snapToGrid w:val="0"/>
            </w:pPr>
            <w:r>
              <w:rPr>
                <w:rFonts w:hint="eastAsia"/>
              </w:rPr>
              <w:t>污染物</w:t>
            </w:r>
          </w:p>
        </w:tc>
        <w:tc>
          <w:tcPr>
            <w:tcW w:w="389" w:type="pct"/>
            <w:vAlign w:val="center"/>
          </w:tcPr>
          <w:p>
            <w:pPr>
              <w:pStyle w:val="100"/>
              <w:widowControl w:val="0"/>
              <w:bidi w:val="0"/>
              <w:adjustRightInd w:val="0"/>
              <w:snapToGrid w:val="0"/>
            </w:pPr>
            <w:r>
              <w:rPr>
                <w:rFonts w:hint="eastAsia"/>
              </w:rPr>
              <w:t>厂排口</w:t>
            </w:r>
          </w:p>
        </w:tc>
        <w:tc>
          <w:tcPr>
            <w:tcW w:w="495" w:type="pct"/>
            <w:vAlign w:val="center"/>
          </w:tcPr>
          <w:p>
            <w:pPr>
              <w:pStyle w:val="100"/>
              <w:widowControl w:val="0"/>
              <w:bidi w:val="0"/>
              <w:adjustRightInd w:val="0"/>
              <w:snapToGrid w:val="0"/>
            </w:pPr>
            <w:r>
              <w:rPr>
                <w:rFonts w:hint="eastAsia"/>
              </w:rPr>
              <w:t>外环境</w:t>
            </w:r>
          </w:p>
        </w:tc>
        <w:tc>
          <w:tcPr>
            <w:tcW w:w="503" w:type="pct"/>
            <w:vAlign w:val="center"/>
          </w:tcPr>
          <w:p>
            <w:pPr>
              <w:pStyle w:val="100"/>
              <w:widowControl w:val="0"/>
              <w:bidi w:val="0"/>
              <w:adjustRightInd w:val="0"/>
              <w:snapToGrid w:val="0"/>
            </w:pPr>
            <w:r>
              <w:rPr>
                <w:rFonts w:hint="eastAsia"/>
              </w:rPr>
              <w:t>厂排口</w:t>
            </w:r>
          </w:p>
        </w:tc>
        <w:tc>
          <w:tcPr>
            <w:tcW w:w="513" w:type="pct"/>
            <w:vAlign w:val="center"/>
          </w:tcPr>
          <w:p>
            <w:pPr>
              <w:pStyle w:val="100"/>
              <w:widowControl w:val="0"/>
              <w:bidi w:val="0"/>
              <w:adjustRightInd w:val="0"/>
              <w:snapToGrid w:val="0"/>
            </w:pPr>
            <w:r>
              <w:rPr>
                <w:rFonts w:hint="eastAsia"/>
              </w:rPr>
              <w:t>外环境</w:t>
            </w:r>
          </w:p>
        </w:tc>
        <w:tc>
          <w:tcPr>
            <w:tcW w:w="347" w:type="pct"/>
            <w:vAlign w:val="center"/>
          </w:tcPr>
          <w:p>
            <w:pPr>
              <w:pStyle w:val="100"/>
              <w:widowControl w:val="0"/>
              <w:bidi w:val="0"/>
              <w:adjustRightInd w:val="0"/>
              <w:snapToGrid w:val="0"/>
            </w:pPr>
            <w:r>
              <w:rPr>
                <w:rFonts w:hint="eastAsia"/>
              </w:rPr>
              <w:t>厂排口</w:t>
            </w:r>
          </w:p>
        </w:tc>
        <w:tc>
          <w:tcPr>
            <w:tcW w:w="332" w:type="pct"/>
            <w:vAlign w:val="center"/>
          </w:tcPr>
          <w:p>
            <w:pPr>
              <w:pStyle w:val="100"/>
              <w:widowControl w:val="0"/>
              <w:bidi w:val="0"/>
              <w:adjustRightInd w:val="0"/>
              <w:snapToGrid w:val="0"/>
            </w:pPr>
            <w:r>
              <w:rPr>
                <w:rFonts w:hint="eastAsia"/>
              </w:rPr>
              <w:t>外环境</w:t>
            </w:r>
          </w:p>
        </w:tc>
        <w:tc>
          <w:tcPr>
            <w:tcW w:w="447" w:type="pct"/>
            <w:vAlign w:val="center"/>
          </w:tcPr>
          <w:p>
            <w:pPr>
              <w:pStyle w:val="100"/>
              <w:widowControl w:val="0"/>
              <w:bidi w:val="0"/>
              <w:adjustRightInd w:val="0"/>
              <w:snapToGrid w:val="0"/>
            </w:pPr>
            <w:r>
              <w:rPr>
                <w:rFonts w:hint="eastAsia"/>
              </w:rPr>
              <w:t>厂排口</w:t>
            </w:r>
          </w:p>
        </w:tc>
        <w:tc>
          <w:tcPr>
            <w:tcW w:w="468" w:type="pct"/>
            <w:vAlign w:val="center"/>
          </w:tcPr>
          <w:p>
            <w:pPr>
              <w:pStyle w:val="100"/>
              <w:widowControl w:val="0"/>
              <w:bidi w:val="0"/>
              <w:adjustRightInd w:val="0"/>
              <w:snapToGrid w:val="0"/>
            </w:pPr>
            <w:r>
              <w:rPr>
                <w:rFonts w:hint="eastAsia"/>
              </w:rPr>
              <w:t>外环境</w:t>
            </w:r>
          </w:p>
        </w:tc>
        <w:tc>
          <w:tcPr>
            <w:tcW w:w="437" w:type="pct"/>
            <w:vAlign w:val="center"/>
          </w:tcPr>
          <w:p>
            <w:pPr>
              <w:pStyle w:val="100"/>
              <w:widowControl w:val="0"/>
              <w:bidi w:val="0"/>
              <w:adjustRightInd w:val="0"/>
              <w:snapToGrid w:val="0"/>
            </w:pPr>
            <w:r>
              <w:rPr>
                <w:rFonts w:hint="eastAsia"/>
              </w:rPr>
              <w:t>厂排口</w:t>
            </w:r>
          </w:p>
        </w:tc>
        <w:tc>
          <w:tcPr>
            <w:tcW w:w="424" w:type="pct"/>
            <w:vAlign w:val="center"/>
          </w:tcPr>
          <w:p>
            <w:pPr>
              <w:pStyle w:val="100"/>
              <w:widowControl w:val="0"/>
              <w:bidi w:val="0"/>
              <w:adjustRightInd w:val="0"/>
              <w:snapToGrid w:val="0"/>
            </w:pPr>
            <w:r>
              <w:rPr>
                <w:rFonts w:hint="eastAsia"/>
              </w:rPr>
              <w:t>外环境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jc w:val="center"/>
        </w:trPr>
        <w:tc>
          <w:tcPr>
            <w:tcW w:w="251" w:type="pct"/>
            <w:vMerge w:val="restart"/>
            <w:vAlign w:val="center"/>
          </w:tcPr>
          <w:p>
            <w:pPr>
              <w:pStyle w:val="100"/>
              <w:widowControl w:val="0"/>
              <w:bidi w:val="0"/>
              <w:adjustRightInd w:val="0"/>
              <w:snapToGrid w:val="0"/>
            </w:pPr>
            <w:r>
              <w:rPr>
                <w:rFonts w:hint="eastAsia"/>
              </w:rPr>
              <w:t>废水</w:t>
            </w:r>
          </w:p>
        </w:tc>
        <w:tc>
          <w:tcPr>
            <w:tcW w:w="389" w:type="pct"/>
            <w:vAlign w:val="center"/>
          </w:tcPr>
          <w:p>
            <w:pPr>
              <w:pStyle w:val="100"/>
              <w:widowControl w:val="0"/>
              <w:bidi w:val="0"/>
              <w:adjustRightInd w:val="0"/>
              <w:snapToGrid w:val="0"/>
            </w:pPr>
            <w:r>
              <w:rPr>
                <w:rFonts w:hint="eastAsia"/>
              </w:rPr>
              <w:t>生活污水量</w:t>
            </w:r>
          </w:p>
        </w:tc>
        <w:tc>
          <w:tcPr>
            <w:tcW w:w="389" w:type="pct"/>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495" w:type="pct"/>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503" w:type="pct"/>
            <w:vAlign w:val="center"/>
          </w:tcPr>
          <w:p>
            <w:pPr>
              <w:pStyle w:val="100"/>
              <w:widowControl w:val="0"/>
              <w:bidi w:val="0"/>
              <w:adjustRightInd w:val="0"/>
              <w:snapToGrid w:val="0"/>
            </w:pPr>
            <w:r>
              <w:rPr>
                <w:rFonts w:hint="eastAsia"/>
              </w:rPr>
              <w:t>856.8</w:t>
            </w:r>
          </w:p>
        </w:tc>
        <w:tc>
          <w:tcPr>
            <w:tcW w:w="513" w:type="pct"/>
            <w:vAlign w:val="center"/>
          </w:tcPr>
          <w:p>
            <w:pPr>
              <w:pStyle w:val="100"/>
              <w:widowControl w:val="0"/>
              <w:bidi w:val="0"/>
              <w:adjustRightInd w:val="0"/>
              <w:snapToGrid w:val="0"/>
            </w:pPr>
            <w:r>
              <w:rPr>
                <w:rFonts w:hint="eastAsia"/>
              </w:rPr>
              <w:t>856.8</w:t>
            </w:r>
          </w:p>
        </w:tc>
        <w:tc>
          <w:tcPr>
            <w:tcW w:w="347" w:type="pct"/>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332" w:type="pct"/>
            <w:vAlign w:val="center"/>
          </w:tcPr>
          <w:p>
            <w:pPr>
              <w:pStyle w:val="100"/>
              <w:widowControl w:val="0"/>
              <w:bidi w:val="0"/>
              <w:adjustRightInd w:val="0"/>
              <w:snapToGrid w:val="0"/>
              <w:rPr>
                <w:rFonts w:hint="default"/>
                <w:lang w:val="en-US" w:eastAsia="zh-CN"/>
              </w:rPr>
            </w:pPr>
            <w:r>
              <w:rPr>
                <w:rFonts w:hint="eastAsia"/>
                <w:lang w:val="en-US" w:eastAsia="zh-CN"/>
              </w:rPr>
              <w:t>425</w:t>
            </w:r>
          </w:p>
        </w:tc>
        <w:tc>
          <w:tcPr>
            <w:tcW w:w="447" w:type="pct"/>
            <w:vAlign w:val="center"/>
          </w:tcPr>
          <w:p>
            <w:pPr>
              <w:pStyle w:val="100"/>
              <w:widowControl w:val="0"/>
              <w:bidi w:val="0"/>
              <w:adjustRightInd w:val="0"/>
              <w:snapToGrid w:val="0"/>
              <w:rPr>
                <w:rFonts w:hint="default"/>
                <w:lang w:val="en-US" w:eastAsia="zh-CN"/>
              </w:rPr>
            </w:pPr>
            <w:r>
              <w:rPr>
                <w:rFonts w:hint="eastAsia"/>
                <w:lang w:val="en-US" w:eastAsia="zh-CN"/>
              </w:rPr>
              <w:t>856.8</w:t>
            </w:r>
          </w:p>
        </w:tc>
        <w:tc>
          <w:tcPr>
            <w:tcW w:w="468" w:type="pct"/>
            <w:vAlign w:val="center"/>
          </w:tcPr>
          <w:p>
            <w:pPr>
              <w:pStyle w:val="100"/>
              <w:widowControl w:val="0"/>
              <w:bidi w:val="0"/>
              <w:adjustRightInd w:val="0"/>
              <w:snapToGrid w:val="0"/>
              <w:rPr>
                <w:rFonts w:hint="default"/>
                <w:lang w:val="en-US" w:eastAsia="zh-CN"/>
              </w:rPr>
            </w:pPr>
            <w:r>
              <w:rPr>
                <w:rFonts w:hint="eastAsia"/>
                <w:lang w:val="en-US" w:eastAsia="zh-CN"/>
              </w:rPr>
              <w:t>856.8</w:t>
            </w:r>
          </w:p>
        </w:tc>
        <w:tc>
          <w:tcPr>
            <w:tcW w:w="437" w:type="pct"/>
            <w:vAlign w:val="center"/>
          </w:tcPr>
          <w:p>
            <w:pPr>
              <w:pStyle w:val="100"/>
              <w:widowControl w:val="0"/>
              <w:bidi w:val="0"/>
              <w:adjustRightInd w:val="0"/>
              <w:snapToGrid w:val="0"/>
              <w:rPr>
                <w:rFonts w:hint="default"/>
                <w:lang w:val="en-US" w:eastAsia="zh-CN"/>
              </w:rPr>
            </w:pPr>
            <w:r>
              <w:rPr>
                <w:rFonts w:hint="eastAsia"/>
                <w:lang w:val="en-US" w:eastAsia="zh-CN"/>
              </w:rPr>
              <w:t>+431.8</w:t>
            </w:r>
          </w:p>
        </w:tc>
        <w:tc>
          <w:tcPr>
            <w:tcW w:w="424" w:type="pct"/>
            <w:vAlign w:val="center"/>
          </w:tcPr>
          <w:p>
            <w:pPr>
              <w:pStyle w:val="100"/>
              <w:widowControl w:val="0"/>
              <w:bidi w:val="0"/>
              <w:adjustRightInd w:val="0"/>
              <w:snapToGrid w:val="0"/>
              <w:rPr>
                <w:rFonts w:hint="default"/>
                <w:lang w:val="en-US" w:eastAsia="zh-CN"/>
              </w:rPr>
            </w:pPr>
            <w:r>
              <w:rPr>
                <w:rFonts w:hint="eastAsia"/>
                <w:lang w:val="en-US" w:eastAsia="zh-CN"/>
              </w:rPr>
              <w:t>+431.8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COD</w:t>
            </w:r>
          </w:p>
        </w:tc>
        <w:tc>
          <w:tcPr>
            <w:tcW w:w="389" w:type="pct"/>
            <w:vAlign w:val="center"/>
          </w:tcPr>
          <w:p>
            <w:pPr>
              <w:pStyle w:val="100"/>
              <w:widowControl w:val="0"/>
              <w:bidi w:val="0"/>
              <w:adjustRightInd w:val="0"/>
              <w:snapToGrid w:val="0"/>
              <w:rPr>
                <w:rFonts w:hint="default"/>
                <w:lang w:val="en-US" w:eastAsia="zh-CN"/>
              </w:rPr>
            </w:pPr>
            <w:r>
              <w:rPr>
                <w:rFonts w:hint="eastAsia"/>
                <w:lang w:val="en-US" w:eastAsia="zh-CN"/>
              </w:rPr>
              <w:t>0.149</w:t>
            </w:r>
          </w:p>
        </w:tc>
        <w:tc>
          <w:tcPr>
            <w:tcW w:w="495" w:type="pct"/>
            <w:vAlign w:val="center"/>
          </w:tcPr>
          <w:p>
            <w:pPr>
              <w:pStyle w:val="100"/>
              <w:widowControl w:val="0"/>
              <w:bidi w:val="0"/>
              <w:adjustRightInd w:val="0"/>
              <w:snapToGrid w:val="0"/>
              <w:rPr>
                <w:rFonts w:hint="default"/>
                <w:lang w:val="en-US" w:eastAsia="zh-CN"/>
              </w:rPr>
            </w:pPr>
            <w:r>
              <w:t>0.</w:t>
            </w:r>
            <w:r>
              <w:rPr>
                <w:rFonts w:hint="eastAsia"/>
                <w:lang w:val="en-US" w:eastAsia="zh-CN"/>
              </w:rPr>
              <w:t>021</w:t>
            </w:r>
          </w:p>
        </w:tc>
        <w:tc>
          <w:tcPr>
            <w:tcW w:w="503" w:type="pct"/>
            <w:vAlign w:val="center"/>
          </w:tcPr>
          <w:p>
            <w:pPr>
              <w:pStyle w:val="100"/>
              <w:widowControl w:val="0"/>
              <w:bidi w:val="0"/>
              <w:adjustRightInd w:val="0"/>
              <w:snapToGrid w:val="0"/>
              <w:rPr>
                <w:rFonts w:hint="eastAsia"/>
                <w:lang w:val="en-US" w:eastAsia="zh-CN"/>
              </w:rPr>
            </w:pPr>
            <w:r>
              <w:rPr>
                <w:rFonts w:hint="eastAsia"/>
              </w:rPr>
              <w:t>0.</w:t>
            </w:r>
            <w:r>
              <w:rPr>
                <w:rFonts w:hint="eastAsia"/>
                <w:lang w:val="en-US" w:eastAsia="zh-CN"/>
              </w:rPr>
              <w:t>3</w:t>
            </w:r>
          </w:p>
        </w:tc>
        <w:tc>
          <w:tcPr>
            <w:tcW w:w="513" w:type="pct"/>
            <w:vAlign w:val="center"/>
          </w:tcPr>
          <w:p>
            <w:pPr>
              <w:pStyle w:val="100"/>
              <w:widowControl w:val="0"/>
              <w:bidi w:val="0"/>
              <w:adjustRightInd w:val="0"/>
              <w:snapToGrid w:val="0"/>
              <w:rPr>
                <w:rFonts w:hint="default"/>
                <w:lang w:val="en-US" w:eastAsia="zh-CN"/>
              </w:rPr>
            </w:pPr>
            <w:r>
              <w:rPr>
                <w:rFonts w:hint="eastAsia"/>
                <w:lang w:val="en-US" w:eastAsia="zh-CN"/>
              </w:rPr>
              <w:t>0.0428</w:t>
            </w:r>
          </w:p>
        </w:tc>
        <w:tc>
          <w:tcPr>
            <w:tcW w:w="347" w:type="pct"/>
            <w:vAlign w:val="center"/>
          </w:tcPr>
          <w:p>
            <w:pPr>
              <w:pStyle w:val="100"/>
              <w:widowControl w:val="0"/>
              <w:bidi w:val="0"/>
              <w:adjustRightInd w:val="0"/>
              <w:snapToGrid w:val="0"/>
              <w:rPr>
                <w:rFonts w:hint="default"/>
                <w:lang w:val="en-US" w:eastAsia="zh-CN"/>
              </w:rPr>
            </w:pPr>
            <w:r>
              <w:rPr>
                <w:rFonts w:hint="eastAsia"/>
                <w:lang w:val="en-US" w:eastAsia="zh-CN"/>
              </w:rPr>
              <w:t>0.149</w:t>
            </w:r>
          </w:p>
        </w:tc>
        <w:tc>
          <w:tcPr>
            <w:tcW w:w="332" w:type="pct"/>
            <w:vAlign w:val="center"/>
          </w:tcPr>
          <w:p>
            <w:pPr>
              <w:pStyle w:val="100"/>
              <w:widowControl w:val="0"/>
              <w:bidi w:val="0"/>
              <w:adjustRightInd w:val="0"/>
              <w:snapToGrid w:val="0"/>
              <w:rPr>
                <w:rFonts w:hint="default"/>
                <w:lang w:val="en-US" w:eastAsia="zh-CN"/>
              </w:rPr>
            </w:pPr>
            <w:r>
              <w:rPr>
                <w:rFonts w:hint="eastAsia"/>
                <w:lang w:val="en-US" w:eastAsia="zh-CN"/>
              </w:rPr>
              <w:t>0.021</w:t>
            </w:r>
          </w:p>
        </w:tc>
        <w:tc>
          <w:tcPr>
            <w:tcW w:w="447" w:type="pct"/>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468" w:type="pct"/>
            <w:vAlign w:val="center"/>
          </w:tcPr>
          <w:p>
            <w:pPr>
              <w:pStyle w:val="100"/>
              <w:widowControl w:val="0"/>
              <w:bidi w:val="0"/>
              <w:adjustRightInd w:val="0"/>
              <w:snapToGrid w:val="0"/>
              <w:rPr>
                <w:rFonts w:hint="default"/>
                <w:lang w:val="en-US" w:eastAsia="zh-CN"/>
              </w:rPr>
            </w:pPr>
            <w:r>
              <w:rPr>
                <w:rFonts w:hint="eastAsia"/>
                <w:lang w:val="en-US" w:eastAsia="zh-CN"/>
              </w:rPr>
              <w:t>0.0428</w:t>
            </w:r>
          </w:p>
        </w:tc>
        <w:tc>
          <w:tcPr>
            <w:tcW w:w="437" w:type="pct"/>
            <w:vAlign w:val="center"/>
          </w:tcPr>
          <w:p>
            <w:pPr>
              <w:pStyle w:val="100"/>
              <w:widowControl w:val="0"/>
              <w:bidi w:val="0"/>
              <w:adjustRightInd w:val="0"/>
              <w:snapToGrid w:val="0"/>
              <w:rPr>
                <w:rFonts w:hint="default"/>
                <w:lang w:val="en-US" w:eastAsia="zh-CN"/>
              </w:rPr>
            </w:pPr>
            <w:r>
              <w:rPr>
                <w:rFonts w:hint="eastAsia"/>
                <w:lang w:val="en-US" w:eastAsia="zh-CN"/>
              </w:rPr>
              <w:t>+0.151</w:t>
            </w:r>
          </w:p>
        </w:tc>
        <w:tc>
          <w:tcPr>
            <w:tcW w:w="424" w:type="pct"/>
            <w:vAlign w:val="center"/>
          </w:tcPr>
          <w:p>
            <w:pPr>
              <w:pStyle w:val="100"/>
              <w:widowControl w:val="0"/>
              <w:bidi w:val="0"/>
              <w:adjustRightInd w:val="0"/>
              <w:snapToGrid w:val="0"/>
              <w:rPr>
                <w:rFonts w:hint="default"/>
                <w:lang w:val="en-US" w:eastAsia="zh-CN"/>
              </w:rPr>
            </w:pPr>
            <w:r>
              <w:rPr>
                <w:rFonts w:hint="eastAsia"/>
                <w:lang w:val="en-US" w:eastAsia="zh-CN"/>
              </w:rPr>
              <w:t>+0.0218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SS</w:t>
            </w:r>
          </w:p>
        </w:tc>
        <w:tc>
          <w:tcPr>
            <w:tcW w:w="389" w:type="pct"/>
            <w:vAlign w:val="center"/>
          </w:tcPr>
          <w:p>
            <w:pPr>
              <w:pStyle w:val="100"/>
              <w:widowControl w:val="0"/>
              <w:bidi w:val="0"/>
              <w:adjustRightInd w:val="0"/>
              <w:snapToGrid w:val="0"/>
              <w:rPr>
                <w:rFonts w:hint="default"/>
                <w:lang w:val="en-US" w:eastAsia="zh-CN"/>
              </w:rPr>
            </w:pPr>
            <w:r>
              <w:rPr>
                <w:rFonts w:hint="eastAsia"/>
                <w:lang w:val="en-US" w:eastAsia="zh-CN"/>
              </w:rPr>
              <w:t>0.094</w:t>
            </w:r>
          </w:p>
        </w:tc>
        <w:tc>
          <w:tcPr>
            <w:tcW w:w="495" w:type="pct"/>
            <w:vAlign w:val="center"/>
          </w:tcPr>
          <w:p>
            <w:pPr>
              <w:pStyle w:val="100"/>
              <w:widowControl w:val="0"/>
              <w:bidi w:val="0"/>
              <w:adjustRightInd w:val="0"/>
              <w:snapToGrid w:val="0"/>
              <w:rPr>
                <w:rFonts w:hint="default"/>
                <w:lang w:val="en-US" w:eastAsia="zh-CN"/>
              </w:rPr>
            </w:pPr>
            <w:r>
              <w:t>0.</w:t>
            </w:r>
            <w:r>
              <w:rPr>
                <w:rFonts w:hint="eastAsia"/>
                <w:lang w:val="en-US" w:eastAsia="zh-CN"/>
              </w:rPr>
              <w:t>0043</w:t>
            </w:r>
          </w:p>
        </w:tc>
        <w:tc>
          <w:tcPr>
            <w:tcW w:w="503" w:type="pct"/>
            <w:vAlign w:val="center"/>
          </w:tcPr>
          <w:p>
            <w:pPr>
              <w:pStyle w:val="100"/>
              <w:widowControl w:val="0"/>
              <w:bidi w:val="0"/>
              <w:adjustRightInd w:val="0"/>
              <w:snapToGrid w:val="0"/>
              <w:rPr>
                <w:rFonts w:hint="default"/>
                <w:lang w:val="en-US" w:eastAsia="zh-CN"/>
              </w:rPr>
            </w:pPr>
            <w:r>
              <w:rPr>
                <w:rFonts w:hint="eastAsia"/>
              </w:rPr>
              <w:t>0.</w:t>
            </w:r>
            <w:r>
              <w:rPr>
                <w:rFonts w:hint="eastAsia"/>
                <w:lang w:val="en-US" w:eastAsia="zh-CN"/>
              </w:rPr>
              <w:t>19</w:t>
            </w:r>
          </w:p>
        </w:tc>
        <w:tc>
          <w:tcPr>
            <w:tcW w:w="513" w:type="pct"/>
            <w:vAlign w:val="center"/>
          </w:tcPr>
          <w:p>
            <w:pPr>
              <w:pStyle w:val="100"/>
              <w:widowControl w:val="0"/>
              <w:bidi w:val="0"/>
              <w:adjustRightInd w:val="0"/>
              <w:snapToGrid w:val="0"/>
              <w:rPr>
                <w:rFonts w:hint="default"/>
                <w:lang w:val="en-US" w:eastAsia="zh-CN"/>
              </w:rPr>
            </w:pPr>
            <w:r>
              <w:rPr>
                <w:rFonts w:hint="eastAsia"/>
                <w:lang w:val="en-US" w:eastAsia="zh-CN"/>
              </w:rPr>
              <w:t>0.0086</w:t>
            </w:r>
          </w:p>
        </w:tc>
        <w:tc>
          <w:tcPr>
            <w:tcW w:w="347" w:type="pct"/>
            <w:vAlign w:val="center"/>
          </w:tcPr>
          <w:p>
            <w:pPr>
              <w:pStyle w:val="100"/>
              <w:widowControl w:val="0"/>
              <w:bidi w:val="0"/>
              <w:adjustRightInd w:val="0"/>
              <w:snapToGrid w:val="0"/>
              <w:rPr>
                <w:rFonts w:hint="default"/>
                <w:lang w:val="en-US" w:eastAsia="zh-CN"/>
              </w:rPr>
            </w:pPr>
            <w:r>
              <w:rPr>
                <w:rFonts w:hint="eastAsia"/>
                <w:lang w:val="en-US" w:eastAsia="zh-CN"/>
              </w:rPr>
              <w:t>0.094</w:t>
            </w:r>
          </w:p>
        </w:tc>
        <w:tc>
          <w:tcPr>
            <w:tcW w:w="332" w:type="pct"/>
            <w:vAlign w:val="center"/>
          </w:tcPr>
          <w:p>
            <w:pPr>
              <w:pStyle w:val="100"/>
              <w:widowControl w:val="0"/>
              <w:bidi w:val="0"/>
              <w:adjustRightInd w:val="0"/>
              <w:snapToGrid w:val="0"/>
              <w:rPr>
                <w:rFonts w:hint="default"/>
                <w:lang w:val="en-US" w:eastAsia="zh-CN"/>
              </w:rPr>
            </w:pPr>
            <w:r>
              <w:rPr>
                <w:rFonts w:hint="eastAsia"/>
                <w:lang w:val="en-US" w:eastAsia="zh-CN"/>
              </w:rPr>
              <w:t>0.0043</w:t>
            </w:r>
          </w:p>
        </w:tc>
        <w:tc>
          <w:tcPr>
            <w:tcW w:w="447" w:type="pct"/>
            <w:vAlign w:val="center"/>
          </w:tcPr>
          <w:p>
            <w:pPr>
              <w:pStyle w:val="100"/>
              <w:widowControl w:val="0"/>
              <w:bidi w:val="0"/>
              <w:adjustRightInd w:val="0"/>
              <w:snapToGrid w:val="0"/>
              <w:rPr>
                <w:rFonts w:hint="default"/>
                <w:lang w:val="en-US" w:eastAsia="zh-CN"/>
              </w:rPr>
            </w:pPr>
            <w:r>
              <w:rPr>
                <w:rFonts w:hint="eastAsia"/>
                <w:lang w:val="en-US" w:eastAsia="zh-CN"/>
              </w:rPr>
              <w:t>0.19</w:t>
            </w:r>
          </w:p>
        </w:tc>
        <w:tc>
          <w:tcPr>
            <w:tcW w:w="468" w:type="pct"/>
            <w:vAlign w:val="center"/>
          </w:tcPr>
          <w:p>
            <w:pPr>
              <w:pStyle w:val="100"/>
              <w:widowControl w:val="0"/>
              <w:bidi w:val="0"/>
              <w:adjustRightInd w:val="0"/>
              <w:snapToGrid w:val="0"/>
              <w:rPr>
                <w:rFonts w:hint="default"/>
                <w:lang w:val="en-US" w:eastAsia="zh-CN"/>
              </w:rPr>
            </w:pPr>
            <w:r>
              <w:rPr>
                <w:rFonts w:hint="eastAsia"/>
                <w:lang w:val="en-US" w:eastAsia="zh-CN"/>
              </w:rPr>
              <w:t>0.0086</w:t>
            </w:r>
          </w:p>
        </w:tc>
        <w:tc>
          <w:tcPr>
            <w:tcW w:w="437" w:type="pct"/>
            <w:vAlign w:val="center"/>
          </w:tcPr>
          <w:p>
            <w:pPr>
              <w:pStyle w:val="100"/>
              <w:widowControl w:val="0"/>
              <w:bidi w:val="0"/>
              <w:adjustRightInd w:val="0"/>
              <w:snapToGrid w:val="0"/>
              <w:rPr>
                <w:rFonts w:hint="default"/>
                <w:lang w:val="en-US" w:eastAsia="zh-CN"/>
              </w:rPr>
            </w:pPr>
            <w:r>
              <w:rPr>
                <w:rFonts w:hint="eastAsia"/>
                <w:lang w:val="en-US" w:eastAsia="zh-CN"/>
              </w:rPr>
              <w:t>+0.096</w:t>
            </w:r>
          </w:p>
        </w:tc>
        <w:tc>
          <w:tcPr>
            <w:tcW w:w="424" w:type="pct"/>
            <w:vAlign w:val="center"/>
          </w:tcPr>
          <w:p>
            <w:pPr>
              <w:pStyle w:val="100"/>
              <w:widowControl w:val="0"/>
              <w:bidi w:val="0"/>
              <w:adjustRightInd w:val="0"/>
              <w:snapToGrid w:val="0"/>
              <w:rPr>
                <w:rFonts w:hint="default"/>
                <w:lang w:val="en-US" w:eastAsia="zh-CN"/>
              </w:rPr>
            </w:pPr>
            <w:r>
              <w:rPr>
                <w:rFonts w:hint="eastAsia"/>
                <w:lang w:val="en-US" w:eastAsia="zh-CN"/>
              </w:rPr>
              <w:t>+0.0043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氨氮</w:t>
            </w:r>
          </w:p>
        </w:tc>
        <w:tc>
          <w:tcPr>
            <w:tcW w:w="389" w:type="pct"/>
            <w:vAlign w:val="center"/>
          </w:tcPr>
          <w:p>
            <w:pPr>
              <w:pStyle w:val="100"/>
              <w:widowControl w:val="0"/>
              <w:bidi w:val="0"/>
              <w:adjustRightInd w:val="0"/>
              <w:snapToGrid w:val="0"/>
              <w:rPr>
                <w:rFonts w:hint="default"/>
                <w:lang w:val="en-US" w:eastAsia="zh-CN"/>
              </w:rPr>
            </w:pPr>
            <w:r>
              <w:t>0.</w:t>
            </w:r>
            <w:r>
              <w:rPr>
                <w:rFonts w:hint="eastAsia"/>
                <w:lang w:val="en-US" w:eastAsia="zh-CN"/>
              </w:rPr>
              <w:t>0128</w:t>
            </w:r>
          </w:p>
        </w:tc>
        <w:tc>
          <w:tcPr>
            <w:tcW w:w="495" w:type="pct"/>
            <w:vAlign w:val="center"/>
          </w:tcPr>
          <w:p>
            <w:pPr>
              <w:pStyle w:val="100"/>
              <w:widowControl w:val="0"/>
              <w:bidi w:val="0"/>
              <w:adjustRightInd w:val="0"/>
              <w:snapToGrid w:val="0"/>
              <w:rPr>
                <w:rFonts w:hint="default"/>
                <w:lang w:val="en-US" w:eastAsia="zh-CN"/>
              </w:rPr>
            </w:pPr>
            <w:r>
              <w:t>0.0</w:t>
            </w:r>
            <w:r>
              <w:rPr>
                <w:rFonts w:hint="eastAsia"/>
                <w:lang w:val="en-US" w:eastAsia="zh-CN"/>
              </w:rPr>
              <w:t>021</w:t>
            </w:r>
          </w:p>
        </w:tc>
        <w:tc>
          <w:tcPr>
            <w:tcW w:w="503" w:type="pct"/>
            <w:vAlign w:val="center"/>
          </w:tcPr>
          <w:p>
            <w:pPr>
              <w:pStyle w:val="100"/>
              <w:widowControl w:val="0"/>
              <w:bidi w:val="0"/>
              <w:adjustRightInd w:val="0"/>
              <w:snapToGrid w:val="0"/>
              <w:rPr>
                <w:rFonts w:hint="default"/>
                <w:lang w:val="en-US" w:eastAsia="zh-CN"/>
              </w:rPr>
            </w:pPr>
            <w:r>
              <w:rPr>
                <w:rFonts w:hint="eastAsia"/>
              </w:rPr>
              <w:t>0.0</w:t>
            </w:r>
            <w:r>
              <w:rPr>
                <w:rFonts w:hint="eastAsia"/>
                <w:lang w:val="en-US" w:eastAsia="zh-CN"/>
              </w:rPr>
              <w:t>26</w:t>
            </w:r>
          </w:p>
        </w:tc>
        <w:tc>
          <w:tcPr>
            <w:tcW w:w="513" w:type="pct"/>
            <w:vAlign w:val="center"/>
          </w:tcPr>
          <w:p>
            <w:pPr>
              <w:pStyle w:val="100"/>
              <w:widowControl w:val="0"/>
              <w:bidi w:val="0"/>
              <w:adjustRightInd w:val="0"/>
              <w:snapToGrid w:val="0"/>
              <w:rPr>
                <w:rFonts w:hint="default"/>
                <w:lang w:val="en-US" w:eastAsia="zh-CN"/>
              </w:rPr>
            </w:pPr>
            <w:r>
              <w:rPr>
                <w:rFonts w:hint="eastAsia"/>
                <w:lang w:val="en-US" w:eastAsia="zh-CN"/>
              </w:rPr>
              <w:t>0.00428</w:t>
            </w:r>
          </w:p>
        </w:tc>
        <w:tc>
          <w:tcPr>
            <w:tcW w:w="347" w:type="pct"/>
            <w:vAlign w:val="center"/>
          </w:tcPr>
          <w:p>
            <w:pPr>
              <w:pStyle w:val="100"/>
              <w:widowControl w:val="0"/>
              <w:bidi w:val="0"/>
              <w:adjustRightInd w:val="0"/>
              <w:snapToGrid w:val="0"/>
              <w:rPr>
                <w:rFonts w:hint="default"/>
                <w:lang w:val="en-US" w:eastAsia="zh-CN"/>
              </w:rPr>
            </w:pPr>
            <w:r>
              <w:rPr>
                <w:rFonts w:hint="eastAsia"/>
                <w:lang w:val="en-US" w:eastAsia="zh-CN"/>
              </w:rPr>
              <w:t>0.0128</w:t>
            </w:r>
          </w:p>
        </w:tc>
        <w:tc>
          <w:tcPr>
            <w:tcW w:w="332" w:type="pct"/>
            <w:vAlign w:val="center"/>
          </w:tcPr>
          <w:p>
            <w:pPr>
              <w:pStyle w:val="100"/>
              <w:widowControl w:val="0"/>
              <w:bidi w:val="0"/>
              <w:adjustRightInd w:val="0"/>
              <w:snapToGrid w:val="0"/>
              <w:rPr>
                <w:rFonts w:hint="default"/>
                <w:lang w:val="en-US" w:eastAsia="zh-CN"/>
              </w:rPr>
            </w:pPr>
            <w:r>
              <w:rPr>
                <w:rFonts w:hint="eastAsia"/>
                <w:lang w:val="en-US" w:eastAsia="zh-CN"/>
              </w:rPr>
              <w:t>0.0021</w:t>
            </w:r>
          </w:p>
        </w:tc>
        <w:tc>
          <w:tcPr>
            <w:tcW w:w="447" w:type="pct"/>
            <w:vAlign w:val="center"/>
          </w:tcPr>
          <w:p>
            <w:pPr>
              <w:pStyle w:val="100"/>
              <w:widowControl w:val="0"/>
              <w:bidi w:val="0"/>
              <w:adjustRightInd w:val="0"/>
              <w:snapToGrid w:val="0"/>
              <w:rPr>
                <w:rFonts w:hint="default"/>
                <w:lang w:val="en-US" w:eastAsia="zh-CN"/>
              </w:rPr>
            </w:pPr>
            <w:r>
              <w:rPr>
                <w:rFonts w:hint="eastAsia"/>
                <w:lang w:val="en-US" w:eastAsia="zh-CN"/>
              </w:rPr>
              <w:t>0.026</w:t>
            </w:r>
          </w:p>
        </w:tc>
        <w:tc>
          <w:tcPr>
            <w:tcW w:w="468" w:type="pct"/>
            <w:vAlign w:val="center"/>
          </w:tcPr>
          <w:p>
            <w:pPr>
              <w:pStyle w:val="100"/>
              <w:widowControl w:val="0"/>
              <w:bidi w:val="0"/>
              <w:adjustRightInd w:val="0"/>
              <w:snapToGrid w:val="0"/>
              <w:rPr>
                <w:rFonts w:hint="default"/>
                <w:lang w:val="en-US" w:eastAsia="zh-CN"/>
              </w:rPr>
            </w:pPr>
            <w:r>
              <w:rPr>
                <w:rFonts w:hint="eastAsia"/>
                <w:lang w:val="en-US" w:eastAsia="zh-CN"/>
              </w:rPr>
              <w:t>0.00428</w:t>
            </w:r>
          </w:p>
        </w:tc>
        <w:tc>
          <w:tcPr>
            <w:tcW w:w="437" w:type="pct"/>
            <w:vAlign w:val="center"/>
          </w:tcPr>
          <w:p>
            <w:pPr>
              <w:pStyle w:val="100"/>
              <w:widowControl w:val="0"/>
              <w:bidi w:val="0"/>
              <w:adjustRightInd w:val="0"/>
              <w:snapToGrid w:val="0"/>
              <w:rPr>
                <w:rFonts w:hint="default"/>
                <w:lang w:val="en-US" w:eastAsia="zh-CN"/>
              </w:rPr>
            </w:pPr>
            <w:r>
              <w:rPr>
                <w:rFonts w:hint="eastAsia"/>
                <w:lang w:val="en-US" w:eastAsia="zh-CN"/>
              </w:rPr>
              <w:t>+0.0132</w:t>
            </w:r>
          </w:p>
        </w:tc>
        <w:tc>
          <w:tcPr>
            <w:tcW w:w="424" w:type="pct"/>
            <w:vAlign w:val="center"/>
          </w:tcPr>
          <w:p>
            <w:pPr>
              <w:pStyle w:val="100"/>
              <w:widowControl w:val="0"/>
              <w:bidi w:val="0"/>
              <w:adjustRightInd w:val="0"/>
              <w:snapToGrid w:val="0"/>
              <w:rPr>
                <w:rFonts w:hint="default"/>
                <w:lang w:val="en-US" w:eastAsia="zh-CN"/>
              </w:rPr>
            </w:pPr>
            <w:r>
              <w:rPr>
                <w:rFonts w:hint="eastAsia"/>
                <w:lang w:val="en-US" w:eastAsia="zh-CN"/>
              </w:rPr>
              <w:t>+0.00218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总氮</w:t>
            </w:r>
          </w:p>
        </w:tc>
        <w:tc>
          <w:tcPr>
            <w:tcW w:w="389" w:type="pct"/>
            <w:vAlign w:val="center"/>
          </w:tcPr>
          <w:p>
            <w:pPr>
              <w:pStyle w:val="100"/>
              <w:widowControl w:val="0"/>
              <w:bidi w:val="0"/>
              <w:adjustRightInd w:val="0"/>
              <w:snapToGrid w:val="0"/>
              <w:rPr>
                <w:rFonts w:hint="default"/>
                <w:lang w:val="en-US" w:eastAsia="zh-CN"/>
              </w:rPr>
            </w:pPr>
            <w:r>
              <w:t>0.</w:t>
            </w:r>
            <w:r>
              <w:rPr>
                <w:rFonts w:hint="eastAsia"/>
                <w:lang w:val="en-US" w:eastAsia="zh-CN"/>
              </w:rPr>
              <w:t>017</w:t>
            </w:r>
          </w:p>
        </w:tc>
        <w:tc>
          <w:tcPr>
            <w:tcW w:w="495" w:type="pct"/>
            <w:vAlign w:val="center"/>
          </w:tcPr>
          <w:p>
            <w:pPr>
              <w:pStyle w:val="100"/>
              <w:widowControl w:val="0"/>
              <w:bidi w:val="0"/>
              <w:adjustRightInd w:val="0"/>
              <w:snapToGrid w:val="0"/>
              <w:rPr>
                <w:rFonts w:hint="default"/>
                <w:lang w:val="en-US" w:eastAsia="zh-CN"/>
              </w:rPr>
            </w:pPr>
            <w:r>
              <w:t>0.0</w:t>
            </w:r>
            <w:r>
              <w:rPr>
                <w:rFonts w:hint="eastAsia"/>
                <w:lang w:val="en-US" w:eastAsia="zh-CN"/>
              </w:rPr>
              <w:t>064</w:t>
            </w:r>
          </w:p>
        </w:tc>
        <w:tc>
          <w:tcPr>
            <w:tcW w:w="503" w:type="pct"/>
            <w:vAlign w:val="center"/>
          </w:tcPr>
          <w:p>
            <w:pPr>
              <w:pStyle w:val="100"/>
              <w:widowControl w:val="0"/>
              <w:bidi w:val="0"/>
              <w:adjustRightInd w:val="0"/>
              <w:snapToGrid w:val="0"/>
              <w:rPr>
                <w:rFonts w:hint="default"/>
                <w:lang w:val="en-US" w:eastAsia="zh-CN"/>
              </w:rPr>
            </w:pPr>
            <w:r>
              <w:rPr>
                <w:rFonts w:hint="eastAsia"/>
              </w:rPr>
              <w:t>0.0</w:t>
            </w:r>
            <w:r>
              <w:rPr>
                <w:rFonts w:hint="eastAsia"/>
                <w:lang w:val="en-US" w:eastAsia="zh-CN"/>
              </w:rPr>
              <w:t>34</w:t>
            </w:r>
          </w:p>
        </w:tc>
        <w:tc>
          <w:tcPr>
            <w:tcW w:w="513" w:type="pct"/>
            <w:vAlign w:val="center"/>
          </w:tcPr>
          <w:p>
            <w:pPr>
              <w:pStyle w:val="100"/>
              <w:widowControl w:val="0"/>
              <w:bidi w:val="0"/>
              <w:adjustRightInd w:val="0"/>
              <w:snapToGrid w:val="0"/>
              <w:rPr>
                <w:rFonts w:hint="default"/>
                <w:lang w:val="en-US" w:eastAsia="zh-CN"/>
              </w:rPr>
            </w:pPr>
            <w:r>
              <w:rPr>
                <w:rFonts w:hint="eastAsia"/>
                <w:lang w:val="en-US" w:eastAsia="zh-CN"/>
              </w:rPr>
              <w:t>0.0129</w:t>
            </w:r>
          </w:p>
        </w:tc>
        <w:tc>
          <w:tcPr>
            <w:tcW w:w="347" w:type="pct"/>
            <w:vAlign w:val="center"/>
          </w:tcPr>
          <w:p>
            <w:pPr>
              <w:pStyle w:val="100"/>
              <w:widowControl w:val="0"/>
              <w:bidi w:val="0"/>
              <w:adjustRightInd w:val="0"/>
              <w:snapToGrid w:val="0"/>
              <w:rPr>
                <w:rFonts w:hint="default"/>
                <w:lang w:val="en-US" w:eastAsia="zh-CN"/>
              </w:rPr>
            </w:pPr>
            <w:r>
              <w:rPr>
                <w:rFonts w:hint="eastAsia"/>
                <w:lang w:val="en-US" w:eastAsia="zh-CN"/>
              </w:rPr>
              <w:t>0.017</w:t>
            </w:r>
          </w:p>
        </w:tc>
        <w:tc>
          <w:tcPr>
            <w:tcW w:w="332" w:type="pct"/>
            <w:vAlign w:val="center"/>
          </w:tcPr>
          <w:p>
            <w:pPr>
              <w:pStyle w:val="100"/>
              <w:widowControl w:val="0"/>
              <w:bidi w:val="0"/>
              <w:adjustRightInd w:val="0"/>
              <w:snapToGrid w:val="0"/>
              <w:rPr>
                <w:rFonts w:hint="default"/>
                <w:lang w:val="en-US" w:eastAsia="zh-CN"/>
              </w:rPr>
            </w:pPr>
            <w:r>
              <w:rPr>
                <w:rFonts w:hint="eastAsia"/>
                <w:lang w:val="en-US" w:eastAsia="zh-CN"/>
              </w:rPr>
              <w:t>0.0064</w:t>
            </w:r>
          </w:p>
        </w:tc>
        <w:tc>
          <w:tcPr>
            <w:tcW w:w="447" w:type="pct"/>
            <w:vAlign w:val="center"/>
          </w:tcPr>
          <w:p>
            <w:pPr>
              <w:pStyle w:val="100"/>
              <w:widowControl w:val="0"/>
              <w:bidi w:val="0"/>
              <w:adjustRightInd w:val="0"/>
              <w:snapToGrid w:val="0"/>
              <w:rPr>
                <w:rFonts w:hint="default"/>
                <w:lang w:val="en-US" w:eastAsia="zh-CN"/>
              </w:rPr>
            </w:pPr>
            <w:r>
              <w:rPr>
                <w:rFonts w:hint="eastAsia"/>
                <w:lang w:val="en-US" w:eastAsia="zh-CN"/>
              </w:rPr>
              <w:t>0.034</w:t>
            </w:r>
          </w:p>
        </w:tc>
        <w:tc>
          <w:tcPr>
            <w:tcW w:w="468" w:type="pct"/>
            <w:vAlign w:val="center"/>
          </w:tcPr>
          <w:p>
            <w:pPr>
              <w:pStyle w:val="100"/>
              <w:widowControl w:val="0"/>
              <w:bidi w:val="0"/>
              <w:adjustRightInd w:val="0"/>
              <w:snapToGrid w:val="0"/>
              <w:rPr>
                <w:rFonts w:hint="default"/>
                <w:lang w:val="en-US" w:eastAsia="zh-CN"/>
              </w:rPr>
            </w:pPr>
            <w:r>
              <w:rPr>
                <w:rFonts w:hint="eastAsia"/>
                <w:lang w:val="en-US" w:eastAsia="zh-CN"/>
              </w:rPr>
              <w:t>0.0129</w:t>
            </w:r>
          </w:p>
        </w:tc>
        <w:tc>
          <w:tcPr>
            <w:tcW w:w="437" w:type="pct"/>
            <w:vAlign w:val="center"/>
          </w:tcPr>
          <w:p>
            <w:pPr>
              <w:pStyle w:val="100"/>
              <w:widowControl w:val="0"/>
              <w:bidi w:val="0"/>
              <w:adjustRightInd w:val="0"/>
              <w:snapToGrid w:val="0"/>
              <w:rPr>
                <w:rFonts w:hint="default"/>
                <w:lang w:val="en-US" w:eastAsia="zh-CN"/>
              </w:rPr>
            </w:pPr>
            <w:r>
              <w:rPr>
                <w:rFonts w:hint="eastAsia"/>
                <w:lang w:val="en-US" w:eastAsia="zh-CN"/>
              </w:rPr>
              <w:t>+0.017</w:t>
            </w:r>
          </w:p>
        </w:tc>
        <w:tc>
          <w:tcPr>
            <w:tcW w:w="424" w:type="pct"/>
            <w:vAlign w:val="center"/>
          </w:tcPr>
          <w:p>
            <w:pPr>
              <w:pStyle w:val="100"/>
              <w:widowControl w:val="0"/>
              <w:bidi w:val="0"/>
              <w:adjustRightInd w:val="0"/>
              <w:snapToGrid w:val="0"/>
              <w:rPr>
                <w:rFonts w:hint="default"/>
                <w:lang w:val="en-US" w:eastAsia="zh-CN"/>
              </w:rPr>
            </w:pPr>
            <w:r>
              <w:rPr>
                <w:rFonts w:hint="eastAsia"/>
                <w:lang w:val="en-US" w:eastAsia="zh-CN"/>
              </w:rPr>
              <w:t>+0.0065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总磷</w:t>
            </w:r>
          </w:p>
        </w:tc>
        <w:tc>
          <w:tcPr>
            <w:tcW w:w="389" w:type="pct"/>
            <w:vAlign w:val="center"/>
          </w:tcPr>
          <w:p>
            <w:pPr>
              <w:pStyle w:val="100"/>
              <w:widowControl w:val="0"/>
              <w:bidi w:val="0"/>
              <w:adjustRightInd w:val="0"/>
              <w:snapToGrid w:val="0"/>
              <w:rPr>
                <w:rFonts w:hint="default"/>
                <w:lang w:val="en-US" w:eastAsia="zh-CN"/>
              </w:rPr>
            </w:pPr>
            <w:r>
              <w:t>0.0</w:t>
            </w:r>
            <w:r>
              <w:rPr>
                <w:rFonts w:hint="eastAsia"/>
                <w:lang w:val="en-US" w:eastAsia="zh-CN"/>
              </w:rPr>
              <w:t>017</w:t>
            </w:r>
          </w:p>
        </w:tc>
        <w:tc>
          <w:tcPr>
            <w:tcW w:w="495" w:type="pct"/>
            <w:vAlign w:val="center"/>
          </w:tcPr>
          <w:p>
            <w:pPr>
              <w:pStyle w:val="100"/>
              <w:widowControl w:val="0"/>
              <w:bidi w:val="0"/>
              <w:adjustRightInd w:val="0"/>
              <w:snapToGrid w:val="0"/>
              <w:rPr>
                <w:rFonts w:hint="default"/>
                <w:lang w:val="en-US" w:eastAsia="zh-CN"/>
              </w:rPr>
            </w:pPr>
            <w:r>
              <w:t>0.00</w:t>
            </w:r>
            <w:r>
              <w:rPr>
                <w:rFonts w:hint="eastAsia"/>
                <w:lang w:val="en-US" w:eastAsia="zh-CN"/>
              </w:rPr>
              <w:t>021</w:t>
            </w:r>
          </w:p>
        </w:tc>
        <w:tc>
          <w:tcPr>
            <w:tcW w:w="503" w:type="pct"/>
            <w:vAlign w:val="center"/>
          </w:tcPr>
          <w:p>
            <w:pPr>
              <w:pStyle w:val="100"/>
              <w:widowControl w:val="0"/>
              <w:bidi w:val="0"/>
              <w:adjustRightInd w:val="0"/>
              <w:snapToGrid w:val="0"/>
              <w:rPr>
                <w:rFonts w:hint="default"/>
                <w:lang w:val="en-US" w:eastAsia="zh-CN"/>
              </w:rPr>
            </w:pPr>
            <w:r>
              <w:rPr>
                <w:rFonts w:hint="eastAsia"/>
              </w:rPr>
              <w:t>0.0</w:t>
            </w:r>
            <w:r>
              <w:rPr>
                <w:rFonts w:hint="eastAsia"/>
                <w:lang w:val="en-US" w:eastAsia="zh-CN"/>
              </w:rPr>
              <w:t>03</w:t>
            </w:r>
          </w:p>
        </w:tc>
        <w:tc>
          <w:tcPr>
            <w:tcW w:w="513" w:type="pct"/>
            <w:vAlign w:val="center"/>
          </w:tcPr>
          <w:p>
            <w:pPr>
              <w:pStyle w:val="100"/>
              <w:widowControl w:val="0"/>
              <w:bidi w:val="0"/>
              <w:adjustRightInd w:val="0"/>
              <w:snapToGrid w:val="0"/>
              <w:rPr>
                <w:rFonts w:hint="default"/>
                <w:lang w:val="en-US" w:eastAsia="zh-CN"/>
              </w:rPr>
            </w:pPr>
            <w:r>
              <w:rPr>
                <w:rFonts w:hint="eastAsia"/>
                <w:lang w:val="en-US" w:eastAsia="zh-CN"/>
              </w:rPr>
              <w:t>0.00043</w:t>
            </w:r>
          </w:p>
        </w:tc>
        <w:tc>
          <w:tcPr>
            <w:tcW w:w="347" w:type="pct"/>
            <w:vAlign w:val="center"/>
          </w:tcPr>
          <w:p>
            <w:pPr>
              <w:pStyle w:val="100"/>
              <w:widowControl w:val="0"/>
              <w:bidi w:val="0"/>
              <w:adjustRightInd w:val="0"/>
              <w:snapToGrid w:val="0"/>
              <w:rPr>
                <w:rFonts w:hint="default"/>
                <w:lang w:val="en-US" w:eastAsia="zh-CN"/>
              </w:rPr>
            </w:pPr>
            <w:r>
              <w:rPr>
                <w:rFonts w:hint="eastAsia"/>
                <w:lang w:val="en-US" w:eastAsia="zh-CN"/>
              </w:rPr>
              <w:t>0.0017</w:t>
            </w:r>
          </w:p>
        </w:tc>
        <w:tc>
          <w:tcPr>
            <w:tcW w:w="332" w:type="pct"/>
            <w:vAlign w:val="center"/>
          </w:tcPr>
          <w:p>
            <w:pPr>
              <w:pStyle w:val="100"/>
              <w:widowControl w:val="0"/>
              <w:bidi w:val="0"/>
              <w:adjustRightInd w:val="0"/>
              <w:snapToGrid w:val="0"/>
              <w:rPr>
                <w:rFonts w:hint="default"/>
                <w:lang w:val="en-US" w:eastAsia="zh-CN"/>
              </w:rPr>
            </w:pPr>
            <w:r>
              <w:rPr>
                <w:rFonts w:hint="eastAsia"/>
                <w:lang w:val="en-US" w:eastAsia="zh-CN"/>
              </w:rPr>
              <w:t>0.00021</w:t>
            </w:r>
          </w:p>
        </w:tc>
        <w:tc>
          <w:tcPr>
            <w:tcW w:w="447" w:type="pct"/>
            <w:vAlign w:val="center"/>
          </w:tcPr>
          <w:p>
            <w:pPr>
              <w:pStyle w:val="100"/>
              <w:widowControl w:val="0"/>
              <w:bidi w:val="0"/>
              <w:adjustRightInd w:val="0"/>
              <w:snapToGrid w:val="0"/>
              <w:rPr>
                <w:rFonts w:hint="default"/>
                <w:lang w:val="en-US" w:eastAsia="zh-CN"/>
              </w:rPr>
            </w:pPr>
            <w:r>
              <w:rPr>
                <w:rFonts w:hint="eastAsia"/>
                <w:lang w:val="en-US" w:eastAsia="zh-CN"/>
              </w:rPr>
              <w:t>0.003</w:t>
            </w:r>
          </w:p>
        </w:tc>
        <w:tc>
          <w:tcPr>
            <w:tcW w:w="468" w:type="pct"/>
            <w:vAlign w:val="center"/>
          </w:tcPr>
          <w:p>
            <w:pPr>
              <w:pStyle w:val="100"/>
              <w:widowControl w:val="0"/>
              <w:bidi w:val="0"/>
              <w:adjustRightInd w:val="0"/>
              <w:snapToGrid w:val="0"/>
              <w:rPr>
                <w:rFonts w:hint="default"/>
                <w:lang w:val="en-US" w:eastAsia="zh-CN"/>
              </w:rPr>
            </w:pPr>
            <w:r>
              <w:rPr>
                <w:rFonts w:hint="eastAsia"/>
                <w:lang w:val="en-US" w:eastAsia="zh-CN"/>
              </w:rPr>
              <w:t>0.00043</w:t>
            </w:r>
          </w:p>
        </w:tc>
        <w:tc>
          <w:tcPr>
            <w:tcW w:w="437" w:type="pct"/>
            <w:vAlign w:val="center"/>
          </w:tcPr>
          <w:p>
            <w:pPr>
              <w:pStyle w:val="100"/>
              <w:widowControl w:val="0"/>
              <w:bidi w:val="0"/>
              <w:adjustRightInd w:val="0"/>
              <w:snapToGrid w:val="0"/>
              <w:rPr>
                <w:rFonts w:hint="default"/>
                <w:lang w:val="en-US" w:eastAsia="zh-CN"/>
              </w:rPr>
            </w:pPr>
            <w:r>
              <w:rPr>
                <w:rFonts w:hint="eastAsia"/>
                <w:lang w:val="en-US" w:eastAsia="zh-CN"/>
              </w:rPr>
              <w:t>+0.0013</w:t>
            </w:r>
          </w:p>
        </w:tc>
        <w:tc>
          <w:tcPr>
            <w:tcW w:w="424" w:type="pct"/>
            <w:vAlign w:val="center"/>
          </w:tcPr>
          <w:p>
            <w:pPr>
              <w:pStyle w:val="100"/>
              <w:widowControl w:val="0"/>
              <w:bidi w:val="0"/>
              <w:adjustRightInd w:val="0"/>
              <w:snapToGrid w:val="0"/>
              <w:rPr>
                <w:rFonts w:hint="default"/>
                <w:lang w:val="en-US" w:eastAsia="zh-CN"/>
              </w:rPr>
            </w:pPr>
            <w:r>
              <w:rPr>
                <w:rFonts w:hint="eastAsia"/>
                <w:lang w:val="en-US" w:eastAsia="zh-CN"/>
              </w:rPr>
              <w:t>+0.00022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40" w:type="pct"/>
            <w:gridSpan w:val="2"/>
            <w:vAlign w:val="center"/>
          </w:tcPr>
          <w:p>
            <w:pPr>
              <w:pStyle w:val="100"/>
              <w:widowControl w:val="0"/>
              <w:bidi w:val="0"/>
              <w:adjustRightInd w:val="0"/>
              <w:snapToGrid w:val="0"/>
            </w:pPr>
            <w:r>
              <w:rPr>
                <w:rFonts w:hint="eastAsia"/>
              </w:rPr>
              <w:t>污染物</w:t>
            </w:r>
          </w:p>
        </w:tc>
        <w:tc>
          <w:tcPr>
            <w:tcW w:w="884" w:type="pct"/>
            <w:gridSpan w:val="2"/>
            <w:vAlign w:val="center"/>
          </w:tcPr>
          <w:p>
            <w:pPr>
              <w:pStyle w:val="100"/>
              <w:widowControl w:val="0"/>
              <w:bidi w:val="0"/>
              <w:adjustRightInd w:val="0"/>
              <w:snapToGrid w:val="0"/>
            </w:pPr>
            <w:r>
              <w:rPr>
                <w:rFonts w:hint="eastAsia"/>
                <w:lang w:val="en-US" w:eastAsia="zh-CN"/>
              </w:rPr>
              <w:t>原有工程</w:t>
            </w:r>
            <w:r>
              <w:rPr>
                <w:rFonts w:hint="eastAsia"/>
              </w:rPr>
              <w:t>排放量</w:t>
            </w:r>
          </w:p>
        </w:tc>
        <w:tc>
          <w:tcPr>
            <w:tcW w:w="1016" w:type="pct"/>
            <w:gridSpan w:val="2"/>
            <w:vAlign w:val="center"/>
          </w:tcPr>
          <w:p>
            <w:pPr>
              <w:pStyle w:val="100"/>
              <w:widowControl w:val="0"/>
              <w:bidi w:val="0"/>
              <w:adjustRightInd w:val="0"/>
              <w:snapToGrid w:val="0"/>
            </w:pPr>
            <w:r>
              <w:rPr>
                <w:rFonts w:hint="eastAsia"/>
                <w:lang w:val="en-US" w:eastAsia="zh-CN"/>
              </w:rPr>
              <w:t>拟建工程</w:t>
            </w:r>
            <w:r>
              <w:rPr>
                <w:rFonts w:hint="eastAsia"/>
              </w:rPr>
              <w:t>排放量</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搬迁工程完工后总排放量</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增减变化量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51" w:type="pct"/>
            <w:vMerge w:val="restart"/>
            <w:vAlign w:val="center"/>
          </w:tcPr>
          <w:p>
            <w:pPr>
              <w:pStyle w:val="100"/>
              <w:widowControl w:val="0"/>
              <w:bidi w:val="0"/>
              <w:adjustRightInd w:val="0"/>
              <w:snapToGrid w:val="0"/>
            </w:pPr>
            <w:r>
              <w:t>固废</w:t>
            </w:r>
          </w:p>
        </w:tc>
        <w:tc>
          <w:tcPr>
            <w:tcW w:w="389" w:type="pct"/>
            <w:vAlign w:val="center"/>
          </w:tcPr>
          <w:p>
            <w:pPr>
              <w:pStyle w:val="100"/>
              <w:widowControl w:val="0"/>
              <w:bidi w:val="0"/>
              <w:adjustRightInd w:val="0"/>
              <w:snapToGrid w:val="0"/>
            </w:pPr>
            <w:r>
              <w:rPr>
                <w:rFonts w:hint="eastAsia"/>
              </w:rPr>
              <w:t>PET边角料</w:t>
            </w:r>
          </w:p>
        </w:tc>
        <w:tc>
          <w:tcPr>
            <w:tcW w:w="884" w:type="pct"/>
            <w:gridSpan w:val="2"/>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1016" w:type="pct"/>
            <w:gridSpan w:val="2"/>
            <w:vAlign w:val="center"/>
          </w:tcPr>
          <w:p>
            <w:pPr>
              <w:pStyle w:val="100"/>
              <w:widowControl w:val="0"/>
              <w:bidi w:val="0"/>
              <w:adjustRightInd w:val="0"/>
              <w:snapToGrid w:val="0"/>
              <w:rPr>
                <w:rFonts w:hint="eastAsia"/>
                <w:lang w:val="en-US" w:eastAsia="zh-CN"/>
              </w:rPr>
            </w:pPr>
            <w:r>
              <w:rPr>
                <w:rFonts w:hint="eastAsia"/>
                <w:lang w:val="en-US" w:eastAsia="zh-CN"/>
              </w:rPr>
              <w:t>2</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2</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废油墨罐</w:t>
            </w:r>
          </w:p>
        </w:tc>
        <w:tc>
          <w:tcPr>
            <w:tcW w:w="884" w:type="pct"/>
            <w:gridSpan w:val="2"/>
            <w:vAlign w:val="center"/>
          </w:tcPr>
          <w:p>
            <w:pPr>
              <w:pStyle w:val="100"/>
              <w:widowControl w:val="0"/>
              <w:bidi w:val="0"/>
              <w:adjustRightInd w:val="0"/>
              <w:snapToGrid w:val="0"/>
            </w:pPr>
            <w:r>
              <w:rPr>
                <w:rFonts w:hint="eastAsia"/>
              </w:rPr>
              <w:t>0</w:t>
            </w:r>
          </w:p>
        </w:tc>
        <w:tc>
          <w:tcPr>
            <w:tcW w:w="1016" w:type="pct"/>
            <w:gridSpan w:val="2"/>
            <w:vAlign w:val="center"/>
          </w:tcPr>
          <w:p>
            <w:pPr>
              <w:pStyle w:val="100"/>
              <w:widowControl w:val="0"/>
              <w:bidi w:val="0"/>
              <w:adjustRightInd w:val="0"/>
              <w:snapToGrid w:val="0"/>
              <w:rPr>
                <w:rFonts w:hint="default"/>
                <w:lang w:val="en-US" w:eastAsia="zh-CN"/>
              </w:rPr>
            </w:pPr>
            <w:r>
              <w:rPr>
                <w:rFonts w:hint="eastAsia"/>
              </w:rPr>
              <w:t>0.5</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0.5</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4"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废胶水罐</w:t>
            </w:r>
          </w:p>
        </w:tc>
        <w:tc>
          <w:tcPr>
            <w:tcW w:w="884" w:type="pct"/>
            <w:gridSpan w:val="2"/>
            <w:vAlign w:val="center"/>
          </w:tcPr>
          <w:p>
            <w:pPr>
              <w:pStyle w:val="100"/>
              <w:widowControl w:val="0"/>
              <w:bidi w:val="0"/>
              <w:adjustRightInd w:val="0"/>
              <w:snapToGrid w:val="0"/>
            </w:pPr>
            <w:r>
              <w:rPr>
                <w:rFonts w:hint="eastAsia"/>
              </w:rPr>
              <w:t>0</w:t>
            </w:r>
          </w:p>
        </w:tc>
        <w:tc>
          <w:tcPr>
            <w:tcW w:w="1016" w:type="pct"/>
            <w:gridSpan w:val="2"/>
            <w:vAlign w:val="center"/>
          </w:tcPr>
          <w:p>
            <w:pPr>
              <w:pStyle w:val="100"/>
              <w:widowControl w:val="0"/>
              <w:bidi w:val="0"/>
              <w:adjustRightInd w:val="0"/>
              <w:snapToGrid w:val="0"/>
              <w:rPr>
                <w:rFonts w:hint="default"/>
                <w:lang w:val="en-US" w:eastAsia="zh-CN"/>
              </w:rPr>
            </w:pPr>
            <w:r>
              <w:rPr>
                <w:rFonts w:hint="eastAsia"/>
              </w:rPr>
              <w:t>0.5</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0.5</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废纸箱</w:t>
            </w:r>
          </w:p>
        </w:tc>
        <w:tc>
          <w:tcPr>
            <w:tcW w:w="884" w:type="pct"/>
            <w:gridSpan w:val="2"/>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1016" w:type="pct"/>
            <w:gridSpan w:val="2"/>
            <w:vAlign w:val="center"/>
          </w:tcPr>
          <w:p>
            <w:pPr>
              <w:pStyle w:val="100"/>
              <w:widowControl w:val="0"/>
              <w:bidi w:val="0"/>
              <w:adjustRightInd w:val="0"/>
              <w:snapToGrid w:val="0"/>
              <w:rPr>
                <w:rFonts w:hint="eastAsia"/>
                <w:lang w:val="en-US" w:eastAsia="zh-CN"/>
              </w:rPr>
            </w:pPr>
            <w:r>
              <w:rPr>
                <w:rFonts w:hint="eastAsia"/>
              </w:rPr>
              <w:t>3</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3</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废活性炭</w:t>
            </w:r>
          </w:p>
        </w:tc>
        <w:tc>
          <w:tcPr>
            <w:tcW w:w="884" w:type="pct"/>
            <w:gridSpan w:val="2"/>
            <w:vAlign w:val="center"/>
          </w:tcPr>
          <w:p>
            <w:pPr>
              <w:pStyle w:val="100"/>
              <w:widowControl w:val="0"/>
              <w:bidi w:val="0"/>
              <w:adjustRightInd w:val="0"/>
              <w:snapToGrid w:val="0"/>
            </w:pPr>
            <w:r>
              <w:rPr>
                <w:rFonts w:hint="eastAsia"/>
              </w:rPr>
              <w:t>0</w:t>
            </w:r>
          </w:p>
        </w:tc>
        <w:tc>
          <w:tcPr>
            <w:tcW w:w="1016" w:type="pct"/>
            <w:gridSpan w:val="2"/>
            <w:vAlign w:val="center"/>
          </w:tcPr>
          <w:p>
            <w:pPr>
              <w:pStyle w:val="100"/>
              <w:widowControl w:val="0"/>
              <w:bidi w:val="0"/>
              <w:adjustRightInd w:val="0"/>
              <w:snapToGrid w:val="0"/>
              <w:rPr>
                <w:rFonts w:hint="default"/>
                <w:lang w:val="en-US" w:eastAsia="zh-CN"/>
              </w:rPr>
            </w:pPr>
            <w:r>
              <w:rPr>
                <w:rFonts w:hint="eastAsia"/>
              </w:rPr>
              <w:t>0.5</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0.5</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pPr>
            <w:r>
              <w:rPr>
                <w:rFonts w:hint="eastAsia"/>
              </w:rPr>
              <w:t>不合格品</w:t>
            </w:r>
          </w:p>
        </w:tc>
        <w:tc>
          <w:tcPr>
            <w:tcW w:w="884" w:type="pct"/>
            <w:gridSpan w:val="2"/>
            <w:vAlign w:val="center"/>
          </w:tcPr>
          <w:p>
            <w:pPr>
              <w:pStyle w:val="100"/>
              <w:widowControl w:val="0"/>
              <w:bidi w:val="0"/>
              <w:adjustRightInd w:val="0"/>
              <w:snapToGrid w:val="0"/>
              <w:rPr>
                <w:rFonts w:hint="default"/>
                <w:lang w:val="en-US" w:eastAsia="zh-CN"/>
              </w:rPr>
            </w:pPr>
            <w:r>
              <w:rPr>
                <w:rFonts w:hint="eastAsia"/>
                <w:lang w:val="en-US" w:eastAsia="zh-CN"/>
              </w:rPr>
              <w:t>0.5</w:t>
            </w:r>
          </w:p>
        </w:tc>
        <w:tc>
          <w:tcPr>
            <w:tcW w:w="1016" w:type="pct"/>
            <w:gridSpan w:val="2"/>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1</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rPr>
                <w:rFonts w:hint="default"/>
                <w:lang w:val="en-US" w:eastAsia="zh-CN"/>
              </w:rPr>
            </w:pPr>
            <w:r>
              <w:rPr>
                <w:rFonts w:hint="eastAsia"/>
                <w:lang w:val="en-US" w:eastAsia="zh-CN"/>
              </w:rPr>
              <w:t>废抹布</w:t>
            </w:r>
          </w:p>
        </w:tc>
        <w:tc>
          <w:tcPr>
            <w:tcW w:w="884" w:type="pct"/>
            <w:gridSpan w:val="2"/>
            <w:vAlign w:val="center"/>
          </w:tcPr>
          <w:p>
            <w:pPr>
              <w:pStyle w:val="100"/>
              <w:widowControl w:val="0"/>
              <w:bidi w:val="0"/>
              <w:adjustRightInd w:val="0"/>
              <w:snapToGrid w:val="0"/>
              <w:rPr>
                <w:rFonts w:hint="eastAsia"/>
                <w:lang w:val="en-US" w:eastAsia="zh-CN"/>
              </w:rPr>
            </w:pPr>
            <w:r>
              <w:rPr>
                <w:rFonts w:hint="eastAsia"/>
                <w:lang w:val="en-US" w:eastAsia="zh-CN"/>
              </w:rPr>
              <w:t>0</w:t>
            </w:r>
          </w:p>
        </w:tc>
        <w:tc>
          <w:tcPr>
            <w:tcW w:w="1016" w:type="pct"/>
            <w:gridSpan w:val="2"/>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51" w:type="pct"/>
            <w:vMerge w:val="continue"/>
            <w:vAlign w:val="center"/>
          </w:tcPr>
          <w:p>
            <w:pPr>
              <w:pStyle w:val="100"/>
              <w:widowControl w:val="0"/>
              <w:bidi w:val="0"/>
              <w:adjustRightInd w:val="0"/>
              <w:snapToGrid w:val="0"/>
            </w:pPr>
          </w:p>
        </w:tc>
        <w:tc>
          <w:tcPr>
            <w:tcW w:w="389" w:type="pct"/>
            <w:vAlign w:val="center"/>
          </w:tcPr>
          <w:p>
            <w:pPr>
              <w:pStyle w:val="100"/>
              <w:widowControl w:val="0"/>
              <w:bidi w:val="0"/>
              <w:adjustRightInd w:val="0"/>
              <w:snapToGrid w:val="0"/>
              <w:rPr>
                <w:rFonts w:hint="eastAsia"/>
                <w:lang w:val="en-US" w:eastAsia="zh-CN"/>
              </w:rPr>
            </w:pPr>
            <w:r>
              <w:rPr>
                <w:rFonts w:hint="eastAsia"/>
              </w:rPr>
              <w:t>生活垃圾</w:t>
            </w:r>
          </w:p>
        </w:tc>
        <w:tc>
          <w:tcPr>
            <w:tcW w:w="884" w:type="pct"/>
            <w:gridSpan w:val="2"/>
            <w:vAlign w:val="center"/>
          </w:tcPr>
          <w:p>
            <w:pPr>
              <w:pStyle w:val="100"/>
              <w:widowControl w:val="0"/>
              <w:bidi w:val="0"/>
              <w:adjustRightInd w:val="0"/>
              <w:snapToGrid w:val="0"/>
              <w:rPr>
                <w:rFonts w:hint="default"/>
                <w:lang w:val="en-US" w:eastAsia="zh-CN"/>
              </w:rPr>
            </w:pPr>
            <w:r>
              <w:rPr>
                <w:rFonts w:hint="eastAsia"/>
                <w:lang w:val="en-US" w:eastAsia="zh-CN"/>
              </w:rPr>
              <w:t>8.4</w:t>
            </w:r>
          </w:p>
        </w:tc>
        <w:tc>
          <w:tcPr>
            <w:tcW w:w="1016" w:type="pct"/>
            <w:gridSpan w:val="2"/>
            <w:vAlign w:val="center"/>
          </w:tcPr>
          <w:p>
            <w:pPr>
              <w:pStyle w:val="100"/>
              <w:widowControl w:val="0"/>
              <w:bidi w:val="0"/>
              <w:adjustRightInd w:val="0"/>
              <w:snapToGrid w:val="0"/>
              <w:rPr>
                <w:rFonts w:hint="default"/>
                <w:lang w:val="en-US" w:eastAsia="zh-CN"/>
              </w:rPr>
            </w:pPr>
            <w:r>
              <w:rPr>
                <w:rFonts w:hint="eastAsia"/>
              </w:rPr>
              <w:t>8.4</w:t>
            </w:r>
          </w:p>
        </w:tc>
        <w:tc>
          <w:tcPr>
            <w:tcW w:w="1596" w:type="pct"/>
            <w:gridSpan w:val="4"/>
            <w:vAlign w:val="center"/>
          </w:tcPr>
          <w:p>
            <w:pPr>
              <w:pStyle w:val="100"/>
              <w:widowControl w:val="0"/>
              <w:bidi w:val="0"/>
              <w:adjustRightInd w:val="0"/>
              <w:snapToGrid w:val="0"/>
              <w:rPr>
                <w:rFonts w:hint="default"/>
                <w:lang w:val="en-US" w:eastAsia="zh-CN"/>
              </w:rPr>
            </w:pPr>
            <w:r>
              <w:rPr>
                <w:rFonts w:hint="eastAsia"/>
                <w:lang w:val="en-US" w:eastAsia="zh-CN"/>
              </w:rPr>
              <w:t>8.4</w:t>
            </w:r>
          </w:p>
        </w:tc>
        <w:tc>
          <w:tcPr>
            <w:tcW w:w="862" w:type="pct"/>
            <w:gridSpan w:val="2"/>
            <w:vAlign w:val="center"/>
          </w:tcPr>
          <w:p>
            <w:pPr>
              <w:pStyle w:val="100"/>
              <w:widowControl w:val="0"/>
              <w:bidi w:val="0"/>
              <w:adjustRightInd w:val="0"/>
              <w:snapToGrid w:val="0"/>
              <w:rPr>
                <w:rFonts w:hint="default"/>
                <w:lang w:val="en-US" w:eastAsia="zh-CN"/>
              </w:rPr>
            </w:pPr>
            <w:r>
              <w:rPr>
                <w:rFonts w:hint="eastAsia"/>
                <w:lang w:val="en-US" w:eastAsia="zh-CN"/>
              </w:rPr>
              <w:t>0</w:t>
            </w:r>
          </w:p>
        </w:tc>
      </w:tr>
    </w:tbl>
    <w:p>
      <w:pPr>
        <w:pStyle w:val="103"/>
        <w:ind w:left="0" w:leftChars="0" w:firstLine="0" w:firstLineChars="0"/>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tbl>
      <w:tblPr>
        <w:tblStyle w:val="87"/>
        <w:tblW w:w="8486"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93"/>
        <w:gridCol w:w="1276"/>
        <w:gridCol w:w="891"/>
        <w:gridCol w:w="123"/>
        <w:gridCol w:w="712"/>
        <w:gridCol w:w="892"/>
        <w:gridCol w:w="891"/>
        <w:gridCol w:w="617"/>
        <w:gridCol w:w="274"/>
        <w:gridCol w:w="713"/>
        <w:gridCol w:w="713"/>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91" w:type="dxa"/>
            <w:vAlign w:val="center"/>
          </w:tcPr>
          <w:p>
            <w:pPr>
              <w:pStyle w:val="100"/>
              <w:bidi w:val="0"/>
            </w:pPr>
            <w:r>
              <w:br w:type="page"/>
            </w:r>
            <w:r>
              <w:t>种类</w:t>
            </w:r>
          </w:p>
        </w:tc>
        <w:tc>
          <w:tcPr>
            <w:tcW w:w="893" w:type="dxa"/>
            <w:vAlign w:val="center"/>
          </w:tcPr>
          <w:p>
            <w:pPr>
              <w:pStyle w:val="100"/>
              <w:bidi w:val="0"/>
            </w:pPr>
            <w:r>
              <mc:AlternateContent>
                <mc:Choice Requires="wps">
                  <w:drawing>
                    <wp:anchor distT="0" distB="0" distL="114300" distR="114300" simplePos="0" relativeHeight="251663360" behindDoc="0" locked="0" layoutInCell="1" allowOverlap="1">
                      <wp:simplePos x="0" y="0"/>
                      <wp:positionH relativeFrom="column">
                        <wp:posOffset>-467995</wp:posOffset>
                      </wp:positionH>
                      <wp:positionV relativeFrom="page">
                        <wp:posOffset>-401320</wp:posOffset>
                      </wp:positionV>
                      <wp:extent cx="3886200" cy="380365"/>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3886200" cy="380365"/>
                              </a:xfrm>
                              <a:prstGeom prst="rect">
                                <a:avLst/>
                              </a:prstGeom>
                              <a:solidFill>
                                <a:srgbClr val="FFFFFF">
                                  <a:alpha val="0"/>
                                </a:srgbClr>
                              </a:solidFill>
                              <a:ln>
                                <a:noFill/>
                              </a:ln>
                            </wps:spPr>
                            <wps:txbx>
                              <w:txbxContent>
                                <w:p>
                                  <w:pPr>
                                    <w:pStyle w:val="345"/>
                                    <w:rPr>
                                      <w:lang w:eastAsia="zh-CN"/>
                                    </w:rPr>
                                  </w:pPr>
                                  <w:bookmarkStart w:id="100" w:name="_Toc307515820"/>
                                  <w:r>
                                    <w:rPr>
                                      <w:rFonts w:hint="eastAsia"/>
                                      <w:lang w:eastAsia="zh-CN"/>
                                    </w:rPr>
                                    <w:t>六、项目主要污染产生及预计排放情况</w:t>
                                  </w:r>
                                  <w:bookmarkEnd w:id="100"/>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85pt;margin-top:-31.6pt;height:29.95pt;width:306pt;mso-position-vertical-relative:page;z-index:251663360;mso-width-relative:page;mso-height-relative:page;" fillcolor="#FFFFFF" filled="t" stroked="f" coordsize="21600,21600" o:gfxdata="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qvwQNkAAAAKAQAADwAAAAAAAAABACAAAAAiAAAAZHJzL2Rv&#10;d25yZXYueG1sUEsBAhQAFAAAAAgAh07iQB7I1Gs5AgAAXQQAAA4AAAAAAAAAAQAgAAAAKAEAAGRy&#10;cy9lMm9Eb2MueG1sUEsFBgAAAAAGAAYAWQEAANMFAAAAAA==&#10;">
                      <v:fill on="t" opacity="0f" focussize="0,0"/>
                      <v:stroke on="f"/>
                      <v:imagedata o:title=""/>
                      <o:lock v:ext="edit" aspectratio="f"/>
                      <v:textbox>
                        <w:txbxContent>
                          <w:p>
                            <w:pPr>
                              <w:pStyle w:val="345"/>
                              <w:rPr>
                                <w:lang w:eastAsia="zh-CN"/>
                              </w:rPr>
                            </w:pPr>
                            <w:bookmarkStart w:id="100" w:name="_Toc307515820"/>
                            <w:r>
                              <w:rPr>
                                <w:rFonts w:hint="eastAsia"/>
                                <w:lang w:eastAsia="zh-CN"/>
                              </w:rPr>
                              <w:t>六、项目主要污染产生及预计排放情况</w:t>
                            </w:r>
                            <w:bookmarkEnd w:id="100"/>
                          </w:p>
                        </w:txbxContent>
                      </v:textbox>
                    </v:shape>
                  </w:pict>
                </mc:Fallback>
              </mc:AlternateContent>
            </w:r>
            <w:r>
              <w:t>排放源（编号）</w:t>
            </w:r>
          </w:p>
        </w:tc>
        <w:tc>
          <w:tcPr>
            <w:tcW w:w="1276" w:type="dxa"/>
            <w:vAlign w:val="center"/>
          </w:tcPr>
          <w:p>
            <w:pPr>
              <w:pStyle w:val="100"/>
              <w:bidi w:val="0"/>
            </w:pPr>
            <w:r>
              <w:t>污染物名称</w:t>
            </w:r>
          </w:p>
        </w:tc>
        <w:tc>
          <w:tcPr>
            <w:tcW w:w="1014" w:type="dxa"/>
            <w:gridSpan w:val="2"/>
            <w:vAlign w:val="center"/>
          </w:tcPr>
          <w:p>
            <w:pPr>
              <w:pStyle w:val="100"/>
              <w:bidi w:val="0"/>
            </w:pPr>
            <w:r>
              <w:t>产生浓度mg/m3</w:t>
            </w:r>
          </w:p>
        </w:tc>
        <w:tc>
          <w:tcPr>
            <w:tcW w:w="1604" w:type="dxa"/>
            <w:gridSpan w:val="2"/>
            <w:vAlign w:val="center"/>
          </w:tcPr>
          <w:p>
            <w:pPr>
              <w:pStyle w:val="100"/>
              <w:bidi w:val="0"/>
            </w:pPr>
            <w:r>
              <w:t>产生量t/a</w:t>
            </w:r>
          </w:p>
        </w:tc>
        <w:tc>
          <w:tcPr>
            <w:tcW w:w="891" w:type="dxa"/>
            <w:vAlign w:val="center"/>
          </w:tcPr>
          <w:p>
            <w:pPr>
              <w:pStyle w:val="100"/>
              <w:bidi w:val="0"/>
            </w:pPr>
            <w:r>
              <w:t>排放浓度mg/m3</w:t>
            </w:r>
          </w:p>
        </w:tc>
        <w:tc>
          <w:tcPr>
            <w:tcW w:w="891" w:type="dxa"/>
            <w:gridSpan w:val="2"/>
            <w:vAlign w:val="center"/>
          </w:tcPr>
          <w:p>
            <w:pPr>
              <w:pStyle w:val="100"/>
              <w:bidi w:val="0"/>
            </w:pPr>
            <w:r>
              <w:t>排放速率kg/h</w:t>
            </w:r>
          </w:p>
        </w:tc>
        <w:tc>
          <w:tcPr>
            <w:tcW w:w="713" w:type="dxa"/>
            <w:vAlign w:val="center"/>
          </w:tcPr>
          <w:p>
            <w:pPr>
              <w:pStyle w:val="100"/>
              <w:bidi w:val="0"/>
            </w:pPr>
            <w:r>
              <w:t>排放量t/a</w:t>
            </w:r>
          </w:p>
        </w:tc>
        <w:tc>
          <w:tcPr>
            <w:tcW w:w="713" w:type="dxa"/>
            <w:vAlign w:val="center"/>
          </w:tcPr>
          <w:p>
            <w:pPr>
              <w:pStyle w:val="100"/>
              <w:bidi w:val="0"/>
            </w:pPr>
            <w:r>
              <w:t>排放去向</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91" w:type="dxa"/>
            <w:vMerge w:val="restart"/>
            <w:vAlign w:val="center"/>
          </w:tcPr>
          <w:p>
            <w:pPr>
              <w:pStyle w:val="100"/>
              <w:bidi w:val="0"/>
            </w:pPr>
            <w:r>
              <w:t>大气污染物</w:t>
            </w:r>
          </w:p>
        </w:tc>
        <w:tc>
          <w:tcPr>
            <w:tcW w:w="893" w:type="dxa"/>
            <w:shd w:val="clear" w:color="auto" w:fill="auto"/>
            <w:vAlign w:val="center"/>
          </w:tcPr>
          <w:p>
            <w:pPr>
              <w:pStyle w:val="100"/>
              <w:bidi w:val="0"/>
            </w:pPr>
            <w:r>
              <w:rPr>
                <w:rFonts w:hint="eastAsia"/>
              </w:rPr>
              <w:t>DA001</w:t>
            </w:r>
          </w:p>
        </w:tc>
        <w:tc>
          <w:tcPr>
            <w:tcW w:w="1276" w:type="dxa"/>
            <w:vAlign w:val="center"/>
          </w:tcPr>
          <w:p>
            <w:pPr>
              <w:pStyle w:val="100"/>
              <w:bidi w:val="0"/>
            </w:pPr>
            <w:r>
              <w:rPr>
                <w:rFonts w:hint="eastAsia"/>
              </w:rPr>
              <w:t>非甲烷总烃</w:t>
            </w:r>
          </w:p>
        </w:tc>
        <w:tc>
          <w:tcPr>
            <w:tcW w:w="1014" w:type="dxa"/>
            <w:gridSpan w:val="2"/>
            <w:vAlign w:val="center"/>
          </w:tcPr>
          <w:p>
            <w:pPr>
              <w:pStyle w:val="100"/>
              <w:bidi w:val="0"/>
            </w:pPr>
            <w:r>
              <w:rPr>
                <w:rFonts w:hint="eastAsia"/>
              </w:rPr>
              <w:t>2.88</w:t>
            </w:r>
          </w:p>
        </w:tc>
        <w:tc>
          <w:tcPr>
            <w:tcW w:w="1604" w:type="dxa"/>
            <w:gridSpan w:val="2"/>
            <w:vAlign w:val="center"/>
          </w:tcPr>
          <w:p>
            <w:pPr>
              <w:pStyle w:val="100"/>
              <w:bidi w:val="0"/>
            </w:pPr>
            <w:r>
              <w:rPr>
                <w:rFonts w:hint="eastAsia"/>
              </w:rPr>
              <w:t>0.43</w:t>
            </w:r>
          </w:p>
        </w:tc>
        <w:tc>
          <w:tcPr>
            <w:tcW w:w="891" w:type="dxa"/>
            <w:vAlign w:val="center"/>
          </w:tcPr>
          <w:p>
            <w:pPr>
              <w:pStyle w:val="100"/>
              <w:bidi w:val="0"/>
            </w:pPr>
            <w:r>
              <w:rPr>
                <w:rFonts w:hint="eastAsia"/>
              </w:rPr>
              <w:t>0.54</w:t>
            </w:r>
          </w:p>
        </w:tc>
        <w:tc>
          <w:tcPr>
            <w:tcW w:w="891" w:type="dxa"/>
            <w:gridSpan w:val="2"/>
            <w:vAlign w:val="center"/>
          </w:tcPr>
          <w:p>
            <w:pPr>
              <w:pStyle w:val="100"/>
              <w:bidi w:val="0"/>
            </w:pPr>
            <w:r>
              <w:rPr>
                <w:rFonts w:hint="eastAsia"/>
              </w:rPr>
              <w:t>0.0136</w:t>
            </w:r>
          </w:p>
        </w:tc>
        <w:tc>
          <w:tcPr>
            <w:tcW w:w="713" w:type="dxa"/>
            <w:vAlign w:val="center"/>
          </w:tcPr>
          <w:p>
            <w:pPr>
              <w:pStyle w:val="100"/>
              <w:bidi w:val="0"/>
            </w:pPr>
            <w:r>
              <w:rPr>
                <w:rFonts w:hint="eastAsia"/>
              </w:rPr>
              <w:t>0.0815</w:t>
            </w:r>
          </w:p>
        </w:tc>
        <w:tc>
          <w:tcPr>
            <w:tcW w:w="713" w:type="dxa"/>
            <w:vAlign w:val="center"/>
          </w:tcPr>
          <w:p>
            <w:pPr>
              <w:pStyle w:val="100"/>
              <w:bidi w:val="0"/>
            </w:pPr>
            <w:r>
              <w:rPr>
                <w:rFonts w:hint="eastAsia"/>
              </w:rPr>
              <w:t>周围大气</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91" w:type="dxa"/>
            <w:vMerge w:val="continue"/>
            <w:vAlign w:val="center"/>
          </w:tcPr>
          <w:p>
            <w:pPr>
              <w:pStyle w:val="100"/>
              <w:bidi w:val="0"/>
            </w:pPr>
          </w:p>
        </w:tc>
        <w:tc>
          <w:tcPr>
            <w:tcW w:w="893" w:type="dxa"/>
            <w:vMerge w:val="restart"/>
            <w:vAlign w:val="center"/>
          </w:tcPr>
          <w:p>
            <w:pPr>
              <w:pStyle w:val="100"/>
              <w:bidi w:val="0"/>
            </w:pPr>
            <w:r>
              <w:t xml:space="preserve">无组织排放 </w:t>
            </w:r>
          </w:p>
        </w:tc>
        <w:tc>
          <w:tcPr>
            <w:tcW w:w="1276" w:type="dxa"/>
            <w:vAlign w:val="center"/>
          </w:tcPr>
          <w:p>
            <w:pPr>
              <w:pStyle w:val="100"/>
              <w:bidi w:val="0"/>
            </w:pPr>
          </w:p>
        </w:tc>
        <w:tc>
          <w:tcPr>
            <w:tcW w:w="2618" w:type="dxa"/>
            <w:gridSpan w:val="4"/>
            <w:vAlign w:val="center"/>
          </w:tcPr>
          <w:p>
            <w:pPr>
              <w:pStyle w:val="100"/>
              <w:bidi w:val="0"/>
            </w:pPr>
            <w:r>
              <w:t>产生量t/a</w:t>
            </w:r>
          </w:p>
        </w:tc>
        <w:tc>
          <w:tcPr>
            <w:tcW w:w="3208" w:type="dxa"/>
            <w:gridSpan w:val="5"/>
            <w:vAlign w:val="center"/>
          </w:tcPr>
          <w:p>
            <w:pPr>
              <w:pStyle w:val="100"/>
              <w:bidi w:val="0"/>
            </w:pPr>
            <w:r>
              <w:t>排放量t/a</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91" w:type="dxa"/>
            <w:vMerge w:val="continue"/>
            <w:vAlign w:val="center"/>
          </w:tcPr>
          <w:p>
            <w:pPr>
              <w:pStyle w:val="100"/>
              <w:bidi w:val="0"/>
            </w:pPr>
          </w:p>
        </w:tc>
        <w:tc>
          <w:tcPr>
            <w:tcW w:w="893" w:type="dxa"/>
            <w:vMerge w:val="continue"/>
            <w:vAlign w:val="center"/>
          </w:tcPr>
          <w:p>
            <w:pPr>
              <w:pStyle w:val="100"/>
              <w:bidi w:val="0"/>
            </w:pPr>
          </w:p>
        </w:tc>
        <w:tc>
          <w:tcPr>
            <w:tcW w:w="1276" w:type="dxa"/>
            <w:vAlign w:val="center"/>
          </w:tcPr>
          <w:p>
            <w:pPr>
              <w:pStyle w:val="100"/>
              <w:bidi w:val="0"/>
            </w:pPr>
            <w:r>
              <w:rPr>
                <w:rFonts w:hint="eastAsia"/>
              </w:rPr>
              <w:t>非甲烷总烃</w:t>
            </w:r>
          </w:p>
        </w:tc>
        <w:tc>
          <w:tcPr>
            <w:tcW w:w="2618" w:type="dxa"/>
            <w:gridSpan w:val="4"/>
            <w:vAlign w:val="center"/>
          </w:tcPr>
          <w:p>
            <w:pPr>
              <w:pStyle w:val="100"/>
              <w:bidi w:val="0"/>
            </w:pPr>
            <w:r>
              <w:rPr>
                <w:rFonts w:hint="eastAsia"/>
              </w:rPr>
              <w:t>0.0815</w:t>
            </w:r>
          </w:p>
        </w:tc>
        <w:tc>
          <w:tcPr>
            <w:tcW w:w="3208" w:type="dxa"/>
            <w:gridSpan w:val="5"/>
            <w:vAlign w:val="center"/>
          </w:tcPr>
          <w:p>
            <w:pPr>
              <w:pStyle w:val="100"/>
              <w:bidi w:val="0"/>
            </w:pPr>
            <w:r>
              <w:rPr>
                <w:rFonts w:hint="eastAsia"/>
              </w:rPr>
              <w:t>0.0815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1" w:type="dxa"/>
            <w:vMerge w:val="restart"/>
            <w:vAlign w:val="center"/>
          </w:tcPr>
          <w:p>
            <w:pPr>
              <w:pStyle w:val="100"/>
              <w:bidi w:val="0"/>
            </w:pPr>
            <w:bookmarkStart w:id="64" w:name="OLE_LINK2"/>
            <w:r>
              <w:t>水</w:t>
            </w:r>
          </w:p>
          <w:p>
            <w:pPr>
              <w:pStyle w:val="100"/>
              <w:bidi w:val="0"/>
            </w:pPr>
            <w:r>
              <w:t>污</w:t>
            </w:r>
          </w:p>
          <w:p>
            <w:pPr>
              <w:pStyle w:val="100"/>
              <w:bidi w:val="0"/>
            </w:pPr>
            <w:r>
              <w:t>染</w:t>
            </w:r>
          </w:p>
          <w:p>
            <w:pPr>
              <w:pStyle w:val="100"/>
              <w:bidi w:val="0"/>
            </w:pPr>
            <w:r>
              <w:t>物</w:t>
            </w:r>
          </w:p>
        </w:tc>
        <w:tc>
          <w:tcPr>
            <w:tcW w:w="893" w:type="dxa"/>
            <w:shd w:val="clear" w:color="auto" w:fill="auto"/>
            <w:vAlign w:val="center"/>
          </w:tcPr>
          <w:p>
            <w:pPr>
              <w:pStyle w:val="100"/>
              <w:bidi w:val="0"/>
            </w:pPr>
          </w:p>
        </w:tc>
        <w:tc>
          <w:tcPr>
            <w:tcW w:w="1276" w:type="dxa"/>
            <w:vAlign w:val="center"/>
          </w:tcPr>
          <w:p>
            <w:pPr>
              <w:pStyle w:val="100"/>
              <w:bidi w:val="0"/>
            </w:pPr>
            <w:r>
              <w:t>污染物名称</w:t>
            </w:r>
          </w:p>
        </w:tc>
        <w:tc>
          <w:tcPr>
            <w:tcW w:w="891" w:type="dxa"/>
            <w:vAlign w:val="center"/>
          </w:tcPr>
          <w:p>
            <w:pPr>
              <w:pStyle w:val="100"/>
              <w:bidi w:val="0"/>
            </w:pPr>
            <w:r>
              <w:t>废水量t/a</w:t>
            </w:r>
          </w:p>
        </w:tc>
        <w:tc>
          <w:tcPr>
            <w:tcW w:w="835" w:type="dxa"/>
            <w:gridSpan w:val="2"/>
            <w:vAlign w:val="center"/>
          </w:tcPr>
          <w:p>
            <w:pPr>
              <w:pStyle w:val="100"/>
              <w:bidi w:val="0"/>
            </w:pPr>
            <w:r>
              <w:t>产生浓mg/L</w:t>
            </w:r>
          </w:p>
        </w:tc>
        <w:tc>
          <w:tcPr>
            <w:tcW w:w="892" w:type="dxa"/>
            <w:vAlign w:val="center"/>
          </w:tcPr>
          <w:p>
            <w:pPr>
              <w:pStyle w:val="100"/>
              <w:bidi w:val="0"/>
            </w:pPr>
            <w:r>
              <w:t>产生量t/a</w:t>
            </w:r>
          </w:p>
        </w:tc>
        <w:tc>
          <w:tcPr>
            <w:tcW w:w="891" w:type="dxa"/>
            <w:vAlign w:val="center"/>
          </w:tcPr>
          <w:p>
            <w:pPr>
              <w:pStyle w:val="100"/>
              <w:bidi w:val="0"/>
            </w:pPr>
            <w:r>
              <w:t>排放浓度mg/L</w:t>
            </w:r>
          </w:p>
        </w:tc>
        <w:tc>
          <w:tcPr>
            <w:tcW w:w="891" w:type="dxa"/>
            <w:gridSpan w:val="2"/>
            <w:vAlign w:val="center"/>
          </w:tcPr>
          <w:p>
            <w:pPr>
              <w:pStyle w:val="100"/>
              <w:bidi w:val="0"/>
            </w:pPr>
            <w:r>
              <w:t>排放量t/a</w:t>
            </w:r>
          </w:p>
        </w:tc>
        <w:tc>
          <w:tcPr>
            <w:tcW w:w="1426" w:type="dxa"/>
            <w:gridSpan w:val="2"/>
            <w:vAlign w:val="center"/>
          </w:tcPr>
          <w:p>
            <w:pPr>
              <w:pStyle w:val="100"/>
              <w:bidi w:val="0"/>
            </w:pPr>
            <w:r>
              <w:t>排放去向</w:t>
            </w:r>
          </w:p>
        </w:tc>
      </w:tr>
      <w:bookmarkEnd w:id="64"/>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1" w:type="dxa"/>
            <w:vMerge w:val="continue"/>
            <w:vAlign w:val="center"/>
          </w:tcPr>
          <w:p>
            <w:pPr>
              <w:pStyle w:val="100"/>
              <w:bidi w:val="0"/>
            </w:pPr>
          </w:p>
        </w:tc>
        <w:tc>
          <w:tcPr>
            <w:tcW w:w="893" w:type="dxa"/>
            <w:vMerge w:val="restart"/>
            <w:vAlign w:val="center"/>
          </w:tcPr>
          <w:p>
            <w:pPr>
              <w:pStyle w:val="100"/>
              <w:bidi w:val="0"/>
            </w:pPr>
            <w:r>
              <w:t>生活污水</w:t>
            </w:r>
          </w:p>
        </w:tc>
        <w:tc>
          <w:tcPr>
            <w:tcW w:w="1276" w:type="dxa"/>
            <w:vAlign w:val="center"/>
          </w:tcPr>
          <w:p>
            <w:pPr>
              <w:pStyle w:val="100"/>
              <w:bidi w:val="0"/>
            </w:pPr>
            <w:r>
              <w:t>COD</w:t>
            </w:r>
          </w:p>
        </w:tc>
        <w:tc>
          <w:tcPr>
            <w:tcW w:w="891" w:type="dxa"/>
            <w:vMerge w:val="restart"/>
            <w:vAlign w:val="center"/>
          </w:tcPr>
          <w:p>
            <w:pPr>
              <w:pStyle w:val="100"/>
              <w:bidi w:val="0"/>
            </w:pPr>
            <w:r>
              <w:rPr>
                <w:rFonts w:hint="eastAsia"/>
              </w:rPr>
              <w:t>856.8</w:t>
            </w:r>
          </w:p>
        </w:tc>
        <w:tc>
          <w:tcPr>
            <w:tcW w:w="835" w:type="dxa"/>
            <w:gridSpan w:val="2"/>
            <w:shd w:val="clear" w:color="auto" w:fill="auto"/>
            <w:vAlign w:val="center"/>
          </w:tcPr>
          <w:p>
            <w:pPr>
              <w:pStyle w:val="100"/>
              <w:bidi w:val="0"/>
            </w:pPr>
            <w:r>
              <w:rPr>
                <w:rFonts w:hint="eastAsia"/>
              </w:rPr>
              <w:t>350</w:t>
            </w:r>
          </w:p>
        </w:tc>
        <w:tc>
          <w:tcPr>
            <w:tcW w:w="892" w:type="dxa"/>
            <w:shd w:val="clear" w:color="auto" w:fill="auto"/>
            <w:vAlign w:val="center"/>
          </w:tcPr>
          <w:p>
            <w:pPr>
              <w:pStyle w:val="100"/>
              <w:bidi w:val="0"/>
            </w:pPr>
            <w:r>
              <w:rPr>
                <w:rFonts w:hint="eastAsia"/>
              </w:rPr>
              <w:t>0.3</w:t>
            </w:r>
          </w:p>
        </w:tc>
        <w:tc>
          <w:tcPr>
            <w:tcW w:w="891" w:type="dxa"/>
            <w:shd w:val="clear" w:color="auto" w:fill="auto"/>
            <w:vAlign w:val="center"/>
          </w:tcPr>
          <w:p>
            <w:pPr>
              <w:pStyle w:val="100"/>
              <w:bidi w:val="0"/>
            </w:pPr>
            <w:r>
              <w:rPr>
                <w:rFonts w:hint="eastAsia"/>
              </w:rPr>
              <w:t>50</w:t>
            </w:r>
          </w:p>
        </w:tc>
        <w:tc>
          <w:tcPr>
            <w:tcW w:w="891" w:type="dxa"/>
            <w:gridSpan w:val="2"/>
            <w:shd w:val="clear" w:color="auto" w:fill="auto"/>
            <w:vAlign w:val="center"/>
          </w:tcPr>
          <w:p>
            <w:pPr>
              <w:pStyle w:val="100"/>
              <w:bidi w:val="0"/>
            </w:pPr>
            <w:r>
              <w:rPr>
                <w:rFonts w:hint="eastAsia"/>
              </w:rPr>
              <w:t>0.043</w:t>
            </w:r>
          </w:p>
        </w:tc>
        <w:tc>
          <w:tcPr>
            <w:tcW w:w="1426" w:type="dxa"/>
            <w:gridSpan w:val="2"/>
            <w:vMerge w:val="restart"/>
            <w:vAlign w:val="center"/>
          </w:tcPr>
          <w:p>
            <w:pPr>
              <w:pStyle w:val="100"/>
              <w:bidi w:val="0"/>
            </w:pPr>
            <w:r>
              <w:rPr>
                <w:rFonts w:hint="eastAsia"/>
              </w:rPr>
              <w:t>吴江经济技术开发区运东污水处理厂，尾水排放至吴淞江</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91" w:type="dxa"/>
            <w:vMerge w:val="continue"/>
            <w:vAlign w:val="center"/>
          </w:tcPr>
          <w:p>
            <w:pPr>
              <w:pStyle w:val="100"/>
              <w:bidi w:val="0"/>
            </w:pPr>
          </w:p>
        </w:tc>
        <w:tc>
          <w:tcPr>
            <w:tcW w:w="893" w:type="dxa"/>
            <w:vMerge w:val="continue"/>
            <w:vAlign w:val="center"/>
          </w:tcPr>
          <w:p>
            <w:pPr>
              <w:pStyle w:val="100"/>
              <w:bidi w:val="0"/>
            </w:pPr>
          </w:p>
        </w:tc>
        <w:tc>
          <w:tcPr>
            <w:tcW w:w="1276" w:type="dxa"/>
            <w:vAlign w:val="center"/>
          </w:tcPr>
          <w:p>
            <w:pPr>
              <w:pStyle w:val="100"/>
              <w:bidi w:val="0"/>
            </w:pPr>
            <w:r>
              <w:t>SS</w:t>
            </w:r>
          </w:p>
        </w:tc>
        <w:tc>
          <w:tcPr>
            <w:tcW w:w="891" w:type="dxa"/>
            <w:vMerge w:val="continue"/>
            <w:vAlign w:val="center"/>
          </w:tcPr>
          <w:p>
            <w:pPr>
              <w:pStyle w:val="100"/>
              <w:bidi w:val="0"/>
            </w:pPr>
          </w:p>
        </w:tc>
        <w:tc>
          <w:tcPr>
            <w:tcW w:w="835" w:type="dxa"/>
            <w:gridSpan w:val="2"/>
            <w:shd w:val="clear" w:color="auto" w:fill="auto"/>
            <w:vAlign w:val="center"/>
          </w:tcPr>
          <w:p>
            <w:pPr>
              <w:pStyle w:val="100"/>
              <w:bidi w:val="0"/>
            </w:pPr>
            <w:r>
              <w:rPr>
                <w:rFonts w:hint="eastAsia"/>
              </w:rPr>
              <w:t>220</w:t>
            </w:r>
          </w:p>
        </w:tc>
        <w:tc>
          <w:tcPr>
            <w:tcW w:w="892" w:type="dxa"/>
            <w:shd w:val="clear" w:color="auto" w:fill="auto"/>
            <w:vAlign w:val="center"/>
          </w:tcPr>
          <w:p>
            <w:pPr>
              <w:pStyle w:val="100"/>
              <w:bidi w:val="0"/>
            </w:pPr>
            <w:r>
              <w:rPr>
                <w:rFonts w:hint="eastAsia"/>
              </w:rPr>
              <w:t>0.19</w:t>
            </w:r>
          </w:p>
        </w:tc>
        <w:tc>
          <w:tcPr>
            <w:tcW w:w="891" w:type="dxa"/>
            <w:shd w:val="clear" w:color="auto" w:fill="auto"/>
            <w:vAlign w:val="center"/>
          </w:tcPr>
          <w:p>
            <w:pPr>
              <w:pStyle w:val="100"/>
              <w:bidi w:val="0"/>
            </w:pPr>
            <w:r>
              <w:rPr>
                <w:rFonts w:hint="eastAsia"/>
              </w:rPr>
              <w:t>10</w:t>
            </w:r>
          </w:p>
        </w:tc>
        <w:tc>
          <w:tcPr>
            <w:tcW w:w="891" w:type="dxa"/>
            <w:gridSpan w:val="2"/>
            <w:shd w:val="clear" w:color="auto" w:fill="auto"/>
            <w:vAlign w:val="center"/>
          </w:tcPr>
          <w:p>
            <w:pPr>
              <w:pStyle w:val="100"/>
              <w:bidi w:val="0"/>
            </w:pPr>
            <w:r>
              <w:rPr>
                <w:rFonts w:hint="eastAsia"/>
              </w:rPr>
              <w:t>0.009</w:t>
            </w:r>
          </w:p>
        </w:tc>
        <w:tc>
          <w:tcPr>
            <w:tcW w:w="1426" w:type="dxa"/>
            <w:gridSpan w:val="2"/>
            <w:vMerge w:val="continue"/>
            <w:vAlign w:val="center"/>
          </w:tcPr>
          <w:p>
            <w:pPr>
              <w:pStyle w:val="100"/>
              <w:bidi w:val="0"/>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91" w:type="dxa"/>
            <w:vMerge w:val="continue"/>
            <w:vAlign w:val="center"/>
          </w:tcPr>
          <w:p>
            <w:pPr>
              <w:pStyle w:val="100"/>
              <w:bidi w:val="0"/>
            </w:pPr>
          </w:p>
        </w:tc>
        <w:tc>
          <w:tcPr>
            <w:tcW w:w="893" w:type="dxa"/>
            <w:vMerge w:val="continue"/>
            <w:vAlign w:val="center"/>
          </w:tcPr>
          <w:p>
            <w:pPr>
              <w:pStyle w:val="100"/>
              <w:bidi w:val="0"/>
            </w:pPr>
          </w:p>
        </w:tc>
        <w:tc>
          <w:tcPr>
            <w:tcW w:w="1276" w:type="dxa"/>
            <w:vAlign w:val="center"/>
          </w:tcPr>
          <w:p>
            <w:pPr>
              <w:pStyle w:val="100"/>
              <w:bidi w:val="0"/>
            </w:pPr>
            <w:r>
              <w:t>氨氮</w:t>
            </w:r>
          </w:p>
        </w:tc>
        <w:tc>
          <w:tcPr>
            <w:tcW w:w="891" w:type="dxa"/>
            <w:vMerge w:val="continue"/>
            <w:vAlign w:val="center"/>
          </w:tcPr>
          <w:p>
            <w:pPr>
              <w:pStyle w:val="100"/>
              <w:bidi w:val="0"/>
            </w:pPr>
          </w:p>
        </w:tc>
        <w:tc>
          <w:tcPr>
            <w:tcW w:w="835" w:type="dxa"/>
            <w:gridSpan w:val="2"/>
            <w:shd w:val="clear" w:color="auto" w:fill="auto"/>
            <w:vAlign w:val="center"/>
          </w:tcPr>
          <w:p>
            <w:pPr>
              <w:pStyle w:val="100"/>
              <w:bidi w:val="0"/>
            </w:pPr>
            <w:r>
              <w:rPr>
                <w:rFonts w:hint="eastAsia"/>
              </w:rPr>
              <w:t>30</w:t>
            </w:r>
          </w:p>
        </w:tc>
        <w:tc>
          <w:tcPr>
            <w:tcW w:w="892" w:type="dxa"/>
            <w:shd w:val="clear" w:color="auto" w:fill="auto"/>
            <w:vAlign w:val="center"/>
          </w:tcPr>
          <w:p>
            <w:pPr>
              <w:pStyle w:val="100"/>
              <w:bidi w:val="0"/>
            </w:pPr>
            <w:r>
              <w:rPr>
                <w:rFonts w:hint="eastAsia"/>
              </w:rPr>
              <w:t>0.026</w:t>
            </w:r>
          </w:p>
        </w:tc>
        <w:tc>
          <w:tcPr>
            <w:tcW w:w="891" w:type="dxa"/>
            <w:shd w:val="clear" w:color="auto" w:fill="auto"/>
            <w:vAlign w:val="center"/>
          </w:tcPr>
          <w:p>
            <w:pPr>
              <w:pStyle w:val="100"/>
              <w:bidi w:val="0"/>
            </w:pPr>
            <w:r>
              <w:rPr>
                <w:rFonts w:hint="eastAsia"/>
              </w:rPr>
              <w:t>5</w:t>
            </w:r>
          </w:p>
        </w:tc>
        <w:tc>
          <w:tcPr>
            <w:tcW w:w="891" w:type="dxa"/>
            <w:gridSpan w:val="2"/>
            <w:shd w:val="clear" w:color="auto" w:fill="auto"/>
            <w:vAlign w:val="center"/>
          </w:tcPr>
          <w:p>
            <w:pPr>
              <w:pStyle w:val="100"/>
              <w:bidi w:val="0"/>
            </w:pPr>
            <w:r>
              <w:rPr>
                <w:rFonts w:hint="eastAsia"/>
              </w:rPr>
              <w:t>0.004</w:t>
            </w:r>
          </w:p>
        </w:tc>
        <w:tc>
          <w:tcPr>
            <w:tcW w:w="1426" w:type="dxa"/>
            <w:gridSpan w:val="2"/>
            <w:vMerge w:val="continue"/>
            <w:vAlign w:val="center"/>
          </w:tcPr>
          <w:p>
            <w:pPr>
              <w:pStyle w:val="100"/>
              <w:bidi w:val="0"/>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491" w:type="dxa"/>
            <w:vMerge w:val="continue"/>
            <w:vAlign w:val="center"/>
          </w:tcPr>
          <w:p>
            <w:pPr>
              <w:pStyle w:val="100"/>
              <w:bidi w:val="0"/>
            </w:pPr>
          </w:p>
        </w:tc>
        <w:tc>
          <w:tcPr>
            <w:tcW w:w="893" w:type="dxa"/>
            <w:vMerge w:val="continue"/>
            <w:vAlign w:val="center"/>
          </w:tcPr>
          <w:p>
            <w:pPr>
              <w:pStyle w:val="100"/>
              <w:bidi w:val="0"/>
            </w:pPr>
          </w:p>
        </w:tc>
        <w:tc>
          <w:tcPr>
            <w:tcW w:w="1276" w:type="dxa"/>
            <w:vAlign w:val="center"/>
          </w:tcPr>
          <w:p>
            <w:pPr>
              <w:pStyle w:val="100"/>
              <w:bidi w:val="0"/>
            </w:pPr>
            <w:r>
              <w:t>总氮</w:t>
            </w:r>
          </w:p>
        </w:tc>
        <w:tc>
          <w:tcPr>
            <w:tcW w:w="891" w:type="dxa"/>
            <w:vMerge w:val="continue"/>
            <w:vAlign w:val="center"/>
          </w:tcPr>
          <w:p>
            <w:pPr>
              <w:pStyle w:val="100"/>
              <w:bidi w:val="0"/>
            </w:pPr>
          </w:p>
        </w:tc>
        <w:tc>
          <w:tcPr>
            <w:tcW w:w="835" w:type="dxa"/>
            <w:gridSpan w:val="2"/>
            <w:shd w:val="clear" w:color="auto" w:fill="auto"/>
            <w:vAlign w:val="center"/>
          </w:tcPr>
          <w:p>
            <w:pPr>
              <w:pStyle w:val="100"/>
              <w:bidi w:val="0"/>
            </w:pPr>
            <w:r>
              <w:rPr>
                <w:rFonts w:hint="eastAsia"/>
              </w:rPr>
              <w:t>40</w:t>
            </w:r>
          </w:p>
        </w:tc>
        <w:tc>
          <w:tcPr>
            <w:tcW w:w="892" w:type="dxa"/>
            <w:shd w:val="clear" w:color="auto" w:fill="auto"/>
            <w:vAlign w:val="center"/>
          </w:tcPr>
          <w:p>
            <w:pPr>
              <w:pStyle w:val="100"/>
              <w:bidi w:val="0"/>
            </w:pPr>
            <w:r>
              <w:rPr>
                <w:rFonts w:hint="eastAsia"/>
              </w:rPr>
              <w:t>0.034</w:t>
            </w:r>
          </w:p>
        </w:tc>
        <w:tc>
          <w:tcPr>
            <w:tcW w:w="891" w:type="dxa"/>
            <w:shd w:val="clear" w:color="auto" w:fill="auto"/>
            <w:vAlign w:val="center"/>
          </w:tcPr>
          <w:p>
            <w:pPr>
              <w:pStyle w:val="100"/>
              <w:bidi w:val="0"/>
            </w:pPr>
            <w:r>
              <w:rPr>
                <w:rFonts w:hint="eastAsia"/>
              </w:rPr>
              <w:t>15</w:t>
            </w:r>
          </w:p>
        </w:tc>
        <w:tc>
          <w:tcPr>
            <w:tcW w:w="891" w:type="dxa"/>
            <w:gridSpan w:val="2"/>
            <w:shd w:val="clear" w:color="auto" w:fill="auto"/>
            <w:vAlign w:val="center"/>
          </w:tcPr>
          <w:p>
            <w:pPr>
              <w:pStyle w:val="100"/>
              <w:bidi w:val="0"/>
            </w:pPr>
            <w:r>
              <w:rPr>
                <w:rFonts w:hint="eastAsia"/>
              </w:rPr>
              <w:t>0.013</w:t>
            </w:r>
          </w:p>
        </w:tc>
        <w:tc>
          <w:tcPr>
            <w:tcW w:w="1426" w:type="dxa"/>
            <w:gridSpan w:val="2"/>
            <w:vMerge w:val="continue"/>
            <w:vAlign w:val="center"/>
          </w:tcPr>
          <w:p>
            <w:pPr>
              <w:pStyle w:val="100"/>
              <w:bidi w:val="0"/>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491" w:type="dxa"/>
            <w:vMerge w:val="continue"/>
            <w:vAlign w:val="center"/>
          </w:tcPr>
          <w:p>
            <w:pPr>
              <w:pStyle w:val="100"/>
              <w:bidi w:val="0"/>
            </w:pPr>
          </w:p>
        </w:tc>
        <w:tc>
          <w:tcPr>
            <w:tcW w:w="893" w:type="dxa"/>
            <w:vMerge w:val="continue"/>
            <w:vAlign w:val="center"/>
          </w:tcPr>
          <w:p>
            <w:pPr>
              <w:pStyle w:val="100"/>
              <w:bidi w:val="0"/>
            </w:pPr>
          </w:p>
        </w:tc>
        <w:tc>
          <w:tcPr>
            <w:tcW w:w="1276" w:type="dxa"/>
            <w:vAlign w:val="center"/>
          </w:tcPr>
          <w:p>
            <w:pPr>
              <w:pStyle w:val="100"/>
              <w:bidi w:val="0"/>
            </w:pPr>
            <w:r>
              <w:t>总磷</w:t>
            </w:r>
          </w:p>
        </w:tc>
        <w:tc>
          <w:tcPr>
            <w:tcW w:w="891" w:type="dxa"/>
            <w:vMerge w:val="continue"/>
            <w:vAlign w:val="center"/>
          </w:tcPr>
          <w:p>
            <w:pPr>
              <w:pStyle w:val="100"/>
              <w:bidi w:val="0"/>
            </w:pPr>
          </w:p>
        </w:tc>
        <w:tc>
          <w:tcPr>
            <w:tcW w:w="835" w:type="dxa"/>
            <w:gridSpan w:val="2"/>
            <w:shd w:val="clear" w:color="auto" w:fill="auto"/>
            <w:vAlign w:val="center"/>
          </w:tcPr>
          <w:p>
            <w:pPr>
              <w:pStyle w:val="100"/>
              <w:bidi w:val="0"/>
            </w:pPr>
            <w:r>
              <w:rPr>
                <w:rFonts w:hint="eastAsia"/>
              </w:rPr>
              <w:t>4</w:t>
            </w:r>
          </w:p>
        </w:tc>
        <w:tc>
          <w:tcPr>
            <w:tcW w:w="892" w:type="dxa"/>
            <w:shd w:val="clear" w:color="auto" w:fill="auto"/>
            <w:vAlign w:val="center"/>
          </w:tcPr>
          <w:p>
            <w:pPr>
              <w:pStyle w:val="100"/>
              <w:bidi w:val="0"/>
            </w:pPr>
            <w:r>
              <w:rPr>
                <w:rFonts w:hint="eastAsia"/>
              </w:rPr>
              <w:t>0.003</w:t>
            </w:r>
          </w:p>
        </w:tc>
        <w:tc>
          <w:tcPr>
            <w:tcW w:w="891" w:type="dxa"/>
            <w:shd w:val="clear" w:color="auto" w:fill="auto"/>
            <w:vAlign w:val="center"/>
          </w:tcPr>
          <w:p>
            <w:pPr>
              <w:pStyle w:val="100"/>
              <w:bidi w:val="0"/>
            </w:pPr>
            <w:r>
              <w:rPr>
                <w:rFonts w:hint="eastAsia"/>
              </w:rPr>
              <w:t>0.5</w:t>
            </w:r>
          </w:p>
        </w:tc>
        <w:tc>
          <w:tcPr>
            <w:tcW w:w="891" w:type="dxa"/>
            <w:gridSpan w:val="2"/>
            <w:shd w:val="clear" w:color="auto" w:fill="auto"/>
            <w:vAlign w:val="center"/>
          </w:tcPr>
          <w:p>
            <w:pPr>
              <w:pStyle w:val="100"/>
              <w:bidi w:val="0"/>
            </w:pPr>
            <w:r>
              <w:rPr>
                <w:rFonts w:hint="eastAsia"/>
              </w:rPr>
              <w:t>0.0004</w:t>
            </w:r>
          </w:p>
        </w:tc>
        <w:tc>
          <w:tcPr>
            <w:tcW w:w="1426" w:type="dxa"/>
            <w:gridSpan w:val="2"/>
            <w:vMerge w:val="continue"/>
            <w:vAlign w:val="center"/>
          </w:tcPr>
          <w:p>
            <w:pPr>
              <w:pStyle w:val="100"/>
              <w:bidi w:val="0"/>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91" w:type="dxa"/>
            <w:vMerge w:val="restart"/>
            <w:vAlign w:val="center"/>
          </w:tcPr>
          <w:p>
            <w:pPr>
              <w:pStyle w:val="100"/>
              <w:bidi w:val="0"/>
            </w:pPr>
            <w:r>
              <w:t>固</w:t>
            </w:r>
          </w:p>
          <w:p>
            <w:pPr>
              <w:pStyle w:val="100"/>
              <w:bidi w:val="0"/>
            </w:pPr>
            <w:r>
              <w:t>体</w:t>
            </w:r>
          </w:p>
          <w:p>
            <w:pPr>
              <w:pStyle w:val="100"/>
              <w:bidi w:val="0"/>
            </w:pPr>
            <w:r>
              <w:t>废</w:t>
            </w:r>
          </w:p>
          <w:p>
            <w:pPr>
              <w:pStyle w:val="100"/>
              <w:bidi w:val="0"/>
            </w:pPr>
            <w:r>
              <w:t>物</w:t>
            </w:r>
          </w:p>
        </w:tc>
        <w:tc>
          <w:tcPr>
            <w:tcW w:w="893" w:type="dxa"/>
            <w:vAlign w:val="center"/>
          </w:tcPr>
          <w:p>
            <w:pPr>
              <w:pStyle w:val="100"/>
              <w:bidi w:val="0"/>
            </w:pPr>
          </w:p>
        </w:tc>
        <w:tc>
          <w:tcPr>
            <w:tcW w:w="1276" w:type="dxa"/>
            <w:vAlign w:val="center"/>
          </w:tcPr>
          <w:p>
            <w:pPr>
              <w:pStyle w:val="100"/>
              <w:bidi w:val="0"/>
            </w:pPr>
            <w:r>
              <w:t>产生量t/a</w:t>
            </w:r>
          </w:p>
        </w:tc>
        <w:tc>
          <w:tcPr>
            <w:tcW w:w="2618" w:type="dxa"/>
            <w:gridSpan w:val="4"/>
            <w:vAlign w:val="center"/>
          </w:tcPr>
          <w:p>
            <w:pPr>
              <w:pStyle w:val="100"/>
              <w:bidi w:val="0"/>
            </w:pPr>
            <w:r>
              <w:t>处理处置量t/a</w:t>
            </w:r>
          </w:p>
        </w:tc>
        <w:tc>
          <w:tcPr>
            <w:tcW w:w="891" w:type="dxa"/>
            <w:vAlign w:val="center"/>
          </w:tcPr>
          <w:p>
            <w:pPr>
              <w:pStyle w:val="100"/>
              <w:bidi w:val="0"/>
            </w:pPr>
            <w:r>
              <w:t>综合利用量t/a</w:t>
            </w:r>
          </w:p>
        </w:tc>
        <w:tc>
          <w:tcPr>
            <w:tcW w:w="891" w:type="dxa"/>
            <w:gridSpan w:val="2"/>
            <w:vAlign w:val="center"/>
          </w:tcPr>
          <w:p>
            <w:pPr>
              <w:pStyle w:val="100"/>
              <w:bidi w:val="0"/>
            </w:pPr>
            <w:r>
              <w:t>外排量t/a</w:t>
            </w:r>
          </w:p>
        </w:tc>
        <w:tc>
          <w:tcPr>
            <w:tcW w:w="1426" w:type="dxa"/>
            <w:gridSpan w:val="2"/>
            <w:vAlign w:val="center"/>
          </w:tcPr>
          <w:p>
            <w:pPr>
              <w:pStyle w:val="100"/>
              <w:bidi w:val="0"/>
            </w:pPr>
            <w: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91" w:type="dxa"/>
            <w:vMerge w:val="continue"/>
            <w:vAlign w:val="center"/>
          </w:tcPr>
          <w:p>
            <w:pPr>
              <w:pStyle w:val="100"/>
              <w:bidi w:val="0"/>
            </w:pPr>
          </w:p>
        </w:tc>
        <w:tc>
          <w:tcPr>
            <w:tcW w:w="893" w:type="dxa"/>
            <w:vAlign w:val="center"/>
          </w:tcPr>
          <w:p>
            <w:pPr>
              <w:pStyle w:val="100"/>
              <w:bidi w:val="0"/>
            </w:pPr>
            <w:r>
              <w:rPr>
                <w:rFonts w:hint="eastAsia"/>
              </w:rPr>
              <w:t>PET边胶料</w:t>
            </w:r>
          </w:p>
        </w:tc>
        <w:tc>
          <w:tcPr>
            <w:tcW w:w="1276" w:type="dxa"/>
            <w:vAlign w:val="center"/>
          </w:tcPr>
          <w:p>
            <w:pPr>
              <w:pStyle w:val="100"/>
              <w:bidi w:val="0"/>
              <w:rPr>
                <w:rFonts w:hint="eastAsia"/>
                <w:lang w:val="en-US" w:eastAsia="zh-CN"/>
              </w:rPr>
            </w:pPr>
            <w:r>
              <w:rPr>
                <w:rFonts w:hint="eastAsia"/>
                <w:lang w:val="en-US" w:eastAsia="zh-CN"/>
              </w:rPr>
              <w:t>2</w:t>
            </w:r>
          </w:p>
        </w:tc>
        <w:tc>
          <w:tcPr>
            <w:tcW w:w="2618" w:type="dxa"/>
            <w:gridSpan w:val="4"/>
            <w:vAlign w:val="center"/>
          </w:tcPr>
          <w:p>
            <w:pPr>
              <w:pStyle w:val="100"/>
              <w:bidi w:val="0"/>
              <w:rPr>
                <w:rFonts w:hint="eastAsia"/>
                <w:lang w:val="en-US" w:eastAsia="zh-CN"/>
              </w:rPr>
            </w:pPr>
            <w:r>
              <w:rPr>
                <w:rFonts w:hint="eastAsia"/>
                <w:lang w:val="en-US" w:eastAsia="zh-CN"/>
              </w:rPr>
              <w:t>2</w:t>
            </w:r>
          </w:p>
        </w:tc>
        <w:tc>
          <w:tcPr>
            <w:tcW w:w="891" w:type="dxa"/>
            <w:vAlign w:val="center"/>
          </w:tcPr>
          <w:p>
            <w:pPr>
              <w:pStyle w:val="100"/>
              <w:bidi w:val="0"/>
            </w:pPr>
            <w:r>
              <w:rPr>
                <w:rFonts w:hint="eastAsia"/>
              </w:rPr>
              <w:t>0</w:t>
            </w:r>
          </w:p>
        </w:tc>
        <w:tc>
          <w:tcPr>
            <w:tcW w:w="891" w:type="dxa"/>
            <w:gridSpan w:val="2"/>
            <w:vAlign w:val="center"/>
          </w:tcPr>
          <w:p>
            <w:pPr>
              <w:pStyle w:val="100"/>
              <w:bidi w:val="0"/>
            </w:pPr>
            <w:r>
              <w:rPr>
                <w:rFonts w:hint="eastAsia"/>
              </w:rPr>
              <w:t>0</w:t>
            </w:r>
          </w:p>
        </w:tc>
        <w:tc>
          <w:tcPr>
            <w:tcW w:w="1426" w:type="dxa"/>
            <w:gridSpan w:val="2"/>
            <w:vAlign w:val="center"/>
          </w:tcPr>
          <w:p>
            <w:pPr>
              <w:pStyle w:val="100"/>
              <w:bidi w:val="0"/>
            </w:pPr>
            <w:r>
              <w:rPr>
                <w:rFonts w:hint="eastAsia"/>
              </w:rPr>
              <w:t>外售利用单位</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91" w:type="dxa"/>
            <w:vMerge w:val="continue"/>
            <w:vAlign w:val="center"/>
          </w:tcPr>
          <w:p>
            <w:pPr>
              <w:pStyle w:val="100"/>
              <w:bidi w:val="0"/>
            </w:pPr>
          </w:p>
        </w:tc>
        <w:tc>
          <w:tcPr>
            <w:tcW w:w="893" w:type="dxa"/>
            <w:vAlign w:val="center"/>
          </w:tcPr>
          <w:p>
            <w:pPr>
              <w:pStyle w:val="100"/>
              <w:bidi w:val="0"/>
            </w:pPr>
            <w:r>
              <w:rPr>
                <w:rFonts w:hint="eastAsia"/>
              </w:rPr>
              <w:t>废油墨罐</w:t>
            </w:r>
          </w:p>
        </w:tc>
        <w:tc>
          <w:tcPr>
            <w:tcW w:w="1276" w:type="dxa"/>
            <w:vAlign w:val="center"/>
          </w:tcPr>
          <w:p>
            <w:pPr>
              <w:pStyle w:val="100"/>
              <w:bidi w:val="0"/>
            </w:pPr>
            <w:r>
              <w:rPr>
                <w:rFonts w:hint="eastAsia"/>
              </w:rPr>
              <w:t>0.5</w:t>
            </w:r>
          </w:p>
        </w:tc>
        <w:tc>
          <w:tcPr>
            <w:tcW w:w="2618" w:type="dxa"/>
            <w:gridSpan w:val="4"/>
            <w:vAlign w:val="center"/>
          </w:tcPr>
          <w:p>
            <w:pPr>
              <w:pStyle w:val="100"/>
              <w:bidi w:val="0"/>
            </w:pPr>
            <w:r>
              <w:rPr>
                <w:rFonts w:hint="eastAsia"/>
              </w:rPr>
              <w:t>0.5</w:t>
            </w:r>
          </w:p>
        </w:tc>
        <w:tc>
          <w:tcPr>
            <w:tcW w:w="891" w:type="dxa"/>
            <w:vAlign w:val="center"/>
          </w:tcPr>
          <w:p>
            <w:pPr>
              <w:pStyle w:val="100"/>
              <w:bidi w:val="0"/>
            </w:pPr>
            <w:r>
              <w:rPr>
                <w:rFonts w:hint="eastAsia"/>
              </w:rPr>
              <w:t>0</w:t>
            </w:r>
          </w:p>
        </w:tc>
        <w:tc>
          <w:tcPr>
            <w:tcW w:w="891" w:type="dxa"/>
            <w:gridSpan w:val="2"/>
            <w:vAlign w:val="center"/>
          </w:tcPr>
          <w:p>
            <w:pPr>
              <w:pStyle w:val="100"/>
              <w:bidi w:val="0"/>
            </w:pPr>
            <w:r>
              <w:rPr>
                <w:rFonts w:hint="eastAsia"/>
              </w:rPr>
              <w:t>0</w:t>
            </w:r>
          </w:p>
        </w:tc>
        <w:tc>
          <w:tcPr>
            <w:tcW w:w="1426" w:type="dxa"/>
            <w:gridSpan w:val="2"/>
            <w:vAlign w:val="center"/>
          </w:tcPr>
          <w:p>
            <w:pPr>
              <w:pStyle w:val="100"/>
              <w:bidi w:val="0"/>
            </w:pPr>
            <w:r>
              <w:rPr>
                <w:rFonts w:hint="eastAsia"/>
              </w:rPr>
              <w:t>有资质单位处置</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91" w:type="dxa"/>
            <w:vMerge w:val="continue"/>
            <w:vAlign w:val="center"/>
          </w:tcPr>
          <w:p>
            <w:pPr>
              <w:pStyle w:val="100"/>
              <w:bidi w:val="0"/>
            </w:pPr>
          </w:p>
        </w:tc>
        <w:tc>
          <w:tcPr>
            <w:tcW w:w="893" w:type="dxa"/>
            <w:vAlign w:val="center"/>
          </w:tcPr>
          <w:p>
            <w:pPr>
              <w:pStyle w:val="100"/>
              <w:bidi w:val="0"/>
            </w:pPr>
            <w:r>
              <w:rPr>
                <w:rFonts w:hint="eastAsia"/>
              </w:rPr>
              <w:t>废胶水罐</w:t>
            </w:r>
          </w:p>
        </w:tc>
        <w:tc>
          <w:tcPr>
            <w:tcW w:w="1276" w:type="dxa"/>
            <w:vAlign w:val="center"/>
          </w:tcPr>
          <w:p>
            <w:pPr>
              <w:pStyle w:val="100"/>
              <w:bidi w:val="0"/>
            </w:pPr>
            <w:r>
              <w:rPr>
                <w:rFonts w:hint="eastAsia"/>
              </w:rPr>
              <w:t>0.5</w:t>
            </w:r>
          </w:p>
        </w:tc>
        <w:tc>
          <w:tcPr>
            <w:tcW w:w="2618" w:type="dxa"/>
            <w:gridSpan w:val="4"/>
            <w:vAlign w:val="center"/>
          </w:tcPr>
          <w:p>
            <w:pPr>
              <w:pStyle w:val="100"/>
              <w:bidi w:val="0"/>
            </w:pPr>
            <w:r>
              <w:rPr>
                <w:rFonts w:hint="eastAsia"/>
              </w:rPr>
              <w:t>0.5</w:t>
            </w:r>
          </w:p>
        </w:tc>
        <w:tc>
          <w:tcPr>
            <w:tcW w:w="891" w:type="dxa"/>
            <w:vAlign w:val="center"/>
          </w:tcPr>
          <w:p>
            <w:pPr>
              <w:pStyle w:val="100"/>
              <w:bidi w:val="0"/>
            </w:pPr>
            <w:r>
              <w:rPr>
                <w:rFonts w:hint="eastAsia"/>
              </w:rPr>
              <w:t>0</w:t>
            </w:r>
          </w:p>
        </w:tc>
        <w:tc>
          <w:tcPr>
            <w:tcW w:w="891" w:type="dxa"/>
            <w:gridSpan w:val="2"/>
            <w:vAlign w:val="center"/>
          </w:tcPr>
          <w:p>
            <w:pPr>
              <w:pStyle w:val="100"/>
              <w:bidi w:val="0"/>
            </w:pPr>
            <w:r>
              <w:rPr>
                <w:rFonts w:hint="eastAsia"/>
              </w:rPr>
              <w:t>0</w:t>
            </w:r>
          </w:p>
        </w:tc>
        <w:tc>
          <w:tcPr>
            <w:tcW w:w="1426" w:type="dxa"/>
            <w:gridSpan w:val="2"/>
            <w:vAlign w:val="center"/>
          </w:tcPr>
          <w:p>
            <w:pPr>
              <w:pStyle w:val="100"/>
              <w:bidi w:val="0"/>
            </w:pPr>
            <w:r>
              <w:rPr>
                <w:rFonts w:hint="eastAsia"/>
              </w:rPr>
              <w:t>有资质单位处置</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91" w:type="dxa"/>
            <w:vMerge w:val="continue"/>
            <w:vAlign w:val="center"/>
          </w:tcPr>
          <w:p>
            <w:pPr>
              <w:pStyle w:val="100"/>
              <w:bidi w:val="0"/>
            </w:pPr>
          </w:p>
        </w:tc>
        <w:tc>
          <w:tcPr>
            <w:tcW w:w="893" w:type="dxa"/>
            <w:vAlign w:val="center"/>
          </w:tcPr>
          <w:p>
            <w:pPr>
              <w:pStyle w:val="100"/>
              <w:bidi w:val="0"/>
            </w:pPr>
            <w:r>
              <w:rPr>
                <w:rFonts w:hint="eastAsia"/>
              </w:rPr>
              <w:t>废纸箱</w:t>
            </w:r>
          </w:p>
        </w:tc>
        <w:tc>
          <w:tcPr>
            <w:tcW w:w="1276" w:type="dxa"/>
            <w:vAlign w:val="center"/>
          </w:tcPr>
          <w:p>
            <w:pPr>
              <w:pStyle w:val="100"/>
              <w:bidi w:val="0"/>
            </w:pPr>
            <w:r>
              <w:rPr>
                <w:rFonts w:hint="eastAsia"/>
              </w:rPr>
              <w:t>3</w:t>
            </w:r>
          </w:p>
        </w:tc>
        <w:tc>
          <w:tcPr>
            <w:tcW w:w="2618" w:type="dxa"/>
            <w:gridSpan w:val="4"/>
            <w:vAlign w:val="center"/>
          </w:tcPr>
          <w:p>
            <w:pPr>
              <w:pStyle w:val="100"/>
              <w:bidi w:val="0"/>
            </w:pPr>
            <w:r>
              <w:rPr>
                <w:rFonts w:hint="eastAsia"/>
              </w:rPr>
              <w:t>3</w:t>
            </w:r>
          </w:p>
        </w:tc>
        <w:tc>
          <w:tcPr>
            <w:tcW w:w="891" w:type="dxa"/>
            <w:vAlign w:val="center"/>
          </w:tcPr>
          <w:p>
            <w:pPr>
              <w:pStyle w:val="100"/>
              <w:bidi w:val="0"/>
            </w:pPr>
            <w:r>
              <w:rPr>
                <w:rFonts w:hint="eastAsia"/>
              </w:rPr>
              <w:t>0</w:t>
            </w:r>
          </w:p>
        </w:tc>
        <w:tc>
          <w:tcPr>
            <w:tcW w:w="891" w:type="dxa"/>
            <w:gridSpan w:val="2"/>
            <w:vAlign w:val="center"/>
          </w:tcPr>
          <w:p>
            <w:pPr>
              <w:pStyle w:val="100"/>
              <w:bidi w:val="0"/>
            </w:pPr>
            <w:r>
              <w:rPr>
                <w:rFonts w:hint="eastAsia"/>
              </w:rPr>
              <w:t>0</w:t>
            </w:r>
          </w:p>
        </w:tc>
        <w:tc>
          <w:tcPr>
            <w:tcW w:w="1426" w:type="dxa"/>
            <w:gridSpan w:val="2"/>
            <w:vAlign w:val="center"/>
          </w:tcPr>
          <w:p>
            <w:pPr>
              <w:pStyle w:val="100"/>
              <w:bidi w:val="0"/>
            </w:pPr>
            <w:r>
              <w:rPr>
                <w:rFonts w:hint="eastAsia"/>
              </w:rPr>
              <w:t>外售利用单位</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91" w:type="dxa"/>
            <w:vMerge w:val="continue"/>
            <w:vAlign w:val="center"/>
          </w:tcPr>
          <w:p>
            <w:pPr>
              <w:pStyle w:val="100"/>
              <w:bidi w:val="0"/>
            </w:pPr>
          </w:p>
        </w:tc>
        <w:tc>
          <w:tcPr>
            <w:tcW w:w="893" w:type="dxa"/>
            <w:vAlign w:val="center"/>
          </w:tcPr>
          <w:p>
            <w:pPr>
              <w:pStyle w:val="100"/>
              <w:bidi w:val="0"/>
            </w:pPr>
            <w:r>
              <w:rPr>
                <w:rFonts w:hint="eastAsia"/>
              </w:rPr>
              <w:t>废活性炭</w:t>
            </w:r>
          </w:p>
        </w:tc>
        <w:tc>
          <w:tcPr>
            <w:tcW w:w="1276" w:type="dxa"/>
            <w:vAlign w:val="center"/>
          </w:tcPr>
          <w:p>
            <w:pPr>
              <w:pStyle w:val="100"/>
              <w:bidi w:val="0"/>
            </w:pPr>
            <w:r>
              <w:rPr>
                <w:rFonts w:hint="eastAsia"/>
              </w:rPr>
              <w:t>0.5</w:t>
            </w:r>
          </w:p>
        </w:tc>
        <w:tc>
          <w:tcPr>
            <w:tcW w:w="2618" w:type="dxa"/>
            <w:gridSpan w:val="4"/>
            <w:vAlign w:val="center"/>
          </w:tcPr>
          <w:p>
            <w:pPr>
              <w:pStyle w:val="100"/>
              <w:bidi w:val="0"/>
            </w:pPr>
            <w:r>
              <w:rPr>
                <w:rFonts w:hint="eastAsia"/>
              </w:rPr>
              <w:t>0.5</w:t>
            </w:r>
          </w:p>
        </w:tc>
        <w:tc>
          <w:tcPr>
            <w:tcW w:w="891" w:type="dxa"/>
            <w:vAlign w:val="center"/>
          </w:tcPr>
          <w:p>
            <w:pPr>
              <w:pStyle w:val="100"/>
              <w:bidi w:val="0"/>
            </w:pPr>
            <w:r>
              <w:rPr>
                <w:rFonts w:hint="eastAsia"/>
              </w:rPr>
              <w:t>0</w:t>
            </w:r>
          </w:p>
        </w:tc>
        <w:tc>
          <w:tcPr>
            <w:tcW w:w="891" w:type="dxa"/>
            <w:gridSpan w:val="2"/>
            <w:vAlign w:val="center"/>
          </w:tcPr>
          <w:p>
            <w:pPr>
              <w:pStyle w:val="100"/>
              <w:bidi w:val="0"/>
            </w:pPr>
            <w:r>
              <w:rPr>
                <w:rFonts w:hint="eastAsia"/>
              </w:rPr>
              <w:t>0</w:t>
            </w:r>
          </w:p>
        </w:tc>
        <w:tc>
          <w:tcPr>
            <w:tcW w:w="1426" w:type="dxa"/>
            <w:gridSpan w:val="2"/>
            <w:vAlign w:val="center"/>
          </w:tcPr>
          <w:p>
            <w:pPr>
              <w:pStyle w:val="100"/>
              <w:bidi w:val="0"/>
            </w:pPr>
            <w:r>
              <w:rPr>
                <w:rFonts w:hint="eastAsia"/>
              </w:rPr>
              <w:t>有资质单位处置</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91" w:type="dxa"/>
            <w:vMerge w:val="continue"/>
            <w:vAlign w:val="center"/>
          </w:tcPr>
          <w:p>
            <w:pPr>
              <w:pStyle w:val="100"/>
              <w:bidi w:val="0"/>
            </w:pPr>
          </w:p>
        </w:tc>
        <w:tc>
          <w:tcPr>
            <w:tcW w:w="893" w:type="dxa"/>
            <w:vAlign w:val="center"/>
          </w:tcPr>
          <w:p>
            <w:pPr>
              <w:pStyle w:val="100"/>
              <w:bidi w:val="0"/>
            </w:pPr>
            <w:r>
              <w:rPr>
                <w:rFonts w:hint="eastAsia"/>
              </w:rPr>
              <w:t>不合格品</w:t>
            </w:r>
          </w:p>
        </w:tc>
        <w:tc>
          <w:tcPr>
            <w:tcW w:w="1276" w:type="dxa"/>
            <w:vAlign w:val="center"/>
          </w:tcPr>
          <w:p>
            <w:pPr>
              <w:pStyle w:val="100"/>
              <w:bidi w:val="0"/>
              <w:rPr>
                <w:rFonts w:hint="eastAsia"/>
                <w:lang w:val="en-US" w:eastAsia="zh-CN"/>
              </w:rPr>
            </w:pPr>
            <w:r>
              <w:rPr>
                <w:rFonts w:hint="eastAsia"/>
                <w:lang w:val="en-US" w:eastAsia="zh-CN"/>
              </w:rPr>
              <w:t>1</w:t>
            </w:r>
          </w:p>
        </w:tc>
        <w:tc>
          <w:tcPr>
            <w:tcW w:w="2618" w:type="dxa"/>
            <w:gridSpan w:val="4"/>
            <w:vAlign w:val="center"/>
          </w:tcPr>
          <w:p>
            <w:pPr>
              <w:pStyle w:val="100"/>
              <w:bidi w:val="0"/>
              <w:rPr>
                <w:rFonts w:hint="eastAsia"/>
                <w:lang w:val="en-US" w:eastAsia="zh-CN"/>
              </w:rPr>
            </w:pPr>
            <w:r>
              <w:rPr>
                <w:rFonts w:hint="eastAsia"/>
                <w:lang w:val="en-US" w:eastAsia="zh-CN"/>
              </w:rPr>
              <w:t>1</w:t>
            </w:r>
          </w:p>
        </w:tc>
        <w:tc>
          <w:tcPr>
            <w:tcW w:w="891" w:type="dxa"/>
            <w:vAlign w:val="center"/>
          </w:tcPr>
          <w:p>
            <w:pPr>
              <w:pStyle w:val="100"/>
              <w:bidi w:val="0"/>
            </w:pPr>
            <w:r>
              <w:rPr>
                <w:rFonts w:hint="eastAsia"/>
              </w:rPr>
              <w:t>0</w:t>
            </w:r>
          </w:p>
        </w:tc>
        <w:tc>
          <w:tcPr>
            <w:tcW w:w="891" w:type="dxa"/>
            <w:gridSpan w:val="2"/>
            <w:vAlign w:val="center"/>
          </w:tcPr>
          <w:p>
            <w:pPr>
              <w:pStyle w:val="100"/>
              <w:bidi w:val="0"/>
            </w:pPr>
            <w:r>
              <w:rPr>
                <w:rFonts w:hint="eastAsia"/>
              </w:rPr>
              <w:t>0</w:t>
            </w:r>
          </w:p>
        </w:tc>
        <w:tc>
          <w:tcPr>
            <w:tcW w:w="1426" w:type="dxa"/>
            <w:gridSpan w:val="2"/>
            <w:vAlign w:val="center"/>
          </w:tcPr>
          <w:p>
            <w:pPr>
              <w:pStyle w:val="100"/>
              <w:bidi w:val="0"/>
            </w:pPr>
            <w:r>
              <w:rPr>
                <w:rFonts w:hint="eastAsia"/>
              </w:rPr>
              <w:t>外售利用单位</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91" w:type="dxa"/>
            <w:vMerge w:val="continue"/>
            <w:vAlign w:val="center"/>
          </w:tcPr>
          <w:p>
            <w:pPr>
              <w:pStyle w:val="100"/>
              <w:bidi w:val="0"/>
              <w:rPr>
                <w:rFonts w:hint="eastAsia"/>
              </w:rPr>
            </w:pPr>
          </w:p>
        </w:tc>
        <w:tc>
          <w:tcPr>
            <w:tcW w:w="893" w:type="dxa"/>
            <w:vAlign w:val="center"/>
          </w:tcPr>
          <w:p>
            <w:pPr>
              <w:pStyle w:val="100"/>
              <w:bidi w:val="0"/>
              <w:rPr>
                <w:rFonts w:hint="eastAsia"/>
                <w:lang w:val="en-US" w:eastAsia="zh-CN"/>
              </w:rPr>
            </w:pPr>
            <w:r>
              <w:rPr>
                <w:rFonts w:hint="eastAsia"/>
                <w:lang w:val="en-US" w:eastAsia="zh-CN"/>
              </w:rPr>
              <w:t>废抹布</w:t>
            </w:r>
          </w:p>
        </w:tc>
        <w:tc>
          <w:tcPr>
            <w:tcW w:w="1276" w:type="dxa"/>
            <w:vAlign w:val="center"/>
          </w:tcPr>
          <w:p>
            <w:pPr>
              <w:pStyle w:val="100"/>
              <w:bidi w:val="0"/>
              <w:rPr>
                <w:rFonts w:hint="default"/>
                <w:lang w:val="en-US" w:eastAsia="zh-CN"/>
              </w:rPr>
            </w:pPr>
            <w:r>
              <w:rPr>
                <w:rFonts w:hint="eastAsia"/>
                <w:lang w:val="en-US" w:eastAsia="zh-CN"/>
              </w:rPr>
              <w:t>0.3</w:t>
            </w:r>
          </w:p>
        </w:tc>
        <w:tc>
          <w:tcPr>
            <w:tcW w:w="2618" w:type="dxa"/>
            <w:gridSpan w:val="4"/>
            <w:vAlign w:val="center"/>
          </w:tcPr>
          <w:p>
            <w:pPr>
              <w:pStyle w:val="100"/>
              <w:bidi w:val="0"/>
              <w:rPr>
                <w:rFonts w:hint="default"/>
                <w:lang w:val="en-US" w:eastAsia="zh-CN"/>
              </w:rPr>
            </w:pPr>
            <w:r>
              <w:rPr>
                <w:rFonts w:hint="eastAsia"/>
                <w:lang w:val="en-US" w:eastAsia="zh-CN"/>
              </w:rPr>
              <w:t>0.3</w:t>
            </w:r>
          </w:p>
        </w:tc>
        <w:tc>
          <w:tcPr>
            <w:tcW w:w="891" w:type="dxa"/>
            <w:vAlign w:val="center"/>
          </w:tcPr>
          <w:p>
            <w:pPr>
              <w:pStyle w:val="100"/>
              <w:bidi w:val="0"/>
              <w:rPr>
                <w:rFonts w:hint="eastAsia"/>
                <w:lang w:val="en-US" w:eastAsia="zh-CN"/>
              </w:rPr>
            </w:pPr>
            <w:r>
              <w:rPr>
                <w:rFonts w:hint="eastAsia"/>
                <w:lang w:val="en-US" w:eastAsia="zh-CN"/>
              </w:rPr>
              <w:t>0</w:t>
            </w:r>
          </w:p>
        </w:tc>
        <w:tc>
          <w:tcPr>
            <w:tcW w:w="891" w:type="dxa"/>
            <w:gridSpan w:val="2"/>
            <w:vAlign w:val="center"/>
          </w:tcPr>
          <w:p>
            <w:pPr>
              <w:pStyle w:val="100"/>
              <w:bidi w:val="0"/>
              <w:rPr>
                <w:rFonts w:hint="eastAsia"/>
                <w:lang w:val="en-US" w:eastAsia="zh-CN"/>
              </w:rPr>
            </w:pPr>
            <w:r>
              <w:rPr>
                <w:rFonts w:hint="eastAsia"/>
                <w:lang w:val="en-US" w:eastAsia="zh-CN"/>
              </w:rPr>
              <w:t>0</w:t>
            </w:r>
          </w:p>
        </w:tc>
        <w:tc>
          <w:tcPr>
            <w:tcW w:w="1426" w:type="dxa"/>
            <w:gridSpan w:val="2"/>
            <w:vAlign w:val="center"/>
          </w:tcPr>
          <w:p>
            <w:pPr>
              <w:pStyle w:val="100"/>
              <w:bidi w:val="0"/>
              <w:rPr>
                <w:rFonts w:hint="eastAsia"/>
                <w:lang w:val="en-US" w:eastAsia="zh-CN"/>
              </w:rPr>
            </w:pPr>
            <w:r>
              <w:rPr>
                <w:rFonts w:hint="eastAsia"/>
                <w:lang w:val="en-US" w:eastAsia="zh-CN"/>
              </w:rPr>
              <w:t>有资质单位处置</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491" w:type="dxa"/>
            <w:vMerge w:val="continue"/>
            <w:vAlign w:val="center"/>
          </w:tcPr>
          <w:p>
            <w:pPr>
              <w:pStyle w:val="100"/>
              <w:bidi w:val="0"/>
            </w:pPr>
          </w:p>
        </w:tc>
        <w:tc>
          <w:tcPr>
            <w:tcW w:w="893" w:type="dxa"/>
            <w:vAlign w:val="center"/>
          </w:tcPr>
          <w:p>
            <w:pPr>
              <w:pStyle w:val="100"/>
              <w:bidi w:val="0"/>
            </w:pPr>
            <w:r>
              <w:rPr>
                <w:rFonts w:hint="eastAsia"/>
              </w:rPr>
              <w:t>生活垃圾</w:t>
            </w:r>
          </w:p>
        </w:tc>
        <w:tc>
          <w:tcPr>
            <w:tcW w:w="1276" w:type="dxa"/>
            <w:vAlign w:val="center"/>
          </w:tcPr>
          <w:p>
            <w:pPr>
              <w:pStyle w:val="100"/>
              <w:bidi w:val="0"/>
            </w:pPr>
            <w:r>
              <w:rPr>
                <w:rFonts w:hint="eastAsia"/>
              </w:rPr>
              <w:t>8.4</w:t>
            </w:r>
          </w:p>
        </w:tc>
        <w:tc>
          <w:tcPr>
            <w:tcW w:w="2618" w:type="dxa"/>
            <w:gridSpan w:val="4"/>
            <w:vAlign w:val="center"/>
          </w:tcPr>
          <w:p>
            <w:pPr>
              <w:pStyle w:val="100"/>
              <w:bidi w:val="0"/>
            </w:pPr>
            <w:r>
              <w:rPr>
                <w:rFonts w:hint="eastAsia"/>
              </w:rPr>
              <w:t>8.4</w:t>
            </w:r>
          </w:p>
        </w:tc>
        <w:tc>
          <w:tcPr>
            <w:tcW w:w="891" w:type="dxa"/>
            <w:vAlign w:val="center"/>
          </w:tcPr>
          <w:p>
            <w:pPr>
              <w:pStyle w:val="100"/>
              <w:bidi w:val="0"/>
            </w:pPr>
            <w:r>
              <w:rPr>
                <w:rFonts w:hint="eastAsia"/>
              </w:rPr>
              <w:t>0</w:t>
            </w:r>
          </w:p>
        </w:tc>
        <w:tc>
          <w:tcPr>
            <w:tcW w:w="891" w:type="dxa"/>
            <w:gridSpan w:val="2"/>
            <w:vAlign w:val="center"/>
          </w:tcPr>
          <w:p>
            <w:pPr>
              <w:pStyle w:val="100"/>
              <w:bidi w:val="0"/>
            </w:pPr>
            <w:r>
              <w:rPr>
                <w:rFonts w:hint="eastAsia"/>
              </w:rPr>
              <w:t>0</w:t>
            </w:r>
          </w:p>
        </w:tc>
        <w:tc>
          <w:tcPr>
            <w:tcW w:w="1426" w:type="dxa"/>
            <w:gridSpan w:val="2"/>
            <w:vAlign w:val="center"/>
          </w:tcPr>
          <w:p>
            <w:pPr>
              <w:pStyle w:val="100"/>
              <w:bidi w:val="0"/>
            </w:pPr>
            <w:r>
              <w:rPr>
                <w:rFonts w:hint="eastAsia"/>
              </w:rPr>
              <w:t>环卫清运</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91" w:type="dxa"/>
            <w:vMerge w:val="restart"/>
            <w:vAlign w:val="center"/>
          </w:tcPr>
          <w:p>
            <w:pPr>
              <w:pStyle w:val="100"/>
              <w:bidi w:val="0"/>
            </w:pPr>
            <w:r>
              <w:t>噪</w:t>
            </w:r>
          </w:p>
          <w:p>
            <w:pPr>
              <w:pStyle w:val="100"/>
              <w:bidi w:val="0"/>
            </w:pPr>
            <w:r>
              <w:t>声</w:t>
            </w:r>
          </w:p>
        </w:tc>
        <w:tc>
          <w:tcPr>
            <w:tcW w:w="2169" w:type="dxa"/>
            <w:gridSpan w:val="2"/>
            <w:vAlign w:val="center"/>
          </w:tcPr>
          <w:p>
            <w:pPr>
              <w:pStyle w:val="100"/>
              <w:bidi w:val="0"/>
            </w:pPr>
            <w:r>
              <w:t>设备名称</w:t>
            </w:r>
          </w:p>
        </w:tc>
        <w:tc>
          <w:tcPr>
            <w:tcW w:w="2618" w:type="dxa"/>
            <w:gridSpan w:val="4"/>
            <w:vAlign w:val="center"/>
          </w:tcPr>
          <w:p>
            <w:pPr>
              <w:pStyle w:val="100"/>
              <w:bidi w:val="0"/>
            </w:pPr>
            <w:r>
              <w:t>等效声级dB（A）</w:t>
            </w:r>
          </w:p>
        </w:tc>
        <w:tc>
          <w:tcPr>
            <w:tcW w:w="1508" w:type="dxa"/>
            <w:gridSpan w:val="2"/>
            <w:vAlign w:val="center"/>
          </w:tcPr>
          <w:p>
            <w:pPr>
              <w:pStyle w:val="100"/>
              <w:bidi w:val="0"/>
            </w:pPr>
            <w:r>
              <w:t>所在车间（工段）名称</w:t>
            </w:r>
          </w:p>
        </w:tc>
        <w:tc>
          <w:tcPr>
            <w:tcW w:w="1700" w:type="dxa"/>
            <w:gridSpan w:val="3"/>
            <w:vAlign w:val="center"/>
          </w:tcPr>
          <w:p>
            <w:pPr>
              <w:pStyle w:val="100"/>
              <w:bidi w:val="0"/>
            </w:pPr>
            <w:r>
              <w:t>距最近厂界距离m</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91" w:type="dxa"/>
            <w:vMerge w:val="continue"/>
            <w:vAlign w:val="center"/>
          </w:tcPr>
          <w:p>
            <w:pPr>
              <w:pStyle w:val="100"/>
              <w:bidi w:val="0"/>
            </w:pPr>
          </w:p>
        </w:tc>
        <w:tc>
          <w:tcPr>
            <w:tcW w:w="2169" w:type="dxa"/>
            <w:gridSpan w:val="2"/>
            <w:vAlign w:val="center"/>
          </w:tcPr>
          <w:p>
            <w:pPr>
              <w:pStyle w:val="100"/>
              <w:bidi w:val="0"/>
            </w:pPr>
            <w:r>
              <w:rPr>
                <w:rFonts w:hint="eastAsia"/>
              </w:rPr>
              <w:t>打孔机</w:t>
            </w:r>
          </w:p>
        </w:tc>
        <w:tc>
          <w:tcPr>
            <w:tcW w:w="2618" w:type="dxa"/>
            <w:gridSpan w:val="4"/>
            <w:vAlign w:val="center"/>
          </w:tcPr>
          <w:p>
            <w:pPr>
              <w:pStyle w:val="100"/>
              <w:bidi w:val="0"/>
            </w:pPr>
            <w:r>
              <w:t>~</w:t>
            </w:r>
            <w:r>
              <w:rPr>
                <w:rFonts w:hint="eastAsia"/>
              </w:rPr>
              <w:t>75</w:t>
            </w:r>
          </w:p>
        </w:tc>
        <w:tc>
          <w:tcPr>
            <w:tcW w:w="1508" w:type="dxa"/>
            <w:gridSpan w:val="2"/>
            <w:vAlign w:val="center"/>
          </w:tcPr>
          <w:p>
            <w:pPr>
              <w:pStyle w:val="100"/>
              <w:bidi w:val="0"/>
            </w:pPr>
            <w:r>
              <w:rPr>
                <w:rFonts w:hint="eastAsia"/>
              </w:rPr>
              <w:t>冲压</w:t>
            </w:r>
            <w:r>
              <w:t>车间</w:t>
            </w:r>
          </w:p>
        </w:tc>
        <w:tc>
          <w:tcPr>
            <w:tcW w:w="1700" w:type="dxa"/>
            <w:gridSpan w:val="3"/>
            <w:vAlign w:val="center"/>
          </w:tcPr>
          <w:p>
            <w:pPr>
              <w:pStyle w:val="100"/>
              <w:bidi w:val="0"/>
            </w:pPr>
            <w:r>
              <w:rPr>
                <w:rFonts w:hint="eastAsia"/>
              </w:rPr>
              <w:t>10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91" w:type="dxa"/>
            <w:vMerge w:val="continue"/>
            <w:vAlign w:val="center"/>
          </w:tcPr>
          <w:p>
            <w:pPr>
              <w:pStyle w:val="100"/>
              <w:bidi w:val="0"/>
            </w:pPr>
          </w:p>
        </w:tc>
        <w:tc>
          <w:tcPr>
            <w:tcW w:w="2169" w:type="dxa"/>
            <w:gridSpan w:val="2"/>
            <w:vAlign w:val="center"/>
          </w:tcPr>
          <w:p>
            <w:pPr>
              <w:pStyle w:val="100"/>
              <w:bidi w:val="0"/>
            </w:pPr>
            <w:r>
              <w:rPr>
                <w:rFonts w:hint="eastAsia"/>
              </w:rPr>
              <w:t>冲床</w:t>
            </w:r>
          </w:p>
        </w:tc>
        <w:tc>
          <w:tcPr>
            <w:tcW w:w="2618" w:type="dxa"/>
            <w:gridSpan w:val="4"/>
            <w:vAlign w:val="center"/>
          </w:tcPr>
          <w:p>
            <w:pPr>
              <w:pStyle w:val="100"/>
              <w:bidi w:val="0"/>
            </w:pPr>
            <w:r>
              <w:t>~</w:t>
            </w:r>
            <w:r>
              <w:rPr>
                <w:rFonts w:hint="eastAsia"/>
              </w:rPr>
              <w:t>80</w:t>
            </w:r>
          </w:p>
        </w:tc>
        <w:tc>
          <w:tcPr>
            <w:tcW w:w="1508" w:type="dxa"/>
            <w:gridSpan w:val="2"/>
            <w:vAlign w:val="center"/>
          </w:tcPr>
          <w:p>
            <w:pPr>
              <w:pStyle w:val="100"/>
              <w:bidi w:val="0"/>
            </w:pPr>
            <w:r>
              <w:rPr>
                <w:rFonts w:hint="eastAsia"/>
              </w:rPr>
              <w:t>冲压</w:t>
            </w:r>
            <w:r>
              <w:t>车间</w:t>
            </w:r>
          </w:p>
        </w:tc>
        <w:tc>
          <w:tcPr>
            <w:tcW w:w="1700" w:type="dxa"/>
            <w:gridSpan w:val="3"/>
            <w:vAlign w:val="center"/>
          </w:tcPr>
          <w:p>
            <w:pPr>
              <w:pStyle w:val="100"/>
              <w:bidi w:val="0"/>
            </w:pPr>
            <w:r>
              <w:rPr>
                <w:rFonts w:hint="eastAsia"/>
              </w:rPr>
              <w:t>10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91" w:type="dxa"/>
            <w:vMerge w:val="continue"/>
            <w:vAlign w:val="center"/>
          </w:tcPr>
          <w:p>
            <w:pPr>
              <w:pStyle w:val="100"/>
              <w:bidi w:val="0"/>
            </w:pPr>
          </w:p>
        </w:tc>
        <w:tc>
          <w:tcPr>
            <w:tcW w:w="2169" w:type="dxa"/>
            <w:gridSpan w:val="2"/>
            <w:vAlign w:val="center"/>
          </w:tcPr>
          <w:p>
            <w:pPr>
              <w:pStyle w:val="100"/>
              <w:bidi w:val="0"/>
            </w:pPr>
            <w:r>
              <w:rPr>
                <w:rFonts w:hint="eastAsia"/>
              </w:rPr>
              <w:t>印刷机</w:t>
            </w:r>
          </w:p>
        </w:tc>
        <w:tc>
          <w:tcPr>
            <w:tcW w:w="2618" w:type="dxa"/>
            <w:gridSpan w:val="4"/>
            <w:vAlign w:val="center"/>
          </w:tcPr>
          <w:p>
            <w:pPr>
              <w:pStyle w:val="100"/>
              <w:bidi w:val="0"/>
            </w:pPr>
            <w:r>
              <w:t>~</w:t>
            </w:r>
            <w:r>
              <w:rPr>
                <w:rFonts w:hint="eastAsia"/>
              </w:rPr>
              <w:t>80</w:t>
            </w:r>
          </w:p>
        </w:tc>
        <w:tc>
          <w:tcPr>
            <w:tcW w:w="1508" w:type="dxa"/>
            <w:gridSpan w:val="2"/>
            <w:vAlign w:val="center"/>
          </w:tcPr>
          <w:p>
            <w:pPr>
              <w:pStyle w:val="100"/>
              <w:bidi w:val="0"/>
            </w:pPr>
            <w:r>
              <w:rPr>
                <w:rFonts w:hint="eastAsia"/>
              </w:rPr>
              <w:t>印刷车间</w:t>
            </w:r>
          </w:p>
        </w:tc>
        <w:tc>
          <w:tcPr>
            <w:tcW w:w="1700" w:type="dxa"/>
            <w:gridSpan w:val="3"/>
            <w:vAlign w:val="center"/>
          </w:tcPr>
          <w:p>
            <w:pPr>
              <w:pStyle w:val="100"/>
              <w:bidi w:val="0"/>
            </w:pPr>
            <w:r>
              <w:rPr>
                <w:rFonts w:hint="eastAsia"/>
              </w:rPr>
              <w:t>10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491" w:type="dxa"/>
            <w:vMerge w:val="continue"/>
            <w:vAlign w:val="center"/>
          </w:tcPr>
          <w:p>
            <w:pPr>
              <w:pStyle w:val="100"/>
              <w:bidi w:val="0"/>
            </w:pPr>
          </w:p>
        </w:tc>
        <w:tc>
          <w:tcPr>
            <w:tcW w:w="2169" w:type="dxa"/>
            <w:gridSpan w:val="2"/>
            <w:tcBorders>
              <w:bottom w:val="nil"/>
            </w:tcBorders>
            <w:vAlign w:val="center"/>
          </w:tcPr>
          <w:p>
            <w:pPr>
              <w:pStyle w:val="100"/>
              <w:bidi w:val="0"/>
            </w:pPr>
            <w:r>
              <w:rPr>
                <w:rFonts w:hint="eastAsia"/>
              </w:rPr>
              <w:t>空压机</w:t>
            </w:r>
          </w:p>
        </w:tc>
        <w:tc>
          <w:tcPr>
            <w:tcW w:w="2618" w:type="dxa"/>
            <w:gridSpan w:val="4"/>
            <w:vAlign w:val="center"/>
          </w:tcPr>
          <w:p>
            <w:pPr>
              <w:pStyle w:val="100"/>
              <w:bidi w:val="0"/>
            </w:pPr>
            <w:r>
              <w:t>~</w:t>
            </w:r>
            <w:r>
              <w:rPr>
                <w:rFonts w:hint="eastAsia"/>
              </w:rPr>
              <w:t>80</w:t>
            </w:r>
          </w:p>
        </w:tc>
        <w:tc>
          <w:tcPr>
            <w:tcW w:w="1508" w:type="dxa"/>
            <w:gridSpan w:val="2"/>
            <w:vAlign w:val="center"/>
          </w:tcPr>
          <w:p>
            <w:pPr>
              <w:pStyle w:val="100"/>
              <w:bidi w:val="0"/>
            </w:pPr>
            <w:r>
              <w:rPr>
                <w:rFonts w:hint="eastAsia"/>
              </w:rPr>
              <w:t>印刷车间</w:t>
            </w:r>
          </w:p>
        </w:tc>
        <w:tc>
          <w:tcPr>
            <w:tcW w:w="1700" w:type="dxa"/>
            <w:gridSpan w:val="3"/>
            <w:vAlign w:val="center"/>
          </w:tcPr>
          <w:p>
            <w:pPr>
              <w:pStyle w:val="100"/>
              <w:bidi w:val="0"/>
            </w:pPr>
            <w:r>
              <w:rPr>
                <w:rFonts w:hint="eastAsia"/>
              </w:rPr>
              <w:t>1</w:t>
            </w:r>
            <w:r>
              <w:t>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486" w:type="dxa"/>
            <w:gridSpan w:val="12"/>
            <w:vAlign w:val="center"/>
          </w:tcPr>
          <w:p>
            <w:pPr>
              <w:pStyle w:val="132"/>
              <w:spacing w:before="48" w:after="48"/>
            </w:pPr>
            <w:r>
              <w:t>主要生态影响（不够时可附另页）：无</w:t>
            </w:r>
          </w:p>
        </w:tc>
      </w:tr>
    </w:tbl>
    <w:p>
      <w:pPr>
        <w:pStyle w:val="103"/>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p>
      <w:pPr>
        <w:pStyle w:val="4"/>
        <w:numPr>
          <w:ilvl w:val="0"/>
          <w:numId w:val="19"/>
        </w:numPr>
      </w:pPr>
      <w:bookmarkStart w:id="65" w:name="_Toc31241"/>
      <w:bookmarkStart w:id="66" w:name="_Toc307515822"/>
      <w:r>
        <w:rPr>
          <w:rFonts w:hint="eastAsia"/>
        </w:rPr>
        <w:t>环境影响分析</w:t>
      </w:r>
      <w:bookmarkEnd w:id="65"/>
    </w:p>
    <w:p>
      <w:pPr>
        <w:pStyle w:val="102"/>
      </w:pPr>
      <w:r>
        <mc:AlternateContent>
          <mc:Choice Requires="wps">
            <w:drawing>
              <wp:anchor distT="0" distB="0" distL="114300" distR="114300" simplePos="0" relativeHeight="251664384" behindDoc="0" locked="0" layoutInCell="1" allowOverlap="1">
                <wp:simplePos x="0" y="0"/>
                <wp:positionH relativeFrom="column">
                  <wp:posOffset>-67310</wp:posOffset>
                </wp:positionH>
                <wp:positionV relativeFrom="page">
                  <wp:posOffset>560705</wp:posOffset>
                </wp:positionV>
                <wp:extent cx="3169920" cy="347980"/>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3169920" cy="347980"/>
                        </a:xfrm>
                        <a:prstGeom prst="rect">
                          <a:avLst/>
                        </a:prstGeom>
                        <a:solidFill>
                          <a:srgbClr val="FFFFFF">
                            <a:alpha val="0"/>
                          </a:srgbClr>
                        </a:solidFill>
                        <a:ln>
                          <a:noFill/>
                        </a:ln>
                      </wps:spPr>
                      <wps:txbx>
                        <w:txbxContent>
                          <w:p>
                            <w:pPr>
                              <w:pStyle w:val="345"/>
                            </w:pPr>
                            <w:bookmarkStart w:id="101" w:name="_Toc307515821"/>
                            <w:r>
                              <w:rPr>
                                <w:rFonts w:hint="eastAsia"/>
                              </w:rPr>
                              <w:t>七、环境影响分析</w:t>
                            </w:r>
                            <w:bookmarkEnd w:id="101"/>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3pt;margin-top:44.15pt;height:27.4pt;width:249.6pt;mso-position-vertical-relative:page;z-index:251664384;mso-width-relative:page;mso-height-relative:page;" fillcolor="#FFFFFF" filled="t" stroked="f" coordsize="21600,21600" o:gfxdata="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PharPYAAAACgEAAA8AAAAAAAAAAQAgAAAAIgAAAGRycy9kb3du&#10;cmV2LnhtbFBLAQIUABQAAAAIAIdO4kDKgrM1OAIAAF0EAAAOAAAAAAAAAAEAIAAAACcBAABkcnMv&#10;ZTJvRG9jLnhtbFBLBQYAAAAABgAGAFkBAADRBQAAAAA=&#10;">
                <v:fill on="t" opacity="0f" focussize="0,0"/>
                <v:stroke on="f"/>
                <v:imagedata o:title=""/>
                <o:lock v:ext="edit" aspectratio="f"/>
                <v:textbox>
                  <w:txbxContent>
                    <w:p>
                      <w:pPr>
                        <w:pStyle w:val="345"/>
                      </w:pPr>
                      <w:bookmarkStart w:id="101" w:name="_Toc307515821"/>
                      <w:r>
                        <w:rPr>
                          <w:rFonts w:hint="eastAsia"/>
                        </w:rPr>
                        <w:t>七、环境影响分析</w:t>
                      </w:r>
                      <w:bookmarkEnd w:id="101"/>
                    </w:p>
                  </w:txbxContent>
                </v:textbox>
              </v:shape>
            </w:pict>
          </mc:Fallback>
        </mc:AlternateContent>
      </w:r>
      <w:r>
        <w:t>施工期环境影响分析</w:t>
      </w:r>
      <w:bookmarkEnd w:id="66"/>
    </w:p>
    <w:p>
      <w:pPr>
        <w:pStyle w:val="103"/>
        <w:bidi w:val="0"/>
        <w:rPr>
          <w:rFonts w:hint="default"/>
        </w:rPr>
      </w:pPr>
      <w:bookmarkStart w:id="67" w:name="_Toc307515823"/>
      <w:r>
        <w:rPr>
          <w:rFonts w:hint="default"/>
        </w:rPr>
        <w:t>本项目利用已建成厂房进行生产、办公，因此施工期环境影响主要为设备安装过程产生的一些机械噪声，预测源强峰值可达85dB（A）左右，为控制设备安装期间的噪声污染，施工方应尽量采用低噪声的器械，避免夜间进行高噪声污染，减轻对厂界周围声环境的影响。设备安装期的影响较短暂，随着安装调试的结束，施工期环境影响随即停止。</w:t>
      </w:r>
    </w:p>
    <w:p>
      <w:pPr>
        <w:pStyle w:val="102"/>
      </w:pPr>
      <w:r>
        <w:t>营运期环境影响分析</w:t>
      </w:r>
      <w:bookmarkEnd w:id="67"/>
    </w:p>
    <w:p>
      <w:pPr>
        <w:pStyle w:val="104"/>
      </w:pPr>
      <w:bookmarkStart w:id="68" w:name="_Toc307515824"/>
      <w:r>
        <w:t>大气环境影响分析</w:t>
      </w:r>
      <w:bookmarkEnd w:id="68"/>
    </w:p>
    <w:p>
      <w:pPr>
        <w:pStyle w:val="105"/>
      </w:pPr>
      <w:r>
        <w:rPr>
          <w:rFonts w:hint="eastAsia"/>
        </w:rPr>
        <w:t>拟采取的污染防治措施</w:t>
      </w:r>
    </w:p>
    <w:p>
      <w:pPr>
        <w:pStyle w:val="2"/>
        <w:snapToGrid w:val="0"/>
        <w:spacing w:line="360" w:lineRule="auto"/>
        <w:ind w:firstLine="480" w:firstLineChars="200"/>
        <w:rPr>
          <w:rFonts w:ascii="Times New Roman" w:cs="Times New Roman"/>
          <w:color w:val="auto"/>
          <w:kern w:val="2"/>
        </w:rPr>
      </w:pPr>
      <w:r>
        <w:rPr>
          <w:rFonts w:ascii="Times New Roman" w:cs="Times New Roman"/>
          <w:color w:val="auto"/>
          <w:kern w:val="2"/>
        </w:rPr>
        <w:t>1</w:t>
      </w:r>
      <w:r>
        <w:rPr>
          <w:rFonts w:hint="eastAsia" w:ascii="Times New Roman" w:cs="Times New Roman"/>
          <w:color w:val="auto"/>
          <w:kern w:val="2"/>
        </w:rPr>
        <w:t>、</w:t>
      </w:r>
      <w:r>
        <w:rPr>
          <w:rFonts w:ascii="Times New Roman" w:cs="Times New Roman"/>
          <w:color w:val="auto"/>
          <w:kern w:val="2"/>
        </w:rPr>
        <w:t>集气方案</w:t>
      </w:r>
    </w:p>
    <w:p>
      <w:pPr>
        <w:overflowPunct w:val="0"/>
        <w:adjustRightInd w:val="0"/>
        <w:snapToGrid w:val="0"/>
        <w:spacing w:before="48" w:beforeLines="20" w:after="48" w:afterLines="20" w:line="360" w:lineRule="auto"/>
        <w:jc w:val="center"/>
        <w:rPr>
          <w:rFonts w:hint="eastAsia" w:ascii="Times New Roman" w:hAnsi="Times New Roman" w:eastAsia="宋体" w:cs="Calibri"/>
          <w:b/>
          <w:snapToGrid w:val="0"/>
          <w:kern w:val="2"/>
          <w:sz w:val="24"/>
          <w:szCs w:val="24"/>
          <w:lang w:val="en-US" w:eastAsia="zh-CN" w:bidi="ar-SA"/>
        </w:rPr>
      </w:pPr>
      <w:r>
        <w:rPr>
          <w:rFonts w:hint="eastAsia"/>
          <w:color w:val="000000"/>
        </w:rPr>
        <w:object>
          <v:shape id="_x0000_i1026" o:spt="75" type="#_x0000_t75" style="height:84.75pt;width:411.5pt;" o:ole="t" filled="f" o:preferrelative="t" stroked="f" coordsize="21600,21600">
            <v:path/>
            <v:fill on="f" focussize="0,0"/>
            <v:stroke on="f"/>
            <v:imagedata r:id="rId22" cropbottom="31639f" o:title=""/>
            <o:lock v:ext="edit" aspectratio="t"/>
            <w10:wrap type="none"/>
            <w10:anchorlock/>
          </v:shape>
          <o:OLEObject Type="Embed" ProgID="Visio.Drawing.15" ShapeID="_x0000_i1026" DrawAspect="Content" ObjectID="_1468075731" r:id="rId21">
            <o:LockedField>false</o:LockedField>
          </o:OLEObject>
        </w:object>
      </w:r>
      <w:r>
        <w:rPr>
          <w:rFonts w:hint="eastAsia" w:ascii="Times New Roman" w:hAnsi="Times New Roman" w:eastAsia="宋体" w:cs="Calibri"/>
          <w:b/>
          <w:snapToGrid w:val="0"/>
          <w:kern w:val="2"/>
          <w:sz w:val="24"/>
          <w:szCs w:val="24"/>
          <w:lang w:val="en-US" w:eastAsia="zh-CN" w:bidi="ar-SA"/>
        </w:rPr>
        <w:t>图7-1  本项目集气方案</w:t>
      </w:r>
    </w:p>
    <w:p>
      <w:pPr>
        <w:pStyle w:val="103"/>
        <w:bidi w:val="0"/>
      </w:pPr>
      <w:r>
        <w:rPr>
          <w:rFonts w:hint="eastAsia"/>
        </w:rPr>
        <w:t>本项目对印刷废气采用集气罩收集，按照《环境工程设计手册》中的有关公式，通过以下经验公式计算得出各设备所需风量L:</w:t>
      </w:r>
    </w:p>
    <w:p>
      <w:pPr>
        <w:pStyle w:val="103"/>
        <w:bidi w:val="0"/>
      </w:pPr>
      <w:r>
        <w:rPr>
          <w:rFonts w:hint="eastAsia"/>
        </w:rPr>
        <w:t>L=3600（5X2+F）*Vx</w:t>
      </w:r>
    </w:p>
    <w:p>
      <w:pPr>
        <w:pStyle w:val="103"/>
        <w:bidi w:val="0"/>
      </w:pPr>
      <w:r>
        <w:rPr>
          <w:rFonts w:hint="eastAsia"/>
        </w:rPr>
        <w:t>式中：</w:t>
      </w:r>
    </w:p>
    <w:p>
      <w:pPr>
        <w:pStyle w:val="103"/>
        <w:bidi w:val="0"/>
      </w:pPr>
      <w:r>
        <w:rPr>
          <w:rFonts w:hint="eastAsia"/>
        </w:rPr>
        <w:t>X-集气罩至污染源的距离（m,本项目取值0.4m）</w:t>
      </w:r>
    </w:p>
    <w:p>
      <w:pPr>
        <w:pStyle w:val="103"/>
        <w:bidi w:val="0"/>
      </w:pPr>
      <w:r>
        <w:rPr>
          <w:rFonts w:hint="eastAsia"/>
        </w:rPr>
        <w:t>F-集气罩罩口面积（m2,取0.8m2）</w:t>
      </w:r>
    </w:p>
    <w:p>
      <w:pPr>
        <w:pStyle w:val="103"/>
        <w:bidi w:val="0"/>
      </w:pPr>
      <w:r>
        <w:rPr>
          <w:rFonts w:hint="eastAsia"/>
        </w:rPr>
        <w:t>Vx-控制风速（m/s,取0.42m/s）</w:t>
      </w:r>
    </w:p>
    <w:p>
      <w:pPr>
        <w:pStyle w:val="103"/>
        <w:bidi w:val="0"/>
      </w:pPr>
      <w:r>
        <w:rPr>
          <w:rFonts w:hint="eastAsia"/>
        </w:rPr>
        <w:t>根据《挥发性有机物无组织排放控制标准》（GB37822-2019），废气收集系统集气罩位置控制风速应不低于0.3米/秒，本项目废气收集系统的输送管道为密闭，废气收集系统在负压下运行，控制风速取值</w:t>
      </w:r>
      <w:r>
        <w:rPr>
          <w:rFonts w:hint="eastAsia"/>
          <w:lang w:val="en-US" w:eastAsia="zh-CN"/>
        </w:rPr>
        <w:t>4.12</w:t>
      </w:r>
      <w:r>
        <w:rPr>
          <w:rFonts w:hint="eastAsia"/>
        </w:rPr>
        <w:t>米/秒。则本项目集气罩所需风量为</w:t>
      </w:r>
      <w:r>
        <w:rPr>
          <w:rFonts w:hint="eastAsia"/>
          <w:lang w:val="en-US" w:eastAsia="zh-CN"/>
        </w:rPr>
        <w:t>25</w:t>
      </w:r>
      <w:r>
        <w:rPr>
          <w:rFonts w:hint="eastAsia"/>
        </w:rPr>
        <w:t>000m3/h。</w:t>
      </w:r>
    </w:p>
    <w:p>
      <w:pPr>
        <w:pStyle w:val="103"/>
        <w:bidi w:val="0"/>
      </w:pPr>
      <w:r>
        <w:t>2</w:t>
      </w:r>
      <w:r>
        <w:rPr>
          <w:rFonts w:hint="eastAsia"/>
        </w:rPr>
        <w:t>、</w:t>
      </w:r>
      <w:r>
        <w:t>治理措施</w:t>
      </w:r>
    </w:p>
    <w:p>
      <w:pPr>
        <w:pStyle w:val="103"/>
        <w:bidi w:val="0"/>
        <w:rPr>
          <w:rFonts w:hint="eastAsia"/>
        </w:rPr>
      </w:pPr>
      <w:r>
        <w:rPr>
          <w:rFonts w:hint="eastAsia"/>
        </w:rPr>
        <w:t>活性炭吸附装置</w:t>
      </w:r>
    </w:p>
    <w:p>
      <w:pPr>
        <w:pStyle w:val="103"/>
        <w:bidi w:val="0"/>
        <w:rPr>
          <w:rFonts w:hint="eastAsia"/>
        </w:rPr>
      </w:pPr>
      <w:r>
        <w:rPr>
          <w:rFonts w:hint="eastAsia"/>
        </w:rPr>
        <w:t>本项目印刷产生的非甲烷总烃通过集气罩收集后，由二级活性炭处理达标后有组织排放。活性炭是由各种含炭物质如煤、木材、石油焦、果核等炭化后，再用水蒸汽或化学药品进行活化处理，制成孔穴十分丰富的吸附剂，比表面积一般在700～1500m2/g范围内，具有优异的吸附能力，故活性炭常常被用来吸附处理空气中的各种有机溶剂和恶臭物质。活性炭具有高度发达的孔隙构造，活性炭的多孔结构为其提供了大量的表面积，能与气体（杂质）充分接触，从而赋予了活性炭所特有的吸附性能，使其非常容易达到收集杂质的目的，能够处理各种挥发性有机物、无机物、烃类、氯气等污染物。</w:t>
      </w:r>
    </w:p>
    <w:p>
      <w:pPr>
        <w:pStyle w:val="103"/>
        <w:bidi w:val="0"/>
        <w:rPr>
          <w:rFonts w:hint="eastAsia"/>
        </w:rPr>
      </w:pPr>
      <w:r>
        <w:rPr>
          <w:rFonts w:hint="eastAsia"/>
        </w:rPr>
        <w:t>当有机废气由风机提供动力，正压或负压进入塔体，由于活性炭固体表面上存在着未平衡和未饱和的分子引力或化学健力，因此当此固体表面与气体接触时，就能吸引气体分子，使其浓聚并保持在固体表面，污染物质及气味从而被吸附，废气经活性炭吸附塔后，进入设备排尘系统，净化气体高空达标排放。</w:t>
      </w:r>
    </w:p>
    <w:p>
      <w:pPr>
        <w:pStyle w:val="103"/>
        <w:bidi w:val="0"/>
        <w:rPr>
          <w:rFonts w:hint="eastAsia"/>
        </w:rPr>
      </w:pPr>
      <w:r>
        <w:rPr>
          <w:rFonts w:hint="eastAsia"/>
        </w:rPr>
        <w:t>环保设施运行管理要求：</w:t>
      </w:r>
    </w:p>
    <w:p>
      <w:pPr>
        <w:pStyle w:val="103"/>
        <w:bidi w:val="0"/>
        <w:rPr>
          <w:rFonts w:hint="eastAsia"/>
        </w:rPr>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活性炭吸附装置配套差压测量系统，并保证与吸附装置同步运行，以便随时监控活性炭吸附装置的吸附效果。</w:t>
      </w:r>
    </w:p>
    <w:p>
      <w:pPr>
        <w:pStyle w:val="103"/>
        <w:bidi w:val="0"/>
        <w:rPr>
          <w:rFonts w:hint="eastAsia"/>
        </w:rPr>
      </w:pPr>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当活性炭处理效率降低或吸附饱和时，必须立即停止生产，及时更换活性炭，确保处理装置正常运行。</w:t>
      </w:r>
    </w:p>
    <w:p>
      <w:pPr>
        <w:pStyle w:val="103"/>
        <w:bidi w:val="0"/>
        <w:rPr>
          <w:rFonts w:hint="eastAsia"/>
        </w:rPr>
      </w:pPr>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活性炭每半年更换一次，以保证吸附效率，并且按照《吸附法工业有机废气治理工程技术规范》（治理工程技术规范》（HJ2026-2013）各项要求设计施工。</w:t>
      </w:r>
    </w:p>
    <w:p>
      <w:pPr>
        <w:pStyle w:val="103"/>
        <w:bidi w:val="0"/>
        <w:rPr>
          <w:rFonts w:hint="eastAsia"/>
        </w:rPr>
      </w:pPr>
      <w:r>
        <w:rPr>
          <w:rFonts w:hint="eastAsia"/>
        </w:rPr>
        <w:fldChar w:fldCharType="begin"/>
      </w:r>
      <w:r>
        <w:rPr>
          <w:rFonts w:hint="eastAsia"/>
        </w:rPr>
        <w:instrText xml:space="preserve"> = 4 \* GB3 </w:instrText>
      </w:r>
      <w:r>
        <w:rPr>
          <w:rFonts w:hint="eastAsia"/>
        </w:rPr>
        <w:fldChar w:fldCharType="separate"/>
      </w:r>
      <w:r>
        <w:rPr>
          <w:rFonts w:hint="eastAsia"/>
        </w:rPr>
        <w:t>④</w:t>
      </w:r>
      <w:r>
        <w:rPr>
          <w:rFonts w:hint="eastAsia"/>
        </w:rPr>
        <w:fldChar w:fldCharType="end"/>
      </w:r>
      <w:r>
        <w:rPr>
          <w:rFonts w:hint="eastAsia"/>
        </w:rPr>
        <w:t>吸附装置应按要求设置永久性采样口，采样频次及监测项目按照要求确定。</w:t>
      </w:r>
    </w:p>
    <w:p>
      <w:pPr>
        <w:pStyle w:val="103"/>
        <w:bidi w:val="0"/>
        <w:rPr>
          <w:rFonts w:hint="eastAsia"/>
        </w:rPr>
      </w:pPr>
      <w:r>
        <w:rPr>
          <w:rFonts w:hint="eastAsia"/>
        </w:rPr>
        <w:fldChar w:fldCharType="begin"/>
      </w:r>
      <w:r>
        <w:rPr>
          <w:rFonts w:hint="eastAsia"/>
        </w:rPr>
        <w:instrText xml:space="preserve"> = 5 \* GB3 </w:instrText>
      </w:r>
      <w:r>
        <w:rPr>
          <w:rFonts w:hint="eastAsia"/>
        </w:rPr>
        <w:fldChar w:fldCharType="separate"/>
      </w:r>
      <w:r>
        <w:rPr>
          <w:rFonts w:hint="eastAsia"/>
        </w:rPr>
        <w:t>⑤</w:t>
      </w:r>
      <w:r>
        <w:rPr>
          <w:rFonts w:hint="eastAsia"/>
        </w:rPr>
        <w:fldChar w:fldCharType="end"/>
      </w:r>
      <w:r>
        <w:rPr>
          <w:rFonts w:hint="eastAsia"/>
        </w:rPr>
        <w:t>装置内部应设置具有自动报警功能的多点温度监测装置监察活性炭吸附装置运行过程中的温度控制。另外需配备有活性炭装置前端阻火器及两端压差的检测与自动控制装置。</w:t>
      </w:r>
    </w:p>
    <w:p>
      <w:pPr>
        <w:pStyle w:val="103"/>
        <w:bidi w:val="0"/>
        <w:rPr>
          <w:rFonts w:hint="eastAsia"/>
        </w:rPr>
      </w:pPr>
      <w:r>
        <w:rPr>
          <w:rFonts w:hint="eastAsia"/>
        </w:rPr>
        <w:t>常用有机废气净化治理方法见表7-1。</w:t>
      </w:r>
    </w:p>
    <w:p>
      <w:pPr>
        <w:pStyle w:val="273"/>
        <w:bidi w:val="0"/>
      </w:pPr>
      <w:r>
        <w:t>表7-</w:t>
      </w:r>
      <w:r>
        <w:rPr>
          <w:rFonts w:hint="eastAsia"/>
        </w:rPr>
        <w:t>1</w:t>
      </w:r>
      <w:r>
        <w:t xml:space="preserve">  常用有机废气净化治理方法</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5079"/>
        <w:gridCol w:w="2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shd w:val="clear" w:color="auto" w:fill="auto"/>
            <w:vAlign w:val="center"/>
          </w:tcPr>
          <w:p>
            <w:pPr>
              <w:pStyle w:val="100"/>
              <w:bidi w:val="0"/>
            </w:pPr>
            <w:r>
              <w:rPr>
                <w:rFonts w:hint="eastAsia"/>
              </w:rPr>
              <w:t>治理方法</w:t>
            </w:r>
          </w:p>
        </w:tc>
        <w:tc>
          <w:tcPr>
            <w:tcW w:w="5079" w:type="dxa"/>
            <w:shd w:val="clear" w:color="auto" w:fill="auto"/>
            <w:vAlign w:val="center"/>
          </w:tcPr>
          <w:p>
            <w:pPr>
              <w:pStyle w:val="100"/>
              <w:bidi w:val="0"/>
            </w:pPr>
            <w:r>
              <w:rPr>
                <w:rFonts w:hint="eastAsia"/>
              </w:rPr>
              <w:t>处理原理</w:t>
            </w:r>
          </w:p>
        </w:tc>
        <w:tc>
          <w:tcPr>
            <w:tcW w:w="2051" w:type="dxa"/>
            <w:shd w:val="clear" w:color="auto" w:fill="auto"/>
            <w:vAlign w:val="center"/>
          </w:tcPr>
          <w:p>
            <w:pPr>
              <w:pStyle w:val="100"/>
              <w:bidi w:val="0"/>
            </w:pPr>
            <w:r>
              <w:rPr>
                <w:rFonts w:hint="eastAsia"/>
              </w:rPr>
              <w:t>适用范围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pStyle w:val="100"/>
              <w:bidi w:val="0"/>
            </w:pPr>
            <w:r>
              <w:rPr>
                <w:rFonts w:hint="eastAsia"/>
              </w:rPr>
              <w:t>吸附法</w:t>
            </w:r>
          </w:p>
        </w:tc>
        <w:tc>
          <w:tcPr>
            <w:tcW w:w="5079" w:type="dxa"/>
            <w:vAlign w:val="center"/>
          </w:tcPr>
          <w:p>
            <w:pPr>
              <w:pStyle w:val="100"/>
              <w:bidi w:val="0"/>
            </w:pPr>
            <w:r>
              <w:rPr>
                <w:rFonts w:hint="eastAsia"/>
              </w:rPr>
              <w:t>用适当的吸附剂对废气中的有机组分进行物理吸附，温度范围为常温</w:t>
            </w:r>
          </w:p>
        </w:tc>
        <w:tc>
          <w:tcPr>
            <w:tcW w:w="2051" w:type="dxa"/>
            <w:vAlign w:val="center"/>
          </w:tcPr>
          <w:p>
            <w:pPr>
              <w:pStyle w:val="100"/>
              <w:bidi w:val="0"/>
            </w:pPr>
            <w:r>
              <w:rPr>
                <w:rFonts w:hint="eastAsia"/>
              </w:rPr>
              <w:t>高、中浓度废气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pStyle w:val="100"/>
              <w:bidi w:val="0"/>
            </w:pPr>
            <w:r>
              <w:rPr>
                <w:rFonts w:hint="eastAsia"/>
              </w:rPr>
              <w:t>吸收法</w:t>
            </w:r>
          </w:p>
        </w:tc>
        <w:tc>
          <w:tcPr>
            <w:tcW w:w="5079" w:type="dxa"/>
            <w:vAlign w:val="center"/>
          </w:tcPr>
          <w:p>
            <w:pPr>
              <w:pStyle w:val="100"/>
              <w:bidi w:val="0"/>
            </w:pPr>
            <w:r>
              <w:rPr>
                <w:rFonts w:hint="eastAsia"/>
              </w:rPr>
              <w:t>选择适当的吸收剂对废气中有机组分进行物理吸收，温度范围为常温</w:t>
            </w:r>
          </w:p>
        </w:tc>
        <w:tc>
          <w:tcPr>
            <w:tcW w:w="2051" w:type="dxa"/>
            <w:vAlign w:val="center"/>
          </w:tcPr>
          <w:p>
            <w:pPr>
              <w:pStyle w:val="100"/>
              <w:bidi w:val="0"/>
            </w:pPr>
            <w:r>
              <w:rPr>
                <w:rFonts w:hint="eastAsia"/>
              </w:rPr>
              <w:t>含颗粒物的废气等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pStyle w:val="100"/>
              <w:bidi w:val="0"/>
            </w:pPr>
            <w:r>
              <w:rPr>
                <w:rFonts w:hint="eastAsia"/>
              </w:rPr>
              <w:t>冷凝法</w:t>
            </w:r>
          </w:p>
        </w:tc>
        <w:tc>
          <w:tcPr>
            <w:tcW w:w="5079" w:type="dxa"/>
            <w:vAlign w:val="center"/>
          </w:tcPr>
          <w:p>
            <w:pPr>
              <w:pStyle w:val="100"/>
              <w:bidi w:val="0"/>
            </w:pPr>
            <w:r>
              <w:rPr>
                <w:rFonts w:hint="eastAsia"/>
              </w:rPr>
              <w:t>采用低温，使有机组份冷却至露点以下，液化回收</w:t>
            </w:r>
          </w:p>
        </w:tc>
        <w:tc>
          <w:tcPr>
            <w:tcW w:w="2051" w:type="dxa"/>
            <w:vAlign w:val="center"/>
          </w:tcPr>
          <w:p>
            <w:pPr>
              <w:pStyle w:val="100"/>
              <w:bidi w:val="0"/>
            </w:pPr>
            <w:r>
              <w:rPr>
                <w:rFonts w:hint="eastAsia"/>
              </w:rPr>
              <w:t>高沸点、高浓度废气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pStyle w:val="100"/>
              <w:bidi w:val="0"/>
            </w:pPr>
            <w:r>
              <w:rPr>
                <w:rFonts w:hint="eastAsia"/>
              </w:rPr>
              <w:t>光氧催化法</w:t>
            </w:r>
          </w:p>
        </w:tc>
        <w:tc>
          <w:tcPr>
            <w:tcW w:w="5079" w:type="dxa"/>
            <w:vAlign w:val="center"/>
          </w:tcPr>
          <w:p>
            <w:pPr>
              <w:pStyle w:val="100"/>
              <w:bidi w:val="0"/>
            </w:pPr>
            <w:r>
              <w:rPr>
                <w:rFonts w:hint="eastAsia"/>
              </w:rPr>
              <w:t>利用紫外光，在特种催化剂的作用下，将有机</w:t>
            </w:r>
          </w:p>
          <w:p>
            <w:pPr>
              <w:pStyle w:val="100"/>
              <w:bidi w:val="0"/>
            </w:pPr>
            <w:r>
              <w:rPr>
                <w:rFonts w:hint="eastAsia"/>
              </w:rPr>
              <w:t>废气逐步氧化成</w:t>
            </w:r>
            <w:r>
              <w:t>CO2、H2O</w:t>
            </w:r>
          </w:p>
        </w:tc>
        <w:tc>
          <w:tcPr>
            <w:tcW w:w="2051" w:type="dxa"/>
            <w:vAlign w:val="center"/>
          </w:tcPr>
          <w:p>
            <w:pPr>
              <w:pStyle w:val="100"/>
              <w:bidi w:val="0"/>
            </w:pPr>
            <w:r>
              <w:rPr>
                <w:rFonts w:hint="eastAsia"/>
              </w:rPr>
              <w:t>低浓度废气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pStyle w:val="100"/>
              <w:bidi w:val="0"/>
            </w:pPr>
            <w:r>
              <w:rPr>
                <w:rFonts w:hint="eastAsia"/>
              </w:rPr>
              <w:t>催化燃烧法</w:t>
            </w:r>
          </w:p>
        </w:tc>
        <w:tc>
          <w:tcPr>
            <w:tcW w:w="5079" w:type="dxa"/>
            <w:vAlign w:val="center"/>
          </w:tcPr>
          <w:p>
            <w:pPr>
              <w:pStyle w:val="100"/>
              <w:bidi w:val="0"/>
            </w:pPr>
            <w:r>
              <w:rPr>
                <w:rFonts w:hint="eastAsia"/>
              </w:rPr>
              <w:t>在氧化催化剂的作用下，将碳氢化合物氧化成</w:t>
            </w:r>
            <w:r>
              <w:t>CO2 和H2O，温度范围在200~400℃</w:t>
            </w:r>
          </w:p>
        </w:tc>
        <w:tc>
          <w:tcPr>
            <w:tcW w:w="2051" w:type="dxa"/>
            <w:vAlign w:val="center"/>
          </w:tcPr>
          <w:p>
            <w:pPr>
              <w:pStyle w:val="100"/>
              <w:bidi w:val="0"/>
            </w:pPr>
            <w:r>
              <w:rPr>
                <w:rFonts w:hint="eastAsia"/>
              </w:rPr>
              <w:t>废气中不含硫等组分，废气浓度一般在</w:t>
            </w:r>
            <w:r>
              <w:t>2000~6000mg/m3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Align w:val="center"/>
          </w:tcPr>
          <w:p>
            <w:pPr>
              <w:pStyle w:val="100"/>
              <w:bidi w:val="0"/>
            </w:pPr>
            <w:r>
              <w:rPr>
                <w:rFonts w:hint="eastAsia"/>
              </w:rPr>
              <w:t>燃烧法</w:t>
            </w:r>
          </w:p>
        </w:tc>
        <w:tc>
          <w:tcPr>
            <w:tcW w:w="5079" w:type="dxa"/>
            <w:vAlign w:val="center"/>
          </w:tcPr>
          <w:p>
            <w:pPr>
              <w:pStyle w:val="100"/>
              <w:bidi w:val="0"/>
            </w:pPr>
            <w:r>
              <w:rPr>
                <w:rFonts w:hint="eastAsia"/>
              </w:rPr>
              <w:t>将废气中的有机物作为燃料烧掉或在高温下进行氧化分解，温度范围为</w:t>
            </w:r>
            <w:r>
              <w:t>600~1100</w:t>
            </w:r>
            <w:r>
              <w:rPr>
                <w:rFonts w:hint="eastAsia"/>
              </w:rPr>
              <w:t>℃</w:t>
            </w:r>
          </w:p>
        </w:tc>
        <w:tc>
          <w:tcPr>
            <w:tcW w:w="2051" w:type="dxa"/>
            <w:vAlign w:val="center"/>
          </w:tcPr>
          <w:p>
            <w:pPr>
              <w:pStyle w:val="100"/>
              <w:bidi w:val="0"/>
            </w:pPr>
            <w:r>
              <w:rPr>
                <w:rFonts w:hint="eastAsia"/>
              </w:rPr>
              <w:t>高浓度废气</w:t>
            </w:r>
          </w:p>
        </w:tc>
      </w:tr>
    </w:tbl>
    <w:p>
      <w:pPr>
        <w:pStyle w:val="103"/>
        <w:bidi w:val="0"/>
        <w:rPr>
          <w:rFonts w:hint="eastAsia"/>
        </w:rPr>
      </w:pPr>
      <w:r>
        <w:rPr>
          <w:rFonts w:hint="eastAsia"/>
        </w:rPr>
        <w:t>从资源循环利用的角度考虑，最常用的方法是吸附法，其中尤以颗粒活性炭、碳纤维吸附技术最为成熟有效。吸附原理为有机废气通过多孔固体物质（吸附剂），使之附着与其固体表面上，从而达到去除的目的。最常用的吸附剂是活性炭，其由煤、木材、果壳等原料制得，具有巨大的表面积和内部为孔结构，由表面效应所产生的吸附作用是活性炭吸附最明显的特征。</w:t>
      </w:r>
    </w:p>
    <w:p>
      <w:pPr>
        <w:pStyle w:val="273"/>
        <w:bidi w:val="0"/>
      </w:pPr>
      <w:r>
        <w:t>表7-</w:t>
      </w:r>
      <w:r>
        <w:rPr>
          <w:rFonts w:hint="eastAsia"/>
        </w:rPr>
        <w:t>2</w:t>
      </w:r>
      <w:r>
        <w:t xml:space="preserve">  活性炭吸附装置主要技术指标</w:t>
      </w:r>
    </w:p>
    <w:tbl>
      <w:tblPr>
        <w:tblStyle w:val="87"/>
        <w:tblW w:w="84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3833"/>
        <w:gridCol w:w="4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457" w:type="dxa"/>
            <w:gridSpan w:val="3"/>
            <w:vAlign w:val="center"/>
          </w:tcPr>
          <w:p>
            <w:pPr>
              <w:pStyle w:val="100"/>
              <w:bidi w:val="0"/>
            </w:pPr>
            <w:r>
              <w:t>活性炭净化设备参数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7" w:type="dxa"/>
            <w:vAlign w:val="center"/>
          </w:tcPr>
          <w:p>
            <w:pPr>
              <w:pStyle w:val="100"/>
              <w:bidi w:val="0"/>
            </w:pPr>
            <w:r>
              <w:t>1</w:t>
            </w:r>
          </w:p>
        </w:tc>
        <w:tc>
          <w:tcPr>
            <w:tcW w:w="3833" w:type="dxa"/>
            <w:vAlign w:val="center"/>
          </w:tcPr>
          <w:p>
            <w:pPr>
              <w:pStyle w:val="100"/>
              <w:bidi w:val="0"/>
            </w:pPr>
            <w:r>
              <w:t>设备型号</w:t>
            </w:r>
          </w:p>
        </w:tc>
        <w:tc>
          <w:tcPr>
            <w:tcW w:w="4147" w:type="dxa"/>
            <w:vAlign w:val="center"/>
          </w:tcPr>
          <w:p>
            <w:pPr>
              <w:pStyle w:val="100"/>
              <w:bidi w:val="0"/>
            </w:pPr>
            <w:r>
              <w:rPr>
                <w:rFonts w:hint="eastAsia"/>
                <w:lang w:val="en-US" w:eastAsia="zh-CN"/>
              </w:rPr>
              <w:t>UVG-2</w:t>
            </w:r>
            <w: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6" w:hRule="atLeast"/>
          <w:jc w:val="center"/>
        </w:trPr>
        <w:tc>
          <w:tcPr>
            <w:tcW w:w="477" w:type="dxa"/>
            <w:vAlign w:val="center"/>
          </w:tcPr>
          <w:p>
            <w:pPr>
              <w:pStyle w:val="100"/>
              <w:bidi w:val="0"/>
            </w:pPr>
            <w:r>
              <w:rPr>
                <w:rFonts w:hint="eastAsia"/>
              </w:rPr>
              <w:t>2</w:t>
            </w:r>
          </w:p>
        </w:tc>
        <w:tc>
          <w:tcPr>
            <w:tcW w:w="3833" w:type="dxa"/>
            <w:vAlign w:val="center"/>
          </w:tcPr>
          <w:p>
            <w:pPr>
              <w:pStyle w:val="100"/>
              <w:bidi w:val="0"/>
            </w:pPr>
            <w:r>
              <w:t>设计处理风量</w:t>
            </w:r>
          </w:p>
        </w:tc>
        <w:tc>
          <w:tcPr>
            <w:tcW w:w="4147" w:type="dxa"/>
            <w:vAlign w:val="center"/>
          </w:tcPr>
          <w:p>
            <w:pPr>
              <w:pStyle w:val="100"/>
              <w:bidi w:val="0"/>
            </w:pPr>
            <w:r>
              <w:rPr>
                <w:rFonts w:hint="eastAsia"/>
                <w:lang w:val="en-US" w:eastAsia="zh-CN"/>
              </w:rPr>
              <w:t>25</w:t>
            </w:r>
            <w:r>
              <w:rPr>
                <w:rFonts w:hint="eastAsia"/>
              </w:rPr>
              <w:t>000</w:t>
            </w:r>
            <w:r>
              <w:t>m3/h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7" w:type="dxa"/>
            <w:vAlign w:val="center"/>
          </w:tcPr>
          <w:p>
            <w:pPr>
              <w:pStyle w:val="100"/>
              <w:bidi w:val="0"/>
            </w:pPr>
            <w:r>
              <w:t>3</w:t>
            </w:r>
          </w:p>
        </w:tc>
        <w:tc>
          <w:tcPr>
            <w:tcW w:w="3833" w:type="dxa"/>
            <w:vAlign w:val="center"/>
          </w:tcPr>
          <w:p>
            <w:pPr>
              <w:pStyle w:val="100"/>
              <w:bidi w:val="0"/>
            </w:pPr>
            <w:r>
              <w:t>主体材质</w:t>
            </w:r>
          </w:p>
        </w:tc>
        <w:tc>
          <w:tcPr>
            <w:tcW w:w="4147" w:type="dxa"/>
            <w:vAlign w:val="center"/>
          </w:tcPr>
          <w:p>
            <w:pPr>
              <w:pStyle w:val="100"/>
              <w:bidi w:val="0"/>
              <w:rPr>
                <w:rFonts w:hint="eastAsia"/>
                <w:lang w:val="en-US" w:eastAsia="zh-CN"/>
              </w:rPr>
            </w:pPr>
            <w:r>
              <w:rPr>
                <w:rFonts w:hint="eastAsia"/>
                <w:lang w:val="en-US" w:eastAsia="zh-CN"/>
              </w:rPr>
              <w:t>不锈钢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8" w:hRule="atLeast"/>
          <w:jc w:val="center"/>
        </w:trPr>
        <w:tc>
          <w:tcPr>
            <w:tcW w:w="477" w:type="dxa"/>
            <w:vAlign w:val="center"/>
          </w:tcPr>
          <w:p>
            <w:pPr>
              <w:pStyle w:val="100"/>
              <w:bidi w:val="0"/>
            </w:pPr>
            <w:r>
              <w:t>4</w:t>
            </w:r>
          </w:p>
        </w:tc>
        <w:tc>
          <w:tcPr>
            <w:tcW w:w="3833" w:type="dxa"/>
            <w:vAlign w:val="center"/>
          </w:tcPr>
          <w:p>
            <w:pPr>
              <w:pStyle w:val="100"/>
              <w:bidi w:val="0"/>
            </w:pPr>
            <w:r>
              <w:t>外形尺寸（长）*（宽）*（高）mm</w:t>
            </w:r>
          </w:p>
        </w:tc>
        <w:tc>
          <w:tcPr>
            <w:tcW w:w="4147" w:type="dxa"/>
            <w:vAlign w:val="center"/>
          </w:tcPr>
          <w:p>
            <w:pPr>
              <w:pStyle w:val="100"/>
              <w:bidi w:val="0"/>
            </w:pPr>
            <w:r>
              <w:rPr>
                <w:rFonts w:hint="eastAsia"/>
              </w:rPr>
              <w:t>3000</w:t>
            </w:r>
            <w:r>
              <w:t>*</w:t>
            </w:r>
            <w:r>
              <w:rPr>
                <w:rFonts w:hint="eastAsia"/>
              </w:rPr>
              <w:t>2400</w:t>
            </w:r>
            <w:r>
              <w:t>*</w:t>
            </w:r>
            <w:r>
              <w:rPr>
                <w:rFonts w:hint="eastAsia"/>
              </w:rPr>
              <w:t>2600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8" w:hRule="atLeast"/>
          <w:jc w:val="center"/>
        </w:trPr>
        <w:tc>
          <w:tcPr>
            <w:tcW w:w="477" w:type="dxa"/>
            <w:vAlign w:val="center"/>
          </w:tcPr>
          <w:p>
            <w:pPr>
              <w:pStyle w:val="100"/>
              <w:bidi w:val="0"/>
            </w:pPr>
            <w:r>
              <w:t>5</w:t>
            </w:r>
          </w:p>
        </w:tc>
        <w:tc>
          <w:tcPr>
            <w:tcW w:w="3833" w:type="dxa"/>
            <w:vAlign w:val="center"/>
          </w:tcPr>
          <w:p>
            <w:pPr>
              <w:pStyle w:val="100"/>
              <w:bidi w:val="0"/>
            </w:pPr>
            <w:r>
              <w:t>活性炭更换周期</w:t>
            </w:r>
          </w:p>
        </w:tc>
        <w:tc>
          <w:tcPr>
            <w:tcW w:w="4147" w:type="dxa"/>
            <w:vAlign w:val="center"/>
          </w:tcPr>
          <w:p>
            <w:pPr>
              <w:pStyle w:val="100"/>
              <w:bidi w:val="0"/>
            </w:pPr>
            <w:r>
              <w:rPr>
                <w:rFonts w:hint="eastAsia"/>
              </w:rPr>
              <w:t>半年</w:t>
            </w:r>
          </w:p>
        </w:tc>
      </w:tr>
    </w:tbl>
    <w:p>
      <w:pPr>
        <w:pStyle w:val="103"/>
        <w:bidi w:val="0"/>
        <w:rPr>
          <w:rFonts w:hint="eastAsia"/>
        </w:rPr>
      </w:pPr>
      <w:r>
        <w:rPr>
          <w:rFonts w:hint="eastAsia"/>
        </w:rPr>
        <w:t>本项目产生的废气属于挥发性有机物，在活性炭的处理范围内，产生量较少且产生浓度较低，可以用活性炭吸附装置处理，且该设备吸附效率高，适用面广，维护方便，无技术要求，能同时处理多种混合废气，可以满足本项目废气处理要求，故本项目废气处理在技术上可行。</w:t>
      </w:r>
    </w:p>
    <w:p>
      <w:pPr>
        <w:pStyle w:val="103"/>
        <w:bidi w:val="0"/>
        <w:rPr>
          <w:rFonts w:hint="eastAsia"/>
        </w:rPr>
      </w:pPr>
      <w:r>
        <w:rPr>
          <w:rFonts w:hint="eastAsia"/>
        </w:rPr>
        <w:t>根据《吸附法处理有机废气技术规范》（HJ2026-2013）并结合本项目废气产生实际情况，企业应满足的要求及实施情况如下：</w:t>
      </w:r>
    </w:p>
    <w:p>
      <w:pPr>
        <w:pStyle w:val="273"/>
        <w:bidi w:val="0"/>
      </w:pPr>
      <w:r>
        <w:rPr>
          <w:rFonts w:hint="eastAsia"/>
        </w:rPr>
        <w:t>表7-3  本项目与吸附法处理有机废气技术规范相符情况</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8"/>
        <w:gridCol w:w="4395"/>
        <w:gridCol w:w="2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shd w:val="clear" w:color="auto" w:fill="auto"/>
            <w:vAlign w:val="center"/>
          </w:tcPr>
          <w:p>
            <w:pPr>
              <w:pStyle w:val="100"/>
              <w:bidi w:val="0"/>
            </w:pPr>
            <w:r>
              <w:t>序号</w:t>
            </w:r>
          </w:p>
        </w:tc>
        <w:tc>
          <w:tcPr>
            <w:tcW w:w="5103" w:type="dxa"/>
            <w:gridSpan w:val="2"/>
            <w:shd w:val="clear" w:color="auto" w:fill="auto"/>
            <w:vAlign w:val="center"/>
          </w:tcPr>
          <w:p>
            <w:pPr>
              <w:pStyle w:val="100"/>
              <w:bidi w:val="0"/>
            </w:pPr>
            <w:r>
              <w:t>《吸附法处理有机废气技术规范》</w:t>
            </w:r>
          </w:p>
        </w:tc>
        <w:tc>
          <w:tcPr>
            <w:tcW w:w="2749" w:type="dxa"/>
            <w:shd w:val="clear" w:color="auto" w:fill="auto"/>
            <w:vAlign w:val="center"/>
          </w:tcPr>
          <w:p>
            <w:pPr>
              <w:pStyle w:val="100"/>
              <w:bidi w:val="0"/>
            </w:pPr>
            <w:r>
              <w:t>本项目实施情况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restart"/>
            <w:vAlign w:val="center"/>
          </w:tcPr>
          <w:p>
            <w:pPr>
              <w:pStyle w:val="100"/>
              <w:bidi w:val="0"/>
            </w:pPr>
            <w:r>
              <w:t>工艺设计</w:t>
            </w:r>
          </w:p>
        </w:tc>
        <w:tc>
          <w:tcPr>
            <w:tcW w:w="708" w:type="dxa"/>
            <w:vAlign w:val="center"/>
          </w:tcPr>
          <w:p>
            <w:pPr>
              <w:pStyle w:val="100"/>
              <w:bidi w:val="0"/>
            </w:pPr>
            <w:r>
              <w:t>一般规定</w:t>
            </w:r>
          </w:p>
        </w:tc>
        <w:tc>
          <w:tcPr>
            <w:tcW w:w="4395" w:type="dxa"/>
            <w:vAlign w:val="center"/>
          </w:tcPr>
          <w:p>
            <w:pPr>
              <w:pStyle w:val="100"/>
              <w:bidi w:val="0"/>
            </w:pPr>
            <w:r>
              <w:t>排气筒的设计应满足GB50051</w:t>
            </w:r>
          </w:p>
        </w:tc>
        <w:tc>
          <w:tcPr>
            <w:tcW w:w="2749" w:type="dxa"/>
            <w:vAlign w:val="center"/>
          </w:tcPr>
          <w:p>
            <w:pPr>
              <w:pStyle w:val="100"/>
              <w:bidi w:val="0"/>
            </w:pPr>
            <w:r>
              <w:t>本项目排气筒的设计满足GB50051，符合规范要求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restart"/>
            <w:vAlign w:val="center"/>
          </w:tcPr>
          <w:p>
            <w:pPr>
              <w:pStyle w:val="100"/>
              <w:bidi w:val="0"/>
            </w:pPr>
            <w:r>
              <w:t>废气收集</w:t>
            </w:r>
          </w:p>
        </w:tc>
        <w:tc>
          <w:tcPr>
            <w:tcW w:w="4395" w:type="dxa"/>
            <w:vAlign w:val="center"/>
          </w:tcPr>
          <w:p>
            <w:pPr>
              <w:pStyle w:val="100"/>
              <w:bidi w:val="0"/>
            </w:pPr>
            <w:r>
              <w:t>吸附装置的效率不得低于50%</w:t>
            </w:r>
          </w:p>
        </w:tc>
        <w:tc>
          <w:tcPr>
            <w:tcW w:w="2749" w:type="dxa"/>
            <w:vAlign w:val="center"/>
          </w:tcPr>
          <w:p>
            <w:pPr>
              <w:pStyle w:val="100"/>
              <w:bidi w:val="0"/>
            </w:pPr>
            <w:r>
              <w:t>本项目吸附装置的效率约为</w:t>
            </w:r>
            <w:r>
              <w:rPr>
                <w:rFonts w:hint="eastAsia"/>
              </w:rPr>
              <w:t>9</w:t>
            </w:r>
            <w:r>
              <w:t>0%，符合规范要求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continue"/>
            <w:vAlign w:val="center"/>
          </w:tcPr>
          <w:p>
            <w:pPr>
              <w:pStyle w:val="100"/>
              <w:bidi w:val="0"/>
            </w:pPr>
          </w:p>
        </w:tc>
        <w:tc>
          <w:tcPr>
            <w:tcW w:w="4395" w:type="dxa"/>
            <w:vAlign w:val="center"/>
          </w:tcPr>
          <w:p>
            <w:pPr>
              <w:pStyle w:val="100"/>
              <w:bidi w:val="0"/>
            </w:pPr>
            <w:r>
              <w:t>废气收集系统设计应符合GB50019的规定</w:t>
            </w:r>
          </w:p>
        </w:tc>
        <w:tc>
          <w:tcPr>
            <w:tcW w:w="2749" w:type="dxa"/>
            <w:vAlign w:val="center"/>
          </w:tcPr>
          <w:p>
            <w:pPr>
              <w:pStyle w:val="100"/>
              <w:bidi w:val="0"/>
            </w:pPr>
            <w:r>
              <w:t>本项目废气收集系统设计应符合GB50019的规定，符合规范要求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continue"/>
            <w:vAlign w:val="center"/>
          </w:tcPr>
          <w:p>
            <w:pPr>
              <w:pStyle w:val="100"/>
              <w:bidi w:val="0"/>
            </w:pPr>
          </w:p>
        </w:tc>
        <w:tc>
          <w:tcPr>
            <w:tcW w:w="4395" w:type="dxa"/>
            <w:vAlign w:val="center"/>
          </w:tcPr>
          <w:p>
            <w:pPr>
              <w:pStyle w:val="100"/>
              <w:bidi w:val="0"/>
            </w:pPr>
            <w:r>
              <w:t>应尽可能利用主体生产装置本身的废气收集系统进行收集。集气罩的配置应与生产工艺协调一致，不影响工艺操作。在保证收集能力的前提下，应结构简单，便于安装和维护管理</w:t>
            </w:r>
          </w:p>
        </w:tc>
        <w:tc>
          <w:tcPr>
            <w:tcW w:w="2749" w:type="dxa"/>
            <w:vAlign w:val="center"/>
          </w:tcPr>
          <w:p>
            <w:pPr>
              <w:pStyle w:val="100"/>
              <w:bidi w:val="0"/>
            </w:pPr>
            <w: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continue"/>
            <w:vAlign w:val="center"/>
          </w:tcPr>
          <w:p>
            <w:pPr>
              <w:pStyle w:val="100"/>
              <w:bidi w:val="0"/>
            </w:pPr>
          </w:p>
        </w:tc>
        <w:tc>
          <w:tcPr>
            <w:tcW w:w="4395" w:type="dxa"/>
            <w:vAlign w:val="center"/>
          </w:tcPr>
          <w:p>
            <w:pPr>
              <w:pStyle w:val="100"/>
              <w:bidi w:val="0"/>
            </w:pPr>
            <w:r>
              <w:t>确定集气罩的吸气口装置、结构和风速时，应使罩口呈微负压状态，且罩内负压均匀。</w:t>
            </w:r>
          </w:p>
        </w:tc>
        <w:tc>
          <w:tcPr>
            <w:tcW w:w="2749" w:type="dxa"/>
            <w:vAlign w:val="center"/>
          </w:tcPr>
          <w:p>
            <w:pPr>
              <w:pStyle w:val="100"/>
              <w:bidi w:val="0"/>
            </w:pPr>
            <w: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continue"/>
            <w:vAlign w:val="center"/>
          </w:tcPr>
          <w:p>
            <w:pPr>
              <w:pStyle w:val="100"/>
              <w:bidi w:val="0"/>
            </w:pPr>
          </w:p>
        </w:tc>
        <w:tc>
          <w:tcPr>
            <w:tcW w:w="4395" w:type="dxa"/>
            <w:vAlign w:val="center"/>
          </w:tcPr>
          <w:p>
            <w:pPr>
              <w:pStyle w:val="100"/>
              <w:bidi w:val="0"/>
            </w:pPr>
            <w:r>
              <w:t>集气罩的吸气方向应尽可能与污染气流运动方向一致，防止吸气罩周围气流紊乱，避免或减弱干扰气流和送风气流等对吸气气流的影响。</w:t>
            </w:r>
          </w:p>
        </w:tc>
        <w:tc>
          <w:tcPr>
            <w:tcW w:w="2749" w:type="dxa"/>
            <w:vAlign w:val="center"/>
          </w:tcPr>
          <w:p>
            <w:pPr>
              <w:pStyle w:val="100"/>
              <w:bidi w:val="0"/>
            </w:pPr>
            <w:r>
              <w:t>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continue"/>
            <w:vAlign w:val="center"/>
          </w:tcPr>
          <w:p>
            <w:pPr>
              <w:pStyle w:val="100"/>
              <w:bidi w:val="0"/>
            </w:pPr>
          </w:p>
        </w:tc>
        <w:tc>
          <w:tcPr>
            <w:tcW w:w="4395" w:type="dxa"/>
            <w:vAlign w:val="center"/>
          </w:tcPr>
          <w:p>
            <w:pPr>
              <w:pStyle w:val="100"/>
              <w:bidi w:val="0"/>
            </w:pPr>
            <w:r>
              <w:t>当废气产生点较多、彼此距离较远时，应适当分设多套收集系统</w:t>
            </w:r>
          </w:p>
        </w:tc>
        <w:tc>
          <w:tcPr>
            <w:tcW w:w="2749" w:type="dxa"/>
            <w:vAlign w:val="center"/>
          </w:tcPr>
          <w:p>
            <w:pPr>
              <w:pStyle w:val="100"/>
              <w:bidi w:val="0"/>
            </w:pPr>
            <w:r>
              <w:t>印刷机均配有集气系统，符合规范要求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Align w:val="center"/>
          </w:tcPr>
          <w:p>
            <w:pPr>
              <w:pStyle w:val="100"/>
              <w:bidi w:val="0"/>
            </w:pPr>
            <w:r>
              <w:t>预处理</w:t>
            </w:r>
          </w:p>
        </w:tc>
        <w:tc>
          <w:tcPr>
            <w:tcW w:w="4395" w:type="dxa"/>
            <w:vAlign w:val="center"/>
          </w:tcPr>
          <w:p>
            <w:pPr>
              <w:pStyle w:val="100"/>
              <w:bidi w:val="0"/>
            </w:pPr>
            <w:r>
              <w:t>预处理设备应根据废气的成分、性质和影响吸附过程的物质性质及含量进行选择；当废气中颗粒物含量超过1mg/m3时，应先采用过滤或洗涤等方式进行预处理；当废气中含有吸附后难以脱附或造成吸附剂中毒的成分时，应采用洗涤或预吸附等预处理方式处理；过滤装置两端应装设压差计，当过滤器的阻力超过规定值时应及时清理或更换过滤材料</w:t>
            </w:r>
          </w:p>
        </w:tc>
        <w:tc>
          <w:tcPr>
            <w:tcW w:w="2749" w:type="dxa"/>
            <w:vAlign w:val="center"/>
          </w:tcPr>
          <w:p>
            <w:pPr>
              <w:pStyle w:val="100"/>
              <w:bidi w:val="0"/>
            </w:pPr>
            <w:r>
              <w:t>本项目有机废气经集气罩收集后进入二级活性炭吸附装置，本项目过滤装置两端应装设压差计，当过滤器的阻力超过规定值时应及时清理或更换过滤材料，符合规范要求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Align w:val="center"/>
          </w:tcPr>
          <w:p>
            <w:pPr>
              <w:pStyle w:val="100"/>
              <w:bidi w:val="0"/>
            </w:pPr>
            <w:r>
              <w:t>吸附剂的选择</w:t>
            </w:r>
          </w:p>
        </w:tc>
        <w:tc>
          <w:tcPr>
            <w:tcW w:w="4395" w:type="dxa"/>
            <w:vAlign w:val="center"/>
          </w:tcPr>
          <w:p>
            <w:pPr>
              <w:pStyle w:val="100"/>
              <w:bidi w:val="0"/>
            </w:pPr>
            <w:r>
              <w:t>固定床吸附装置吸附层的气体流速应根据吸附剂的形态确定。采用颗粒状吸附剂时，气体流速宜低于0.60m/s；</w:t>
            </w:r>
          </w:p>
        </w:tc>
        <w:tc>
          <w:tcPr>
            <w:tcW w:w="2749" w:type="dxa"/>
            <w:vAlign w:val="center"/>
          </w:tcPr>
          <w:p>
            <w:pPr>
              <w:pStyle w:val="100"/>
              <w:bidi w:val="0"/>
            </w:pPr>
            <w:r>
              <w:t>本项目采用颗粒状吸附剂，气体流速0.5 m/s，符合规范要求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restart"/>
            <w:vAlign w:val="center"/>
          </w:tcPr>
          <w:p>
            <w:pPr>
              <w:pStyle w:val="100"/>
              <w:bidi w:val="0"/>
            </w:pPr>
            <w:r>
              <w:t>二次污染物控制</w:t>
            </w:r>
          </w:p>
        </w:tc>
        <w:tc>
          <w:tcPr>
            <w:tcW w:w="4395" w:type="dxa"/>
            <w:vAlign w:val="center"/>
          </w:tcPr>
          <w:p>
            <w:pPr>
              <w:pStyle w:val="100"/>
              <w:bidi w:val="0"/>
            </w:pPr>
            <w:r>
              <w:t>预处理产生的粉尘和废渣以及更换后的过滤材料、吸附剂的处理应符合国家固体废弃物处理与处置的相关规定。</w:t>
            </w:r>
          </w:p>
        </w:tc>
        <w:tc>
          <w:tcPr>
            <w:tcW w:w="2749" w:type="dxa"/>
            <w:vAlign w:val="center"/>
          </w:tcPr>
          <w:p>
            <w:pPr>
              <w:pStyle w:val="100"/>
              <w:bidi w:val="0"/>
            </w:pPr>
            <w:r>
              <w:t>本项目废活性炭交由资质单位处理，符合规范要求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76" w:type="dxa"/>
            <w:vMerge w:val="continue"/>
            <w:vAlign w:val="center"/>
          </w:tcPr>
          <w:p>
            <w:pPr>
              <w:pStyle w:val="100"/>
              <w:bidi w:val="0"/>
            </w:pPr>
          </w:p>
        </w:tc>
        <w:tc>
          <w:tcPr>
            <w:tcW w:w="708" w:type="dxa"/>
            <w:vMerge w:val="continue"/>
            <w:vAlign w:val="center"/>
          </w:tcPr>
          <w:p>
            <w:pPr>
              <w:pStyle w:val="100"/>
              <w:bidi w:val="0"/>
            </w:pPr>
          </w:p>
        </w:tc>
        <w:tc>
          <w:tcPr>
            <w:tcW w:w="4395" w:type="dxa"/>
            <w:vAlign w:val="center"/>
          </w:tcPr>
          <w:p>
            <w:pPr>
              <w:pStyle w:val="100"/>
              <w:bidi w:val="0"/>
            </w:pPr>
            <w:r>
              <w:t>噪声控制应符合GBJ87和GB12348的规定</w:t>
            </w:r>
          </w:p>
        </w:tc>
        <w:tc>
          <w:tcPr>
            <w:tcW w:w="2749" w:type="dxa"/>
            <w:vAlign w:val="center"/>
          </w:tcPr>
          <w:p>
            <w:pPr>
              <w:pStyle w:val="100"/>
              <w:bidi w:val="0"/>
            </w:pPr>
            <w:r>
              <w:t>噪声控制符合GBJ87和GB12348的规定，符合规范要求</w:t>
            </w:r>
          </w:p>
        </w:tc>
      </w:tr>
    </w:tbl>
    <w:p>
      <w:pPr>
        <w:pStyle w:val="103"/>
        <w:bidi w:val="0"/>
        <w:rPr>
          <w:rFonts w:hint="eastAsia"/>
        </w:rPr>
      </w:pPr>
      <w:r>
        <w:rPr>
          <w:rFonts w:hint="eastAsia"/>
        </w:rPr>
        <w:t>本项目产生的</w:t>
      </w:r>
      <w:r>
        <w:rPr>
          <w:rFonts w:hint="eastAsia"/>
          <w:lang w:val="zh-CN"/>
        </w:rPr>
        <w:t>废气</w:t>
      </w:r>
      <w:r>
        <w:rPr>
          <w:rFonts w:hint="eastAsia"/>
        </w:rPr>
        <w:t>属于挥发性有机物，在活性炭的处理范围内，产生量较少且产生浓度较低，可以用活性炭吸附装置处理，且该设备吸附效率高，适用面广，维护方便，无技术要求，能同时处理多种混合废气，可以满足本项目废气处理要求，故本项目废气处理在技术上可行。</w:t>
      </w:r>
    </w:p>
    <w:p>
      <w:pPr>
        <w:pStyle w:val="103"/>
        <w:bidi w:val="0"/>
        <w:rPr>
          <w:rFonts w:hint="eastAsia"/>
        </w:rPr>
      </w:pPr>
      <w:r>
        <w:rPr>
          <w:rFonts w:hint="eastAsia"/>
        </w:rPr>
        <w:t>3、技术可行性论证</w:t>
      </w:r>
    </w:p>
    <w:p>
      <w:pPr>
        <w:pStyle w:val="103"/>
        <w:bidi w:val="0"/>
        <w:rPr>
          <w:rFonts w:hint="eastAsia"/>
        </w:rPr>
      </w:pPr>
      <w:r>
        <w:rPr>
          <w:rFonts w:hint="eastAsia"/>
        </w:rPr>
        <w:t>京东方杰恩特喜科技有限公司年产新型平板显示器件关键部件和材料（3D玻璃盖板）3600万片</w:t>
      </w:r>
      <w:bookmarkStart w:id="104" w:name="_GoBack"/>
      <w:bookmarkEnd w:id="104"/>
      <w:r>
        <w:rPr>
          <w:rFonts w:hint="eastAsia"/>
        </w:rPr>
        <w:t>项目第一阶段生产过程中水性油墨印刷产生的非甲烷总烃废气经集气罩收集后由二级活性炭吸附进行处理，2020年5月1日、2020年5月2日企业委托江苏国测检测技术有限公司对废气排口做了例行检测，非甲烷总烃废气检测结果为&lt;0.841 mg/m3，废气排放均能达标排放，本项目印刷工段生产原料、生产工艺均与其相似，故本项目采用的废气防治措施工艺技术上可行、可靠。</w:t>
      </w:r>
    </w:p>
    <w:p>
      <w:pPr>
        <w:pStyle w:val="103"/>
        <w:bidi w:val="0"/>
        <w:rPr>
          <w:rFonts w:hint="eastAsia"/>
        </w:rPr>
      </w:pPr>
      <w:r>
        <w:rPr>
          <w:rFonts w:hint="eastAsia"/>
        </w:rPr>
        <w:t>4、经济可行性分析</w:t>
      </w:r>
    </w:p>
    <w:p>
      <w:pPr>
        <w:pStyle w:val="103"/>
        <w:bidi w:val="0"/>
        <w:rPr>
          <w:rFonts w:hint="eastAsia"/>
        </w:rPr>
      </w:pPr>
      <w:r>
        <w:rPr>
          <w:rFonts w:hint="eastAsia"/>
        </w:rPr>
        <w:t>二级活性炭一次投入约15万元，运行电费约10万元/年，主体设备无需专人管理和日常维护，只需作定期检查，定期检修费用3000元/年、活性炭更换费用20000元/年，故维护费用合计半年约2.3万元。企业完全有能力承担该部分费用，故使用二级活性炭吸附装置有经济可行性。</w:t>
      </w:r>
    </w:p>
    <w:p>
      <w:pPr>
        <w:pStyle w:val="105"/>
      </w:pPr>
      <w:r>
        <w:rPr>
          <w:rFonts w:hint="eastAsia"/>
        </w:rPr>
        <w:t>影响分析及评价</w:t>
      </w:r>
    </w:p>
    <w:p>
      <w:pPr>
        <w:pStyle w:val="103"/>
        <w:bidi w:val="0"/>
      </w:pPr>
      <w:r>
        <w:t>按照《环境影响评价技术导则大气环境》（HJ2.2-2018），选择项目污染源正常排放的主要污染物及排放参数，采用估算模型分别计算项目污染源的最大环境影响，然后按评价工作分级判据进行分级。</w:t>
      </w:r>
    </w:p>
    <w:p>
      <w:pPr>
        <w:pStyle w:val="103"/>
        <w:bidi w:val="0"/>
      </w:pPr>
      <w:r>
        <w:t>根据项目污染源初步调查结果，分别计算项目排放主要污染物的最大地面空气质量浓度占标率Pi（第i个污染物）及第i个污染物的地面空气质量浓度达标准限值10%时所对应的最远距离D10%，其中Pi定义为：</w:t>
      </w:r>
    </w:p>
    <w:p>
      <w:pPr>
        <w:pStyle w:val="103"/>
        <w:bidi w:val="0"/>
      </w:pPr>
      <w:r>
        <w:t>Pi＝(Ci/C0i)×100%</w:t>
      </w:r>
    </w:p>
    <w:p>
      <w:pPr>
        <w:pStyle w:val="103"/>
        <w:bidi w:val="0"/>
      </w:pPr>
      <w:r>
        <w:t>式中：</w:t>
      </w:r>
    </w:p>
    <w:p>
      <w:pPr>
        <w:pStyle w:val="103"/>
        <w:bidi w:val="0"/>
      </w:pPr>
      <w:r>
        <w:t>Pi－第i个污染物的最大地面空气质量浓度占标率，%；</w:t>
      </w:r>
    </w:p>
    <w:p>
      <w:pPr>
        <w:pStyle w:val="103"/>
        <w:bidi w:val="0"/>
      </w:pPr>
      <w:r>
        <w:t>Ci－采用估算模型计算出的第i个污染物的最大1h地面空气质量浓度，mg/m3；</w:t>
      </w:r>
    </w:p>
    <w:p>
      <w:pPr>
        <w:pStyle w:val="103"/>
        <w:bidi w:val="0"/>
      </w:pPr>
      <w:r>
        <w:t>C0i－第i个污染物的环境空气质量标准，mg/m3；</w:t>
      </w:r>
    </w:p>
    <w:p>
      <w:pPr>
        <w:pStyle w:val="103"/>
        <w:bidi w:val="0"/>
      </w:pPr>
      <w:r>
        <w:t>C0i一般选用GB3095中1h平均质量浓度的二级浓度限值，对该标准中未包含的污染物，使用导则5.2中确定的各评价因子1h平均质量浓度限值。对仅有8h平均质量浓度限值、日平均质量浓度限值或年平均质量浓度限值的，可分别按2倍、3倍、6倍折算为1h平均质量浓度限值。</w:t>
      </w:r>
    </w:p>
    <w:p>
      <w:pPr>
        <w:pStyle w:val="349"/>
      </w:pPr>
      <w:r>
        <w:rPr>
          <w:rFonts w:hint="eastAsia"/>
        </w:rPr>
        <w:t>估算模式及参数</w:t>
      </w:r>
    </w:p>
    <w:p>
      <w:pPr>
        <w:pStyle w:val="273"/>
        <w:bidi w:val="0"/>
        <w:rPr>
          <w:rFonts w:hint="eastAsia"/>
        </w:rPr>
      </w:pPr>
      <w:r>
        <w:rPr>
          <w:rFonts w:hint="eastAsia"/>
        </w:rPr>
        <w:t>表</w:t>
      </w:r>
      <w:r>
        <w:rPr>
          <w:rFonts w:hint="eastAsia"/>
          <w:lang w:val="en-US" w:eastAsia="zh-CN"/>
        </w:rPr>
        <w:t>7-4</w:t>
      </w:r>
      <w:r>
        <w:rPr>
          <w:rFonts w:hint="eastAsia"/>
        </w:rPr>
        <w:t xml:space="preserve">  估算模型参数表</w:t>
      </w:r>
    </w:p>
    <w:tbl>
      <w:tblPr>
        <w:tblStyle w:val="260"/>
        <w:tblW w:w="85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82"/>
        <w:gridCol w:w="3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332" w:type="dxa"/>
            <w:gridSpan w:val="2"/>
            <w:vAlign w:val="center"/>
          </w:tcPr>
          <w:p>
            <w:pPr>
              <w:pStyle w:val="100"/>
              <w:widowControl w:val="0"/>
              <w:bidi w:val="0"/>
              <w:adjustRightInd w:val="0"/>
              <w:snapToGrid w:val="0"/>
            </w:pPr>
            <w:r>
              <w:t>参数</w:t>
            </w:r>
          </w:p>
        </w:tc>
        <w:tc>
          <w:tcPr>
            <w:tcW w:w="3215" w:type="dxa"/>
            <w:vAlign w:val="center"/>
          </w:tcPr>
          <w:p>
            <w:pPr>
              <w:pStyle w:val="100"/>
              <w:widowControl w:val="0"/>
              <w:bidi w:val="0"/>
              <w:adjustRightInd w:val="0"/>
              <w:snapToGrid w:val="0"/>
            </w:pPr>
            <w: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50" w:type="dxa"/>
            <w:vMerge w:val="restart"/>
            <w:vAlign w:val="center"/>
          </w:tcPr>
          <w:p>
            <w:pPr>
              <w:pStyle w:val="100"/>
              <w:widowControl w:val="0"/>
              <w:bidi w:val="0"/>
              <w:adjustRightInd w:val="0"/>
              <w:snapToGrid w:val="0"/>
            </w:pPr>
            <w:r>
              <w:t>城市农村/选项</w:t>
            </w:r>
          </w:p>
        </w:tc>
        <w:tc>
          <w:tcPr>
            <w:tcW w:w="2782" w:type="dxa"/>
            <w:vAlign w:val="center"/>
          </w:tcPr>
          <w:p>
            <w:pPr>
              <w:pStyle w:val="100"/>
              <w:widowControl w:val="0"/>
              <w:bidi w:val="0"/>
              <w:adjustRightInd w:val="0"/>
              <w:snapToGrid w:val="0"/>
            </w:pPr>
            <w:r>
              <w:t>城市/农村</w:t>
            </w:r>
          </w:p>
        </w:tc>
        <w:tc>
          <w:tcPr>
            <w:tcW w:w="3215" w:type="dxa"/>
            <w:vAlign w:val="center"/>
          </w:tcPr>
          <w:p>
            <w:pPr>
              <w:pStyle w:val="100"/>
              <w:widowControl w:val="0"/>
              <w:bidi w:val="0"/>
              <w:adjustRightInd w:val="0"/>
              <w:snapToGrid w:val="0"/>
            </w:pPr>
            <w:r>
              <w:rPr>
                <w:rFonts w:hint="eastAsia"/>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50" w:type="dxa"/>
            <w:vMerge w:val="continue"/>
            <w:vAlign w:val="center"/>
          </w:tcPr>
          <w:p>
            <w:pPr>
              <w:pStyle w:val="100"/>
              <w:widowControl w:val="0"/>
              <w:bidi w:val="0"/>
              <w:adjustRightInd w:val="0"/>
              <w:snapToGrid w:val="0"/>
            </w:pPr>
          </w:p>
        </w:tc>
        <w:tc>
          <w:tcPr>
            <w:tcW w:w="2782" w:type="dxa"/>
            <w:vAlign w:val="center"/>
          </w:tcPr>
          <w:p>
            <w:pPr>
              <w:pStyle w:val="100"/>
              <w:widowControl w:val="0"/>
              <w:bidi w:val="0"/>
              <w:adjustRightInd w:val="0"/>
              <w:snapToGrid w:val="0"/>
            </w:pPr>
            <w:r>
              <w:t>人口数</w:t>
            </w:r>
            <w:r>
              <w:rPr>
                <w:rFonts w:hint="eastAsia"/>
              </w:rPr>
              <w:t>（</w:t>
            </w:r>
            <w:r>
              <w:t>城市人口数</w:t>
            </w:r>
            <w:r>
              <w:rPr>
                <w:rFonts w:hint="eastAsia"/>
              </w:rPr>
              <w:t>）</w:t>
            </w:r>
          </w:p>
        </w:tc>
        <w:tc>
          <w:tcPr>
            <w:tcW w:w="3215" w:type="dxa"/>
            <w:vAlign w:val="center"/>
          </w:tcPr>
          <w:p>
            <w:pPr>
              <w:pStyle w:val="100"/>
              <w:widowControl w:val="0"/>
              <w:bidi w:val="0"/>
              <w:adjustRightInd w:val="0"/>
              <w:snapToGrid w:val="0"/>
            </w:pPr>
            <w:r>
              <w:rPr>
                <w:rFonts w:hint="eastAsia"/>
              </w:rPr>
              <w:t>32万人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332" w:type="dxa"/>
            <w:gridSpan w:val="2"/>
            <w:vAlign w:val="center"/>
          </w:tcPr>
          <w:p>
            <w:pPr>
              <w:pStyle w:val="100"/>
              <w:widowControl w:val="0"/>
              <w:bidi w:val="0"/>
              <w:adjustRightInd w:val="0"/>
              <w:snapToGrid w:val="0"/>
            </w:pPr>
            <w:r>
              <w:t>最高环境温度</w:t>
            </w:r>
          </w:p>
        </w:tc>
        <w:tc>
          <w:tcPr>
            <w:tcW w:w="3215" w:type="dxa"/>
            <w:vAlign w:val="center"/>
          </w:tcPr>
          <w:p>
            <w:pPr>
              <w:pStyle w:val="100"/>
              <w:widowControl w:val="0"/>
              <w:bidi w:val="0"/>
              <w:adjustRightInd w:val="0"/>
              <w:snapToGrid w:val="0"/>
            </w:pPr>
            <w:r>
              <w:t>38.4°C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332" w:type="dxa"/>
            <w:gridSpan w:val="2"/>
            <w:vAlign w:val="center"/>
          </w:tcPr>
          <w:p>
            <w:pPr>
              <w:pStyle w:val="100"/>
              <w:widowControl w:val="0"/>
              <w:bidi w:val="0"/>
              <w:adjustRightInd w:val="0"/>
              <w:snapToGrid w:val="0"/>
            </w:pPr>
            <w:r>
              <w:t>最低环境温度</w:t>
            </w:r>
          </w:p>
        </w:tc>
        <w:tc>
          <w:tcPr>
            <w:tcW w:w="3215" w:type="dxa"/>
            <w:vAlign w:val="center"/>
          </w:tcPr>
          <w:p>
            <w:pPr>
              <w:pStyle w:val="100"/>
              <w:widowControl w:val="0"/>
              <w:bidi w:val="0"/>
              <w:adjustRightInd w:val="0"/>
              <w:snapToGrid w:val="0"/>
            </w:pPr>
            <w:r>
              <w:rPr>
                <w:rFonts w:hint="eastAsia"/>
              </w:rPr>
              <w:t>-10.6℃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332" w:type="dxa"/>
            <w:gridSpan w:val="2"/>
            <w:vAlign w:val="center"/>
          </w:tcPr>
          <w:p>
            <w:pPr>
              <w:pStyle w:val="100"/>
              <w:widowControl w:val="0"/>
              <w:bidi w:val="0"/>
              <w:adjustRightInd w:val="0"/>
              <w:snapToGrid w:val="0"/>
            </w:pPr>
            <w:r>
              <w:t>土地利用类型</w:t>
            </w:r>
          </w:p>
        </w:tc>
        <w:tc>
          <w:tcPr>
            <w:tcW w:w="3215" w:type="dxa"/>
            <w:vAlign w:val="center"/>
          </w:tcPr>
          <w:p>
            <w:pPr>
              <w:pStyle w:val="100"/>
              <w:widowControl w:val="0"/>
              <w:bidi w:val="0"/>
              <w:adjustRightInd w:val="0"/>
              <w:snapToGrid w:val="0"/>
            </w:pPr>
            <w:r>
              <w:rPr>
                <w:rFonts w:hint="eastAsia"/>
              </w:rPr>
              <w:t>建设用地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332" w:type="dxa"/>
            <w:gridSpan w:val="2"/>
            <w:vAlign w:val="center"/>
          </w:tcPr>
          <w:p>
            <w:pPr>
              <w:pStyle w:val="100"/>
              <w:widowControl w:val="0"/>
              <w:bidi w:val="0"/>
              <w:adjustRightInd w:val="0"/>
              <w:snapToGrid w:val="0"/>
            </w:pPr>
            <w:r>
              <w:t>区域湿度条件</w:t>
            </w:r>
          </w:p>
        </w:tc>
        <w:tc>
          <w:tcPr>
            <w:tcW w:w="3215" w:type="dxa"/>
            <w:vAlign w:val="center"/>
          </w:tcPr>
          <w:p>
            <w:pPr>
              <w:pStyle w:val="100"/>
              <w:widowControl w:val="0"/>
              <w:bidi w:val="0"/>
              <w:adjustRightInd w:val="0"/>
              <w:snapToGrid w:val="0"/>
            </w:pPr>
            <w:r>
              <w:rPr>
                <w:rFonts w:hint="eastAsia"/>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50" w:type="dxa"/>
            <w:vMerge w:val="restart"/>
            <w:vAlign w:val="center"/>
          </w:tcPr>
          <w:p>
            <w:pPr>
              <w:pStyle w:val="100"/>
              <w:widowControl w:val="0"/>
              <w:bidi w:val="0"/>
              <w:adjustRightInd w:val="0"/>
              <w:snapToGrid w:val="0"/>
            </w:pPr>
            <w:r>
              <w:t>是否考虑地形</w:t>
            </w:r>
          </w:p>
        </w:tc>
        <w:tc>
          <w:tcPr>
            <w:tcW w:w="2782" w:type="dxa"/>
            <w:vAlign w:val="center"/>
          </w:tcPr>
          <w:p>
            <w:pPr>
              <w:pStyle w:val="100"/>
              <w:widowControl w:val="0"/>
              <w:bidi w:val="0"/>
              <w:adjustRightInd w:val="0"/>
              <w:snapToGrid w:val="0"/>
            </w:pPr>
            <w:r>
              <w:t>考虑地形</w:t>
            </w:r>
          </w:p>
        </w:tc>
        <w:tc>
          <w:tcPr>
            <w:tcW w:w="3215" w:type="dxa"/>
            <w:vAlign w:val="center"/>
          </w:tcPr>
          <w:p>
            <w:pPr>
              <w:pStyle w:val="100"/>
              <w:widowControl w:val="0"/>
              <w:bidi w:val="0"/>
              <w:adjustRightInd w:val="0"/>
              <w:snapToGrid w:val="0"/>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50" w:type="dxa"/>
            <w:vMerge w:val="continue"/>
            <w:vAlign w:val="center"/>
          </w:tcPr>
          <w:p>
            <w:pPr>
              <w:pStyle w:val="100"/>
              <w:widowControl w:val="0"/>
              <w:bidi w:val="0"/>
              <w:adjustRightInd w:val="0"/>
              <w:snapToGrid w:val="0"/>
            </w:pPr>
          </w:p>
        </w:tc>
        <w:tc>
          <w:tcPr>
            <w:tcW w:w="2782" w:type="dxa"/>
            <w:vAlign w:val="center"/>
          </w:tcPr>
          <w:p>
            <w:pPr>
              <w:pStyle w:val="100"/>
              <w:widowControl w:val="0"/>
              <w:bidi w:val="0"/>
              <w:adjustRightInd w:val="0"/>
              <w:snapToGrid w:val="0"/>
            </w:pPr>
            <w:r>
              <w:t>地形数据分辨率(m)</w:t>
            </w:r>
          </w:p>
        </w:tc>
        <w:tc>
          <w:tcPr>
            <w:tcW w:w="3215" w:type="dxa"/>
            <w:vAlign w:val="center"/>
          </w:tcPr>
          <w:p>
            <w:pPr>
              <w:pStyle w:val="100"/>
              <w:widowControl w:val="0"/>
              <w:bidi w:val="0"/>
              <w:adjustRightInd w:val="0"/>
              <w:snapToGrid w:val="0"/>
            </w:pPr>
            <w: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50" w:type="dxa"/>
            <w:vMerge w:val="restart"/>
            <w:vAlign w:val="center"/>
          </w:tcPr>
          <w:p>
            <w:pPr>
              <w:pStyle w:val="100"/>
              <w:widowControl w:val="0"/>
              <w:bidi w:val="0"/>
              <w:adjustRightInd w:val="0"/>
              <w:snapToGrid w:val="0"/>
            </w:pPr>
            <w:r>
              <w:t>是否考虑海岸线熏烟</w:t>
            </w:r>
          </w:p>
        </w:tc>
        <w:tc>
          <w:tcPr>
            <w:tcW w:w="2782" w:type="dxa"/>
            <w:vAlign w:val="center"/>
          </w:tcPr>
          <w:p>
            <w:pPr>
              <w:pStyle w:val="100"/>
              <w:widowControl w:val="0"/>
              <w:bidi w:val="0"/>
              <w:adjustRightInd w:val="0"/>
              <w:snapToGrid w:val="0"/>
            </w:pPr>
            <w:r>
              <w:t>考虑海岸线熏烟</w:t>
            </w:r>
          </w:p>
        </w:tc>
        <w:tc>
          <w:tcPr>
            <w:tcW w:w="3215" w:type="dxa"/>
            <w:vAlign w:val="center"/>
          </w:tcPr>
          <w:p>
            <w:pPr>
              <w:pStyle w:val="100"/>
              <w:widowControl w:val="0"/>
              <w:bidi w:val="0"/>
              <w:adjustRightInd w:val="0"/>
              <w:snapToGrid w:val="0"/>
            </w:pPr>
            <w: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50" w:type="dxa"/>
            <w:vMerge w:val="continue"/>
            <w:vAlign w:val="center"/>
          </w:tcPr>
          <w:p>
            <w:pPr>
              <w:pStyle w:val="100"/>
              <w:widowControl w:val="0"/>
              <w:bidi w:val="0"/>
              <w:adjustRightInd w:val="0"/>
              <w:snapToGrid w:val="0"/>
            </w:pPr>
          </w:p>
        </w:tc>
        <w:tc>
          <w:tcPr>
            <w:tcW w:w="2782" w:type="dxa"/>
            <w:vAlign w:val="center"/>
          </w:tcPr>
          <w:p>
            <w:pPr>
              <w:pStyle w:val="100"/>
              <w:widowControl w:val="0"/>
              <w:bidi w:val="0"/>
              <w:adjustRightInd w:val="0"/>
              <w:snapToGrid w:val="0"/>
            </w:pPr>
            <w:r>
              <w:t>海岸线距离/km</w:t>
            </w:r>
          </w:p>
        </w:tc>
        <w:tc>
          <w:tcPr>
            <w:tcW w:w="3215" w:type="dxa"/>
            <w:vAlign w:val="center"/>
          </w:tcPr>
          <w:p>
            <w:pPr>
              <w:pStyle w:val="100"/>
              <w:widowControl w:val="0"/>
              <w:bidi w:val="0"/>
              <w:adjustRightInd w:val="0"/>
              <w:snapToGrid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50" w:type="dxa"/>
            <w:vMerge w:val="continue"/>
            <w:vAlign w:val="center"/>
          </w:tcPr>
          <w:p>
            <w:pPr>
              <w:pStyle w:val="100"/>
              <w:widowControl w:val="0"/>
              <w:bidi w:val="0"/>
              <w:adjustRightInd w:val="0"/>
              <w:snapToGrid w:val="0"/>
            </w:pPr>
          </w:p>
        </w:tc>
        <w:tc>
          <w:tcPr>
            <w:tcW w:w="2782" w:type="dxa"/>
            <w:vAlign w:val="center"/>
          </w:tcPr>
          <w:p>
            <w:pPr>
              <w:pStyle w:val="100"/>
              <w:widowControl w:val="0"/>
              <w:bidi w:val="0"/>
              <w:adjustRightInd w:val="0"/>
              <w:snapToGrid w:val="0"/>
            </w:pPr>
            <w:r>
              <w:t>海岸线方向/o</w:t>
            </w:r>
          </w:p>
        </w:tc>
        <w:tc>
          <w:tcPr>
            <w:tcW w:w="3215" w:type="dxa"/>
            <w:vAlign w:val="center"/>
          </w:tcPr>
          <w:p>
            <w:pPr>
              <w:pStyle w:val="100"/>
              <w:widowControl w:val="0"/>
              <w:bidi w:val="0"/>
              <w:adjustRightInd w:val="0"/>
              <w:snapToGrid w:val="0"/>
            </w:pPr>
            <w:r>
              <w:t>/</w:t>
            </w:r>
          </w:p>
        </w:tc>
      </w:tr>
    </w:tbl>
    <w:p>
      <w:pPr>
        <w:pStyle w:val="349"/>
      </w:pPr>
      <w:r>
        <w:rPr>
          <w:rFonts w:hint="eastAsia"/>
        </w:rPr>
        <w:t>污染源强及参数</w:t>
      </w:r>
    </w:p>
    <w:p>
      <w:pPr>
        <w:pStyle w:val="273"/>
        <w:bidi w:val="0"/>
        <w:rPr>
          <w:rFonts w:hint="eastAsia"/>
        </w:rPr>
      </w:pPr>
      <w:r>
        <w:rPr>
          <w:rFonts w:hint="eastAsia"/>
        </w:rPr>
        <w:t>表7-</w:t>
      </w:r>
      <w:r>
        <w:rPr>
          <w:rFonts w:hint="eastAsia"/>
          <w:lang w:val="en-US" w:eastAsia="zh-CN"/>
        </w:rPr>
        <w:t>5</w:t>
      </w:r>
      <w:r>
        <w:rPr>
          <w:rFonts w:hint="eastAsia"/>
        </w:rPr>
        <w:t xml:space="preserve">  项目大气污染物点源参数</w:t>
      </w:r>
    </w:p>
    <w:tbl>
      <w:tblPr>
        <w:tblStyle w:val="2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
        <w:gridCol w:w="403"/>
        <w:gridCol w:w="746"/>
        <w:gridCol w:w="655"/>
        <w:gridCol w:w="784"/>
        <w:gridCol w:w="652"/>
        <w:gridCol w:w="648"/>
        <w:gridCol w:w="778"/>
        <w:gridCol w:w="450"/>
        <w:gridCol w:w="906"/>
        <w:gridCol w:w="767"/>
        <w:gridCol w:w="1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6" w:hRule="atLeast"/>
          <w:jc w:val="center"/>
        </w:trPr>
        <w:tc>
          <w:tcPr>
            <w:tcW w:w="222" w:type="pct"/>
            <w:vMerge w:val="restart"/>
            <w:vAlign w:val="center"/>
          </w:tcPr>
          <w:p>
            <w:pPr>
              <w:pStyle w:val="100"/>
              <w:widowControl w:val="0"/>
              <w:bidi w:val="0"/>
              <w:adjustRightInd w:val="0"/>
              <w:snapToGrid w:val="0"/>
            </w:pPr>
            <w:r>
              <w:rPr>
                <w:rFonts w:hint="eastAsia"/>
              </w:rPr>
              <w:t>编号</w:t>
            </w:r>
          </w:p>
        </w:tc>
        <w:tc>
          <w:tcPr>
            <w:tcW w:w="236" w:type="pct"/>
            <w:vMerge w:val="restart"/>
            <w:vAlign w:val="center"/>
          </w:tcPr>
          <w:p>
            <w:pPr>
              <w:pStyle w:val="100"/>
              <w:widowControl w:val="0"/>
              <w:bidi w:val="0"/>
              <w:adjustRightInd w:val="0"/>
              <w:snapToGrid w:val="0"/>
            </w:pPr>
            <w:r>
              <w:rPr>
                <w:rFonts w:hint="eastAsia"/>
              </w:rPr>
              <w:t>名称</w:t>
            </w:r>
          </w:p>
        </w:tc>
        <w:tc>
          <w:tcPr>
            <w:tcW w:w="820" w:type="pct"/>
            <w:gridSpan w:val="2"/>
            <w:vAlign w:val="center"/>
          </w:tcPr>
          <w:p>
            <w:pPr>
              <w:pStyle w:val="100"/>
              <w:widowControl w:val="0"/>
              <w:bidi w:val="0"/>
              <w:adjustRightInd w:val="0"/>
              <w:snapToGrid w:val="0"/>
            </w:pPr>
            <w:r>
              <w:rPr>
                <w:rFonts w:hint="eastAsia"/>
              </w:rPr>
              <w:t>排气筒底部经纬度</w:t>
            </w:r>
          </w:p>
        </w:tc>
        <w:tc>
          <w:tcPr>
            <w:tcW w:w="459" w:type="pct"/>
            <w:vMerge w:val="restart"/>
            <w:vAlign w:val="center"/>
          </w:tcPr>
          <w:p>
            <w:pPr>
              <w:pStyle w:val="100"/>
              <w:widowControl w:val="0"/>
              <w:bidi w:val="0"/>
              <w:adjustRightInd w:val="0"/>
              <w:snapToGrid w:val="0"/>
            </w:pPr>
            <w:r>
              <w:rPr>
                <w:rFonts w:hint="eastAsia"/>
              </w:rPr>
              <w:t>排气筒底部海拔高度m</w:t>
            </w:r>
          </w:p>
        </w:tc>
        <w:tc>
          <w:tcPr>
            <w:tcW w:w="382" w:type="pct"/>
            <w:vMerge w:val="restart"/>
            <w:vAlign w:val="center"/>
          </w:tcPr>
          <w:p>
            <w:pPr>
              <w:pStyle w:val="100"/>
              <w:widowControl w:val="0"/>
              <w:bidi w:val="0"/>
              <w:adjustRightInd w:val="0"/>
              <w:snapToGrid w:val="0"/>
            </w:pPr>
            <w:r>
              <w:rPr>
                <w:rFonts w:hint="eastAsia"/>
              </w:rPr>
              <w:t>排气筒高度m</w:t>
            </w:r>
          </w:p>
        </w:tc>
        <w:tc>
          <w:tcPr>
            <w:tcW w:w="380" w:type="pct"/>
            <w:vMerge w:val="restart"/>
            <w:vAlign w:val="center"/>
          </w:tcPr>
          <w:p>
            <w:pPr>
              <w:pStyle w:val="100"/>
              <w:widowControl w:val="0"/>
              <w:bidi w:val="0"/>
              <w:adjustRightInd w:val="0"/>
              <w:snapToGrid w:val="0"/>
            </w:pPr>
            <w:r>
              <w:rPr>
                <w:rFonts w:hint="eastAsia"/>
              </w:rPr>
              <w:t>排气筒出口内径m</w:t>
            </w:r>
          </w:p>
        </w:tc>
        <w:tc>
          <w:tcPr>
            <w:tcW w:w="456" w:type="pct"/>
            <w:vMerge w:val="restart"/>
            <w:vAlign w:val="center"/>
          </w:tcPr>
          <w:p>
            <w:pPr>
              <w:pStyle w:val="100"/>
              <w:widowControl w:val="0"/>
              <w:bidi w:val="0"/>
              <w:adjustRightInd w:val="0"/>
              <w:snapToGrid w:val="0"/>
            </w:pPr>
            <w:r>
              <w:rPr>
                <w:rFonts w:hint="eastAsia"/>
              </w:rPr>
              <w:t>烟气流速m/s</w:t>
            </w:r>
          </w:p>
        </w:tc>
        <w:tc>
          <w:tcPr>
            <w:tcW w:w="264" w:type="pct"/>
            <w:vMerge w:val="restart"/>
            <w:vAlign w:val="center"/>
          </w:tcPr>
          <w:p>
            <w:pPr>
              <w:pStyle w:val="100"/>
              <w:widowControl w:val="0"/>
              <w:bidi w:val="0"/>
              <w:adjustRightInd w:val="0"/>
              <w:snapToGrid w:val="0"/>
            </w:pPr>
            <w:r>
              <w:rPr>
                <w:rFonts w:hint="eastAsia"/>
              </w:rPr>
              <w:t>烟气温度℃</w:t>
            </w:r>
          </w:p>
        </w:tc>
        <w:tc>
          <w:tcPr>
            <w:tcW w:w="530" w:type="pct"/>
            <w:vMerge w:val="restart"/>
            <w:vAlign w:val="center"/>
          </w:tcPr>
          <w:p>
            <w:pPr>
              <w:pStyle w:val="100"/>
              <w:widowControl w:val="0"/>
              <w:bidi w:val="0"/>
              <w:adjustRightInd w:val="0"/>
              <w:snapToGrid w:val="0"/>
            </w:pPr>
            <w:r>
              <w:rPr>
                <w:rFonts w:hint="eastAsia"/>
              </w:rPr>
              <w:t>年排放小时数h</w:t>
            </w:r>
          </w:p>
        </w:tc>
        <w:tc>
          <w:tcPr>
            <w:tcW w:w="450" w:type="pct"/>
            <w:vMerge w:val="restart"/>
            <w:vAlign w:val="center"/>
          </w:tcPr>
          <w:p>
            <w:pPr>
              <w:pStyle w:val="100"/>
              <w:widowControl w:val="0"/>
              <w:bidi w:val="0"/>
              <w:adjustRightInd w:val="0"/>
              <w:snapToGrid w:val="0"/>
            </w:pPr>
            <w:r>
              <w:rPr>
                <w:rFonts w:hint="eastAsia"/>
              </w:rPr>
              <w:t>排放工况</w:t>
            </w:r>
          </w:p>
        </w:tc>
        <w:tc>
          <w:tcPr>
            <w:tcW w:w="796" w:type="pct"/>
            <w:vAlign w:val="center"/>
          </w:tcPr>
          <w:p>
            <w:pPr>
              <w:pStyle w:val="100"/>
              <w:widowControl w:val="0"/>
              <w:bidi w:val="0"/>
              <w:adjustRightInd w:val="0"/>
              <w:snapToGrid w:val="0"/>
            </w:pPr>
            <w:r>
              <w:rPr>
                <w:rFonts w:hint="eastAsia"/>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222" w:type="pct"/>
            <w:vMerge w:val="continue"/>
            <w:vAlign w:val="center"/>
          </w:tcPr>
          <w:p>
            <w:pPr>
              <w:pStyle w:val="100"/>
              <w:widowControl w:val="0"/>
              <w:bidi w:val="0"/>
              <w:adjustRightInd w:val="0"/>
              <w:snapToGrid w:val="0"/>
            </w:pPr>
          </w:p>
        </w:tc>
        <w:tc>
          <w:tcPr>
            <w:tcW w:w="236" w:type="pct"/>
            <w:vMerge w:val="continue"/>
            <w:vAlign w:val="center"/>
          </w:tcPr>
          <w:p>
            <w:pPr>
              <w:pStyle w:val="100"/>
              <w:widowControl w:val="0"/>
              <w:bidi w:val="0"/>
              <w:adjustRightInd w:val="0"/>
              <w:snapToGrid w:val="0"/>
            </w:pPr>
          </w:p>
        </w:tc>
        <w:tc>
          <w:tcPr>
            <w:tcW w:w="437" w:type="pct"/>
            <w:vAlign w:val="center"/>
          </w:tcPr>
          <w:p>
            <w:pPr>
              <w:pStyle w:val="100"/>
              <w:widowControl w:val="0"/>
              <w:bidi w:val="0"/>
              <w:adjustRightInd w:val="0"/>
              <w:snapToGrid w:val="0"/>
            </w:pPr>
            <w:r>
              <w:rPr>
                <w:rFonts w:hint="eastAsia"/>
              </w:rPr>
              <w:t>经度</w:t>
            </w:r>
          </w:p>
        </w:tc>
        <w:tc>
          <w:tcPr>
            <w:tcW w:w="382" w:type="pct"/>
            <w:vAlign w:val="center"/>
          </w:tcPr>
          <w:p>
            <w:pPr>
              <w:pStyle w:val="100"/>
              <w:widowControl w:val="0"/>
              <w:bidi w:val="0"/>
              <w:adjustRightInd w:val="0"/>
              <w:snapToGrid w:val="0"/>
            </w:pPr>
            <w:r>
              <w:rPr>
                <w:rFonts w:hint="eastAsia"/>
              </w:rPr>
              <w:t>纬度</w:t>
            </w:r>
          </w:p>
        </w:tc>
        <w:tc>
          <w:tcPr>
            <w:tcW w:w="459" w:type="pct"/>
            <w:vMerge w:val="continue"/>
            <w:vAlign w:val="center"/>
          </w:tcPr>
          <w:p>
            <w:pPr>
              <w:pStyle w:val="100"/>
              <w:widowControl w:val="0"/>
              <w:bidi w:val="0"/>
              <w:adjustRightInd w:val="0"/>
              <w:snapToGrid w:val="0"/>
            </w:pPr>
          </w:p>
        </w:tc>
        <w:tc>
          <w:tcPr>
            <w:tcW w:w="382" w:type="pct"/>
            <w:vMerge w:val="continue"/>
            <w:vAlign w:val="center"/>
          </w:tcPr>
          <w:p>
            <w:pPr>
              <w:pStyle w:val="100"/>
              <w:widowControl w:val="0"/>
              <w:bidi w:val="0"/>
              <w:adjustRightInd w:val="0"/>
              <w:snapToGrid w:val="0"/>
            </w:pPr>
          </w:p>
        </w:tc>
        <w:tc>
          <w:tcPr>
            <w:tcW w:w="380" w:type="pct"/>
            <w:vMerge w:val="continue"/>
            <w:vAlign w:val="center"/>
          </w:tcPr>
          <w:p>
            <w:pPr>
              <w:pStyle w:val="100"/>
              <w:widowControl w:val="0"/>
              <w:bidi w:val="0"/>
              <w:adjustRightInd w:val="0"/>
              <w:snapToGrid w:val="0"/>
            </w:pPr>
          </w:p>
        </w:tc>
        <w:tc>
          <w:tcPr>
            <w:tcW w:w="456" w:type="pct"/>
            <w:vMerge w:val="continue"/>
            <w:vAlign w:val="center"/>
          </w:tcPr>
          <w:p>
            <w:pPr>
              <w:pStyle w:val="100"/>
              <w:widowControl w:val="0"/>
              <w:bidi w:val="0"/>
              <w:adjustRightInd w:val="0"/>
              <w:snapToGrid w:val="0"/>
            </w:pPr>
          </w:p>
        </w:tc>
        <w:tc>
          <w:tcPr>
            <w:tcW w:w="264" w:type="pct"/>
            <w:vMerge w:val="continue"/>
            <w:vAlign w:val="center"/>
          </w:tcPr>
          <w:p>
            <w:pPr>
              <w:pStyle w:val="100"/>
              <w:widowControl w:val="0"/>
              <w:bidi w:val="0"/>
              <w:adjustRightInd w:val="0"/>
              <w:snapToGrid w:val="0"/>
            </w:pPr>
          </w:p>
        </w:tc>
        <w:tc>
          <w:tcPr>
            <w:tcW w:w="530" w:type="pct"/>
            <w:vMerge w:val="continue"/>
            <w:vAlign w:val="center"/>
          </w:tcPr>
          <w:p>
            <w:pPr>
              <w:pStyle w:val="100"/>
              <w:widowControl w:val="0"/>
              <w:bidi w:val="0"/>
              <w:adjustRightInd w:val="0"/>
              <w:snapToGrid w:val="0"/>
            </w:pPr>
          </w:p>
        </w:tc>
        <w:tc>
          <w:tcPr>
            <w:tcW w:w="450" w:type="pct"/>
            <w:vMerge w:val="continue"/>
            <w:vAlign w:val="center"/>
          </w:tcPr>
          <w:p>
            <w:pPr>
              <w:pStyle w:val="100"/>
              <w:widowControl w:val="0"/>
              <w:bidi w:val="0"/>
              <w:adjustRightInd w:val="0"/>
              <w:snapToGrid w:val="0"/>
            </w:pPr>
          </w:p>
        </w:tc>
        <w:tc>
          <w:tcPr>
            <w:tcW w:w="796" w:type="pct"/>
            <w:vAlign w:val="center"/>
          </w:tcPr>
          <w:p>
            <w:pPr>
              <w:pStyle w:val="100"/>
              <w:widowControl w:val="0"/>
              <w:bidi w:val="0"/>
              <w:adjustRightInd w:val="0"/>
              <w:snapToGrid w:val="0"/>
            </w:pPr>
            <w:r>
              <w:rPr>
                <w:rFonts w:hint="eastAsi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2" w:type="pct"/>
            <w:vAlign w:val="center"/>
          </w:tcPr>
          <w:p>
            <w:pPr>
              <w:pStyle w:val="100"/>
              <w:widowControl w:val="0"/>
              <w:bidi w:val="0"/>
              <w:adjustRightInd w:val="0"/>
              <w:snapToGrid w:val="0"/>
            </w:pPr>
            <w:r>
              <w:rPr>
                <w:rFonts w:hint="eastAsia"/>
              </w:rPr>
              <w:t>1</w:t>
            </w:r>
          </w:p>
        </w:tc>
        <w:tc>
          <w:tcPr>
            <w:tcW w:w="236" w:type="pct"/>
            <w:vAlign w:val="center"/>
          </w:tcPr>
          <w:p>
            <w:pPr>
              <w:pStyle w:val="100"/>
              <w:widowControl w:val="0"/>
              <w:bidi w:val="0"/>
              <w:adjustRightInd w:val="0"/>
              <w:snapToGrid w:val="0"/>
              <w:rPr>
                <w:rFonts w:hint="eastAsia"/>
                <w:lang w:val="en-US" w:eastAsia="zh-CN"/>
              </w:rPr>
            </w:pPr>
            <w:r>
              <w:rPr>
                <w:rFonts w:hint="eastAsia"/>
                <w:lang w:val="en-US" w:eastAsia="zh-CN"/>
              </w:rPr>
              <w:t>DA001</w:t>
            </w:r>
          </w:p>
        </w:tc>
        <w:tc>
          <w:tcPr>
            <w:tcW w:w="437" w:type="pct"/>
            <w:vAlign w:val="center"/>
          </w:tcPr>
          <w:p>
            <w:pPr>
              <w:pStyle w:val="100"/>
              <w:widowControl w:val="0"/>
              <w:bidi w:val="0"/>
              <w:adjustRightInd w:val="0"/>
              <w:snapToGrid w:val="0"/>
            </w:pPr>
            <w:r>
              <w:rPr>
                <w:rFonts w:hint="eastAsia"/>
              </w:rPr>
              <w:t>120.695388</w:t>
            </w:r>
          </w:p>
        </w:tc>
        <w:tc>
          <w:tcPr>
            <w:tcW w:w="382" w:type="pct"/>
            <w:vAlign w:val="center"/>
          </w:tcPr>
          <w:p>
            <w:pPr>
              <w:pStyle w:val="100"/>
              <w:widowControl w:val="0"/>
              <w:bidi w:val="0"/>
              <w:adjustRightInd w:val="0"/>
              <w:snapToGrid w:val="0"/>
            </w:pPr>
            <w:r>
              <w:rPr>
                <w:rFonts w:hint="eastAsia"/>
              </w:rPr>
              <w:t>31.174788</w:t>
            </w:r>
          </w:p>
        </w:tc>
        <w:tc>
          <w:tcPr>
            <w:tcW w:w="459" w:type="pct"/>
            <w:vAlign w:val="center"/>
          </w:tcPr>
          <w:p>
            <w:pPr>
              <w:pStyle w:val="100"/>
              <w:widowControl w:val="0"/>
              <w:bidi w:val="0"/>
              <w:adjustRightInd w:val="0"/>
              <w:snapToGrid w:val="0"/>
            </w:pPr>
            <w:r>
              <w:rPr>
                <w:rFonts w:hint="eastAsia"/>
              </w:rPr>
              <w:t>12</w:t>
            </w:r>
          </w:p>
        </w:tc>
        <w:tc>
          <w:tcPr>
            <w:tcW w:w="382" w:type="pct"/>
            <w:vAlign w:val="center"/>
          </w:tcPr>
          <w:p>
            <w:pPr>
              <w:pStyle w:val="100"/>
              <w:widowControl w:val="0"/>
              <w:bidi w:val="0"/>
              <w:adjustRightInd w:val="0"/>
              <w:snapToGrid w:val="0"/>
            </w:pPr>
            <w:r>
              <w:rPr>
                <w:rFonts w:hint="eastAsia"/>
              </w:rPr>
              <w:t>15</w:t>
            </w:r>
          </w:p>
        </w:tc>
        <w:tc>
          <w:tcPr>
            <w:tcW w:w="380" w:type="pct"/>
            <w:vAlign w:val="center"/>
          </w:tcPr>
          <w:p>
            <w:pPr>
              <w:pStyle w:val="100"/>
              <w:widowControl w:val="0"/>
              <w:bidi w:val="0"/>
              <w:adjustRightInd w:val="0"/>
              <w:snapToGrid w:val="0"/>
            </w:pPr>
            <w:r>
              <w:rPr>
                <w:rFonts w:hint="eastAsia"/>
              </w:rPr>
              <w:t>0.8</w:t>
            </w:r>
          </w:p>
        </w:tc>
        <w:tc>
          <w:tcPr>
            <w:tcW w:w="456" w:type="pct"/>
            <w:vAlign w:val="center"/>
          </w:tcPr>
          <w:p>
            <w:pPr>
              <w:pStyle w:val="100"/>
              <w:widowControl w:val="0"/>
              <w:bidi w:val="0"/>
              <w:adjustRightInd w:val="0"/>
              <w:snapToGrid w:val="0"/>
            </w:pPr>
            <w:r>
              <w:rPr>
                <w:rFonts w:hint="eastAsia"/>
              </w:rPr>
              <w:t>8.78</w:t>
            </w:r>
          </w:p>
        </w:tc>
        <w:tc>
          <w:tcPr>
            <w:tcW w:w="264" w:type="pct"/>
            <w:vAlign w:val="center"/>
          </w:tcPr>
          <w:p>
            <w:pPr>
              <w:pStyle w:val="100"/>
              <w:widowControl w:val="0"/>
              <w:bidi w:val="0"/>
              <w:adjustRightInd w:val="0"/>
              <w:snapToGrid w:val="0"/>
            </w:pPr>
            <w:r>
              <w:rPr>
                <w:rFonts w:hint="eastAsia"/>
              </w:rPr>
              <w:t>25</w:t>
            </w:r>
          </w:p>
        </w:tc>
        <w:tc>
          <w:tcPr>
            <w:tcW w:w="530" w:type="pct"/>
            <w:vAlign w:val="center"/>
          </w:tcPr>
          <w:p>
            <w:pPr>
              <w:pStyle w:val="100"/>
              <w:widowControl w:val="0"/>
              <w:bidi w:val="0"/>
              <w:adjustRightInd w:val="0"/>
              <w:snapToGrid w:val="0"/>
            </w:pPr>
            <w:r>
              <w:rPr>
                <w:rFonts w:hint="eastAsia"/>
              </w:rPr>
              <w:t>6000</w:t>
            </w:r>
          </w:p>
        </w:tc>
        <w:tc>
          <w:tcPr>
            <w:tcW w:w="450" w:type="pct"/>
            <w:vAlign w:val="center"/>
          </w:tcPr>
          <w:p>
            <w:pPr>
              <w:pStyle w:val="100"/>
              <w:widowControl w:val="0"/>
              <w:bidi w:val="0"/>
              <w:adjustRightInd w:val="0"/>
              <w:snapToGrid w:val="0"/>
            </w:pPr>
            <w:r>
              <w:rPr>
                <w:rFonts w:hint="eastAsia"/>
              </w:rPr>
              <w:t>正常排放</w:t>
            </w:r>
          </w:p>
        </w:tc>
        <w:tc>
          <w:tcPr>
            <w:tcW w:w="796" w:type="pct"/>
            <w:vAlign w:val="center"/>
          </w:tcPr>
          <w:p>
            <w:pPr>
              <w:pStyle w:val="100"/>
              <w:widowControl w:val="0"/>
              <w:bidi w:val="0"/>
              <w:adjustRightInd w:val="0"/>
              <w:snapToGrid w:val="0"/>
            </w:pPr>
            <w:r>
              <w:rPr>
                <w:rFonts w:hint="eastAsia"/>
              </w:rPr>
              <w:t>0.00645</w:t>
            </w:r>
          </w:p>
        </w:tc>
      </w:tr>
    </w:tbl>
    <w:p>
      <w:pPr>
        <w:pStyle w:val="273"/>
        <w:bidi w:val="0"/>
        <w:rPr>
          <w:rFonts w:hint="eastAsia"/>
        </w:rPr>
      </w:pPr>
      <w:r>
        <w:rPr>
          <w:rFonts w:hint="eastAsia"/>
        </w:rPr>
        <w:t>表7-</w:t>
      </w:r>
      <w:r>
        <w:rPr>
          <w:rFonts w:hint="eastAsia"/>
          <w:lang w:val="en-US" w:eastAsia="zh-CN"/>
        </w:rPr>
        <w:t>6</w:t>
      </w:r>
      <w:r>
        <w:rPr>
          <w:rFonts w:hint="eastAsia"/>
        </w:rPr>
        <w:t xml:space="preserve">  本项目废气无组织排放源强</w:t>
      </w:r>
    </w:p>
    <w:tbl>
      <w:tblPr>
        <w:tblStyle w:val="260"/>
        <w:tblW w:w="84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8"/>
        <w:gridCol w:w="596"/>
        <w:gridCol w:w="778"/>
        <w:gridCol w:w="648"/>
        <w:gridCol w:w="647"/>
        <w:gridCol w:w="518"/>
        <w:gridCol w:w="603"/>
        <w:gridCol w:w="576"/>
        <w:gridCol w:w="780"/>
        <w:gridCol w:w="780"/>
        <w:gridCol w:w="76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38" w:type="dxa"/>
            <w:vMerge w:val="restart"/>
            <w:noWrap/>
            <w:vAlign w:val="center"/>
          </w:tcPr>
          <w:p>
            <w:pPr>
              <w:pStyle w:val="100"/>
              <w:widowControl w:val="0"/>
              <w:bidi w:val="0"/>
              <w:adjustRightInd w:val="0"/>
              <w:snapToGrid w:val="0"/>
            </w:pPr>
            <w:r>
              <w:rPr>
                <w:rFonts w:hint="eastAsia"/>
              </w:rPr>
              <w:t>编号</w:t>
            </w:r>
          </w:p>
        </w:tc>
        <w:tc>
          <w:tcPr>
            <w:tcW w:w="596" w:type="dxa"/>
            <w:vMerge w:val="restart"/>
            <w:noWrap/>
            <w:vAlign w:val="center"/>
          </w:tcPr>
          <w:p>
            <w:pPr>
              <w:pStyle w:val="100"/>
              <w:widowControl w:val="0"/>
              <w:bidi w:val="0"/>
              <w:adjustRightInd w:val="0"/>
              <w:snapToGrid w:val="0"/>
            </w:pPr>
            <w:r>
              <w:rPr>
                <w:rFonts w:hint="eastAsia"/>
              </w:rPr>
              <w:t>名称</w:t>
            </w:r>
          </w:p>
        </w:tc>
        <w:tc>
          <w:tcPr>
            <w:tcW w:w="1426" w:type="dxa"/>
            <w:gridSpan w:val="2"/>
            <w:vAlign w:val="center"/>
          </w:tcPr>
          <w:p>
            <w:pPr>
              <w:pStyle w:val="100"/>
              <w:widowControl w:val="0"/>
              <w:bidi w:val="0"/>
              <w:adjustRightInd w:val="0"/>
              <w:snapToGrid w:val="0"/>
            </w:pPr>
            <w:r>
              <w:rPr>
                <w:rFonts w:hint="eastAsia"/>
              </w:rPr>
              <w:t>面源起点坐标m</w:t>
            </w:r>
          </w:p>
        </w:tc>
        <w:tc>
          <w:tcPr>
            <w:tcW w:w="647" w:type="dxa"/>
            <w:vMerge w:val="restart"/>
            <w:vAlign w:val="center"/>
          </w:tcPr>
          <w:p>
            <w:pPr>
              <w:pStyle w:val="100"/>
              <w:widowControl w:val="0"/>
              <w:bidi w:val="0"/>
              <w:adjustRightInd w:val="0"/>
              <w:snapToGrid w:val="0"/>
            </w:pPr>
            <w:r>
              <w:rPr>
                <w:rFonts w:hint="eastAsia"/>
              </w:rPr>
              <w:t>面源海拔高度m</w:t>
            </w:r>
          </w:p>
        </w:tc>
        <w:tc>
          <w:tcPr>
            <w:tcW w:w="518" w:type="dxa"/>
            <w:vMerge w:val="restart"/>
            <w:vAlign w:val="center"/>
          </w:tcPr>
          <w:p>
            <w:pPr>
              <w:pStyle w:val="100"/>
              <w:widowControl w:val="0"/>
              <w:bidi w:val="0"/>
              <w:adjustRightInd w:val="0"/>
              <w:snapToGrid w:val="0"/>
            </w:pPr>
            <w:r>
              <w:rPr>
                <w:rFonts w:hint="eastAsia"/>
              </w:rPr>
              <w:t>面源长度m</w:t>
            </w:r>
          </w:p>
        </w:tc>
        <w:tc>
          <w:tcPr>
            <w:tcW w:w="603" w:type="dxa"/>
            <w:vMerge w:val="restart"/>
            <w:vAlign w:val="center"/>
          </w:tcPr>
          <w:p>
            <w:pPr>
              <w:pStyle w:val="100"/>
              <w:widowControl w:val="0"/>
              <w:bidi w:val="0"/>
              <w:adjustRightInd w:val="0"/>
              <w:snapToGrid w:val="0"/>
            </w:pPr>
            <w:r>
              <w:rPr>
                <w:rFonts w:hint="eastAsia"/>
              </w:rPr>
              <w:t>面源宽度m</w:t>
            </w:r>
          </w:p>
        </w:tc>
        <w:tc>
          <w:tcPr>
            <w:tcW w:w="576" w:type="dxa"/>
            <w:vMerge w:val="restart"/>
            <w:vAlign w:val="center"/>
          </w:tcPr>
          <w:p>
            <w:pPr>
              <w:pStyle w:val="100"/>
              <w:widowControl w:val="0"/>
              <w:bidi w:val="0"/>
              <w:adjustRightInd w:val="0"/>
              <w:snapToGrid w:val="0"/>
            </w:pPr>
            <w:r>
              <w:rPr>
                <w:rFonts w:hint="eastAsia"/>
              </w:rPr>
              <w:t>与正北向夹角°</w:t>
            </w:r>
          </w:p>
        </w:tc>
        <w:tc>
          <w:tcPr>
            <w:tcW w:w="780" w:type="dxa"/>
            <w:vMerge w:val="restart"/>
            <w:vAlign w:val="center"/>
          </w:tcPr>
          <w:p>
            <w:pPr>
              <w:pStyle w:val="100"/>
              <w:widowControl w:val="0"/>
              <w:bidi w:val="0"/>
              <w:adjustRightInd w:val="0"/>
              <w:snapToGrid w:val="0"/>
            </w:pPr>
            <w:r>
              <w:rPr>
                <w:rFonts w:hint="eastAsia"/>
              </w:rPr>
              <w:t>面源有效排放高度m</w:t>
            </w:r>
          </w:p>
        </w:tc>
        <w:tc>
          <w:tcPr>
            <w:tcW w:w="780" w:type="dxa"/>
            <w:vMerge w:val="restart"/>
            <w:vAlign w:val="center"/>
          </w:tcPr>
          <w:p>
            <w:pPr>
              <w:pStyle w:val="100"/>
              <w:widowControl w:val="0"/>
              <w:bidi w:val="0"/>
              <w:adjustRightInd w:val="0"/>
              <w:snapToGrid w:val="0"/>
            </w:pPr>
            <w:r>
              <w:rPr>
                <w:rFonts w:hint="eastAsia"/>
              </w:rPr>
              <w:t>年排放小时数h</w:t>
            </w:r>
          </w:p>
        </w:tc>
        <w:tc>
          <w:tcPr>
            <w:tcW w:w="768" w:type="dxa"/>
            <w:vMerge w:val="restart"/>
            <w:vAlign w:val="center"/>
          </w:tcPr>
          <w:p>
            <w:pPr>
              <w:pStyle w:val="100"/>
              <w:widowControl w:val="0"/>
              <w:bidi w:val="0"/>
              <w:adjustRightInd w:val="0"/>
              <w:snapToGrid w:val="0"/>
            </w:pPr>
            <w:r>
              <w:rPr>
                <w:rFonts w:hint="eastAsia"/>
              </w:rPr>
              <w:t>排放工况</w:t>
            </w:r>
          </w:p>
        </w:tc>
        <w:tc>
          <w:tcPr>
            <w:tcW w:w="1254" w:type="dxa"/>
            <w:vAlign w:val="center"/>
          </w:tcPr>
          <w:p>
            <w:pPr>
              <w:pStyle w:val="100"/>
              <w:widowControl w:val="0"/>
              <w:bidi w:val="0"/>
              <w:adjustRightInd w:val="0"/>
              <w:snapToGrid w:val="0"/>
            </w:pPr>
            <w:r>
              <w:rPr>
                <w:rFonts w:hint="eastAsia"/>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38" w:type="dxa"/>
            <w:vMerge w:val="continue"/>
            <w:vAlign w:val="center"/>
          </w:tcPr>
          <w:p>
            <w:pPr>
              <w:pStyle w:val="100"/>
              <w:widowControl w:val="0"/>
              <w:bidi w:val="0"/>
              <w:adjustRightInd w:val="0"/>
              <w:snapToGrid w:val="0"/>
            </w:pPr>
          </w:p>
        </w:tc>
        <w:tc>
          <w:tcPr>
            <w:tcW w:w="596" w:type="dxa"/>
            <w:vMerge w:val="continue"/>
            <w:vAlign w:val="center"/>
          </w:tcPr>
          <w:p>
            <w:pPr>
              <w:pStyle w:val="100"/>
              <w:widowControl w:val="0"/>
              <w:bidi w:val="0"/>
              <w:adjustRightInd w:val="0"/>
              <w:snapToGrid w:val="0"/>
            </w:pPr>
          </w:p>
        </w:tc>
        <w:tc>
          <w:tcPr>
            <w:tcW w:w="778" w:type="dxa"/>
            <w:vAlign w:val="center"/>
          </w:tcPr>
          <w:p>
            <w:pPr>
              <w:pStyle w:val="100"/>
              <w:widowControl w:val="0"/>
              <w:bidi w:val="0"/>
              <w:adjustRightInd w:val="0"/>
              <w:snapToGrid w:val="0"/>
            </w:pPr>
            <w:r>
              <w:rPr>
                <w:rFonts w:hint="eastAsia"/>
              </w:rPr>
              <w:t>经度</w:t>
            </w:r>
          </w:p>
        </w:tc>
        <w:tc>
          <w:tcPr>
            <w:tcW w:w="648" w:type="dxa"/>
            <w:vAlign w:val="center"/>
          </w:tcPr>
          <w:p>
            <w:pPr>
              <w:pStyle w:val="100"/>
              <w:widowControl w:val="0"/>
              <w:bidi w:val="0"/>
              <w:adjustRightInd w:val="0"/>
              <w:snapToGrid w:val="0"/>
            </w:pPr>
            <w:r>
              <w:rPr>
                <w:rFonts w:hint="eastAsia"/>
              </w:rPr>
              <w:t>纬度</w:t>
            </w:r>
          </w:p>
        </w:tc>
        <w:tc>
          <w:tcPr>
            <w:tcW w:w="647" w:type="dxa"/>
            <w:vMerge w:val="continue"/>
            <w:vAlign w:val="center"/>
          </w:tcPr>
          <w:p>
            <w:pPr>
              <w:pStyle w:val="100"/>
              <w:widowControl w:val="0"/>
              <w:bidi w:val="0"/>
              <w:adjustRightInd w:val="0"/>
              <w:snapToGrid w:val="0"/>
            </w:pPr>
          </w:p>
        </w:tc>
        <w:tc>
          <w:tcPr>
            <w:tcW w:w="518" w:type="dxa"/>
            <w:vMerge w:val="continue"/>
            <w:vAlign w:val="center"/>
          </w:tcPr>
          <w:p>
            <w:pPr>
              <w:pStyle w:val="100"/>
              <w:widowControl w:val="0"/>
              <w:bidi w:val="0"/>
              <w:adjustRightInd w:val="0"/>
              <w:snapToGrid w:val="0"/>
            </w:pPr>
          </w:p>
        </w:tc>
        <w:tc>
          <w:tcPr>
            <w:tcW w:w="603" w:type="dxa"/>
            <w:vMerge w:val="continue"/>
            <w:vAlign w:val="center"/>
          </w:tcPr>
          <w:p>
            <w:pPr>
              <w:pStyle w:val="100"/>
              <w:widowControl w:val="0"/>
              <w:bidi w:val="0"/>
              <w:adjustRightInd w:val="0"/>
              <w:snapToGrid w:val="0"/>
            </w:pPr>
          </w:p>
        </w:tc>
        <w:tc>
          <w:tcPr>
            <w:tcW w:w="576" w:type="dxa"/>
            <w:vMerge w:val="continue"/>
            <w:vAlign w:val="center"/>
          </w:tcPr>
          <w:p>
            <w:pPr>
              <w:pStyle w:val="100"/>
              <w:widowControl w:val="0"/>
              <w:bidi w:val="0"/>
              <w:adjustRightInd w:val="0"/>
              <w:snapToGrid w:val="0"/>
            </w:pPr>
          </w:p>
        </w:tc>
        <w:tc>
          <w:tcPr>
            <w:tcW w:w="780" w:type="dxa"/>
            <w:vMerge w:val="continue"/>
            <w:vAlign w:val="center"/>
          </w:tcPr>
          <w:p>
            <w:pPr>
              <w:pStyle w:val="100"/>
              <w:widowControl w:val="0"/>
              <w:bidi w:val="0"/>
              <w:adjustRightInd w:val="0"/>
              <w:snapToGrid w:val="0"/>
            </w:pPr>
          </w:p>
        </w:tc>
        <w:tc>
          <w:tcPr>
            <w:tcW w:w="780" w:type="dxa"/>
            <w:vMerge w:val="continue"/>
            <w:vAlign w:val="center"/>
          </w:tcPr>
          <w:p>
            <w:pPr>
              <w:pStyle w:val="100"/>
              <w:widowControl w:val="0"/>
              <w:bidi w:val="0"/>
              <w:adjustRightInd w:val="0"/>
              <w:snapToGrid w:val="0"/>
            </w:pPr>
          </w:p>
        </w:tc>
        <w:tc>
          <w:tcPr>
            <w:tcW w:w="768" w:type="dxa"/>
            <w:vMerge w:val="continue"/>
            <w:vAlign w:val="center"/>
          </w:tcPr>
          <w:p>
            <w:pPr>
              <w:pStyle w:val="100"/>
              <w:widowControl w:val="0"/>
              <w:bidi w:val="0"/>
              <w:adjustRightInd w:val="0"/>
              <w:snapToGrid w:val="0"/>
            </w:pPr>
          </w:p>
        </w:tc>
        <w:tc>
          <w:tcPr>
            <w:tcW w:w="1254" w:type="dxa"/>
            <w:vAlign w:val="center"/>
          </w:tcPr>
          <w:p>
            <w:pPr>
              <w:pStyle w:val="100"/>
              <w:widowControl w:val="0"/>
              <w:bidi w:val="0"/>
              <w:adjustRightInd w:val="0"/>
              <w:snapToGrid w:val="0"/>
            </w:pPr>
            <w:r>
              <w:rPr>
                <w:rFonts w:hint="eastAsi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8" w:hRule="atLeast"/>
          <w:jc w:val="center"/>
        </w:trPr>
        <w:tc>
          <w:tcPr>
            <w:tcW w:w="538" w:type="dxa"/>
            <w:noWrap/>
            <w:vAlign w:val="center"/>
          </w:tcPr>
          <w:p>
            <w:pPr>
              <w:pStyle w:val="100"/>
              <w:widowControl w:val="0"/>
              <w:bidi w:val="0"/>
              <w:adjustRightInd w:val="0"/>
              <w:snapToGrid w:val="0"/>
            </w:pPr>
            <w:r>
              <w:rPr>
                <w:rFonts w:hint="eastAsia"/>
              </w:rPr>
              <w:t>1</w:t>
            </w:r>
          </w:p>
        </w:tc>
        <w:tc>
          <w:tcPr>
            <w:tcW w:w="596" w:type="dxa"/>
            <w:noWrap/>
            <w:vAlign w:val="center"/>
          </w:tcPr>
          <w:p>
            <w:pPr>
              <w:pStyle w:val="100"/>
              <w:widowControl w:val="0"/>
              <w:bidi w:val="0"/>
              <w:adjustRightInd w:val="0"/>
              <w:snapToGrid w:val="0"/>
            </w:pPr>
            <w:r>
              <w:rPr>
                <w:rFonts w:hint="eastAsia"/>
              </w:rPr>
              <w:t>印刷车间</w:t>
            </w:r>
          </w:p>
        </w:tc>
        <w:tc>
          <w:tcPr>
            <w:tcW w:w="778" w:type="dxa"/>
            <w:vAlign w:val="center"/>
          </w:tcPr>
          <w:p>
            <w:pPr>
              <w:pStyle w:val="100"/>
              <w:widowControl w:val="0"/>
              <w:bidi w:val="0"/>
              <w:adjustRightInd w:val="0"/>
              <w:snapToGrid w:val="0"/>
            </w:pPr>
            <w:r>
              <w:rPr>
                <w:rFonts w:hint="eastAsia"/>
              </w:rPr>
              <w:t>120.695431</w:t>
            </w:r>
          </w:p>
        </w:tc>
        <w:tc>
          <w:tcPr>
            <w:tcW w:w="648" w:type="dxa"/>
            <w:vAlign w:val="center"/>
          </w:tcPr>
          <w:p>
            <w:pPr>
              <w:pStyle w:val="100"/>
              <w:widowControl w:val="0"/>
              <w:bidi w:val="0"/>
              <w:adjustRightInd w:val="0"/>
              <w:snapToGrid w:val="0"/>
            </w:pPr>
            <w:r>
              <w:rPr>
                <w:rFonts w:hint="eastAsia"/>
              </w:rPr>
              <w:t>31.174715</w:t>
            </w:r>
          </w:p>
        </w:tc>
        <w:tc>
          <w:tcPr>
            <w:tcW w:w="647" w:type="dxa"/>
            <w:vAlign w:val="center"/>
          </w:tcPr>
          <w:p>
            <w:pPr>
              <w:pStyle w:val="100"/>
              <w:widowControl w:val="0"/>
              <w:bidi w:val="0"/>
              <w:adjustRightInd w:val="0"/>
              <w:snapToGrid w:val="0"/>
            </w:pPr>
            <w:r>
              <w:rPr>
                <w:rFonts w:hint="eastAsia"/>
              </w:rPr>
              <w:t>4</w:t>
            </w:r>
          </w:p>
        </w:tc>
        <w:tc>
          <w:tcPr>
            <w:tcW w:w="518" w:type="dxa"/>
            <w:vAlign w:val="center"/>
          </w:tcPr>
          <w:p>
            <w:pPr>
              <w:pStyle w:val="100"/>
              <w:widowControl w:val="0"/>
              <w:bidi w:val="0"/>
              <w:adjustRightInd w:val="0"/>
              <w:snapToGrid w:val="0"/>
            </w:pPr>
            <w:r>
              <w:rPr>
                <w:rFonts w:hint="eastAsia"/>
              </w:rPr>
              <w:t>50</w:t>
            </w:r>
          </w:p>
        </w:tc>
        <w:tc>
          <w:tcPr>
            <w:tcW w:w="603" w:type="dxa"/>
            <w:vAlign w:val="center"/>
          </w:tcPr>
          <w:p>
            <w:pPr>
              <w:pStyle w:val="100"/>
              <w:widowControl w:val="0"/>
              <w:bidi w:val="0"/>
              <w:adjustRightInd w:val="0"/>
              <w:snapToGrid w:val="0"/>
            </w:pPr>
            <w:r>
              <w:rPr>
                <w:rFonts w:hint="eastAsia"/>
              </w:rPr>
              <w:t>40</w:t>
            </w:r>
          </w:p>
        </w:tc>
        <w:tc>
          <w:tcPr>
            <w:tcW w:w="576" w:type="dxa"/>
            <w:vAlign w:val="center"/>
          </w:tcPr>
          <w:p>
            <w:pPr>
              <w:pStyle w:val="100"/>
              <w:widowControl w:val="0"/>
              <w:bidi w:val="0"/>
              <w:adjustRightInd w:val="0"/>
              <w:snapToGrid w:val="0"/>
            </w:pPr>
            <w:r>
              <w:rPr>
                <w:rFonts w:hint="eastAsia"/>
              </w:rPr>
              <w:t>80</w:t>
            </w:r>
          </w:p>
        </w:tc>
        <w:tc>
          <w:tcPr>
            <w:tcW w:w="780" w:type="dxa"/>
            <w:vAlign w:val="center"/>
          </w:tcPr>
          <w:p>
            <w:pPr>
              <w:pStyle w:val="100"/>
              <w:widowControl w:val="0"/>
              <w:bidi w:val="0"/>
              <w:adjustRightInd w:val="0"/>
              <w:snapToGrid w:val="0"/>
            </w:pPr>
            <w:r>
              <w:rPr>
                <w:rFonts w:hint="eastAsia"/>
              </w:rPr>
              <w:t>4</w:t>
            </w:r>
          </w:p>
        </w:tc>
        <w:tc>
          <w:tcPr>
            <w:tcW w:w="780" w:type="dxa"/>
            <w:vAlign w:val="center"/>
          </w:tcPr>
          <w:p>
            <w:pPr>
              <w:pStyle w:val="100"/>
              <w:widowControl w:val="0"/>
              <w:bidi w:val="0"/>
              <w:adjustRightInd w:val="0"/>
              <w:snapToGrid w:val="0"/>
            </w:pPr>
            <w:r>
              <w:rPr>
                <w:rFonts w:hint="eastAsia"/>
              </w:rPr>
              <w:t>6000</w:t>
            </w:r>
          </w:p>
        </w:tc>
        <w:tc>
          <w:tcPr>
            <w:tcW w:w="768" w:type="dxa"/>
            <w:vAlign w:val="center"/>
          </w:tcPr>
          <w:p>
            <w:pPr>
              <w:pStyle w:val="100"/>
              <w:widowControl w:val="0"/>
              <w:bidi w:val="0"/>
              <w:adjustRightInd w:val="0"/>
              <w:snapToGrid w:val="0"/>
            </w:pPr>
            <w:r>
              <w:rPr>
                <w:rFonts w:hint="eastAsia"/>
              </w:rPr>
              <w:t>正常排放</w:t>
            </w:r>
          </w:p>
        </w:tc>
        <w:tc>
          <w:tcPr>
            <w:tcW w:w="1254" w:type="dxa"/>
            <w:vAlign w:val="center"/>
          </w:tcPr>
          <w:p>
            <w:pPr>
              <w:pStyle w:val="100"/>
              <w:widowControl w:val="0"/>
              <w:bidi w:val="0"/>
              <w:adjustRightInd w:val="0"/>
              <w:snapToGrid w:val="0"/>
            </w:pPr>
            <w:r>
              <w:rPr>
                <w:rFonts w:hint="eastAsia"/>
              </w:rPr>
              <w:t>0.0072</w:t>
            </w:r>
          </w:p>
        </w:tc>
      </w:tr>
    </w:tbl>
    <w:p>
      <w:pPr>
        <w:pStyle w:val="349"/>
        <w:rPr>
          <w:highlight w:val="none"/>
        </w:rPr>
      </w:pPr>
      <w:r>
        <w:rPr>
          <w:rFonts w:hint="eastAsia"/>
          <w:highlight w:val="none"/>
        </w:rPr>
        <w:t>估算结果及评价等级判定</w:t>
      </w:r>
    </w:p>
    <w:p>
      <w:pPr>
        <w:pStyle w:val="103"/>
        <w:bidi w:val="0"/>
      </w:pPr>
      <w:r>
        <w:t>本项目有</w:t>
      </w:r>
      <w:r>
        <w:rPr>
          <w:rFonts w:hint="eastAsia"/>
        </w:rPr>
        <w:t>1</w:t>
      </w:r>
      <w:r>
        <w:t>个排气筒排放有组织废气，</w:t>
      </w:r>
      <w:r>
        <w:rPr>
          <w:rFonts w:hint="eastAsia"/>
        </w:rPr>
        <w:t>1</w:t>
      </w:r>
      <w:r>
        <w:t>个面源排放无组织废气，污染物种类主要</w:t>
      </w:r>
      <w:r>
        <w:rPr>
          <w:rFonts w:hint="eastAsia"/>
        </w:rPr>
        <w:t>为</w:t>
      </w:r>
      <w:r>
        <w:t>非甲烷总烃。根据导则中推荐的估算模式计算，结果见表</w:t>
      </w:r>
      <w:r>
        <w:rPr>
          <w:rFonts w:hint="eastAsia"/>
          <w:lang w:val="en-US" w:eastAsia="zh-CN"/>
        </w:rPr>
        <w:t>7-7</w:t>
      </w:r>
      <w:r>
        <w:t>。</w:t>
      </w:r>
    </w:p>
    <w:p>
      <w:pPr>
        <w:pStyle w:val="273"/>
        <w:bidi w:val="0"/>
        <w:rPr>
          <w:rFonts w:hint="eastAsia"/>
        </w:rPr>
      </w:pPr>
      <w:r>
        <w:rPr>
          <w:rFonts w:hint="eastAsia"/>
        </w:rPr>
        <w:t>表</w:t>
      </w:r>
      <w:r>
        <w:rPr>
          <w:rFonts w:hint="eastAsia"/>
          <w:lang w:val="en-US" w:eastAsia="zh-CN"/>
        </w:rPr>
        <w:t>7-7</w:t>
      </w:r>
      <w:r>
        <w:rPr>
          <w:rFonts w:hint="eastAsia"/>
        </w:rPr>
        <w:t xml:space="preserve">  有组织废气估算模式计算表</w:t>
      </w:r>
    </w:p>
    <w:tbl>
      <w:tblPr>
        <w:tblStyle w:val="260"/>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998"/>
        <w:gridCol w:w="30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blHeader/>
          <w:jc w:val="center"/>
        </w:trPr>
        <w:tc>
          <w:tcPr>
            <w:tcW w:w="2403" w:type="dxa"/>
            <w:vMerge w:val="restart"/>
            <w:vAlign w:val="center"/>
          </w:tcPr>
          <w:p>
            <w:pPr>
              <w:pStyle w:val="100"/>
              <w:widowControl w:val="0"/>
              <w:bidi w:val="0"/>
              <w:adjustRightInd w:val="0"/>
              <w:snapToGrid w:val="0"/>
            </w:pPr>
            <w:r>
              <w:rPr>
                <w:rFonts w:hint="eastAsia"/>
              </w:rPr>
              <w:t>下风向距离</w:t>
            </w:r>
            <w:r>
              <w:t>/m</w:t>
            </w:r>
          </w:p>
        </w:tc>
        <w:tc>
          <w:tcPr>
            <w:tcW w:w="6072" w:type="dxa"/>
            <w:gridSpan w:val="2"/>
            <w:vAlign w:val="center"/>
          </w:tcPr>
          <w:p>
            <w:pPr>
              <w:pStyle w:val="100"/>
              <w:widowControl w:val="0"/>
              <w:bidi w:val="0"/>
              <w:adjustRightInd w:val="0"/>
              <w:snapToGrid w:val="0"/>
            </w:pPr>
            <w: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blHeader/>
          <w:jc w:val="center"/>
        </w:trPr>
        <w:tc>
          <w:tcPr>
            <w:tcW w:w="2403" w:type="dxa"/>
            <w:vMerge w:val="continue"/>
            <w:vAlign w:val="center"/>
          </w:tcPr>
          <w:p>
            <w:pPr>
              <w:pStyle w:val="100"/>
              <w:widowControl w:val="0"/>
              <w:bidi w:val="0"/>
              <w:adjustRightInd w:val="0"/>
              <w:snapToGrid w:val="0"/>
            </w:pPr>
          </w:p>
        </w:tc>
        <w:tc>
          <w:tcPr>
            <w:tcW w:w="6072" w:type="dxa"/>
            <w:gridSpan w:val="2"/>
            <w:noWrap/>
            <w:vAlign w:val="center"/>
          </w:tcPr>
          <w:p>
            <w:pPr>
              <w:pStyle w:val="100"/>
              <w:widowControl w:val="0"/>
              <w:bidi w:val="0"/>
              <w:adjustRightInd w:val="0"/>
              <w:snapToGrid w:val="0"/>
            </w:pPr>
            <w:r>
              <w:rPr>
                <w:rFonts w:hint="eastAsi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blHeader/>
          <w:jc w:val="center"/>
        </w:trPr>
        <w:tc>
          <w:tcPr>
            <w:tcW w:w="2403" w:type="dxa"/>
            <w:vMerge w:val="continue"/>
            <w:vAlign w:val="center"/>
          </w:tcPr>
          <w:p>
            <w:pPr>
              <w:pStyle w:val="100"/>
              <w:widowControl w:val="0"/>
              <w:bidi w:val="0"/>
              <w:adjustRightInd w:val="0"/>
              <w:snapToGrid w:val="0"/>
            </w:pPr>
          </w:p>
        </w:tc>
        <w:tc>
          <w:tcPr>
            <w:tcW w:w="2998" w:type="dxa"/>
            <w:noWrap/>
            <w:vAlign w:val="center"/>
          </w:tcPr>
          <w:p>
            <w:pPr>
              <w:pStyle w:val="100"/>
              <w:widowControl w:val="0"/>
              <w:bidi w:val="0"/>
              <w:adjustRightInd w:val="0"/>
              <w:snapToGrid w:val="0"/>
            </w:pPr>
            <w:r>
              <w:rPr>
                <w:rFonts w:hint="eastAsia"/>
              </w:rPr>
              <w:t>预测质量浓度</w:t>
            </w:r>
            <w:r>
              <w:t>/</w:t>
            </w:r>
            <w:r>
              <w:rPr>
                <w:rFonts w:hint="eastAsia"/>
              </w:rPr>
              <w:t>（μ</w:t>
            </w:r>
            <w:r>
              <w:t>g/m</w:t>
            </w:r>
            <w:r>
              <w:rPr>
                <w:rFonts w:hint="eastAsia"/>
              </w:rPr>
              <w:t>³）</w:t>
            </w:r>
          </w:p>
        </w:tc>
        <w:tc>
          <w:tcPr>
            <w:tcW w:w="3074" w:type="dxa"/>
            <w:noWrap/>
            <w:vAlign w:val="center"/>
          </w:tcPr>
          <w:p>
            <w:pPr>
              <w:pStyle w:val="100"/>
              <w:widowControl w:val="0"/>
              <w:bidi w:val="0"/>
              <w:adjustRightInd w:val="0"/>
              <w:snapToGrid w:val="0"/>
            </w:pPr>
            <w:r>
              <w:rPr>
                <w:rFonts w:hint="eastAsia"/>
              </w:rPr>
              <w:t>占标率</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t>50</w:t>
            </w:r>
          </w:p>
        </w:tc>
        <w:tc>
          <w:tcPr>
            <w:tcW w:w="2998" w:type="dxa"/>
            <w:noWrap/>
            <w:vAlign w:val="center"/>
          </w:tcPr>
          <w:p>
            <w:pPr>
              <w:pStyle w:val="100"/>
              <w:widowControl w:val="0"/>
              <w:bidi w:val="0"/>
              <w:adjustRightInd w:val="0"/>
              <w:snapToGrid w:val="0"/>
              <w:rPr>
                <w:rFonts w:hint="default"/>
                <w:lang w:val="en-US" w:eastAsia="zh-CN"/>
              </w:rPr>
            </w:pPr>
            <w:r>
              <w:rPr>
                <w:rFonts w:hint="eastAsia"/>
                <w:lang w:val="en-US" w:eastAsia="zh-CN"/>
              </w:rPr>
              <w:t>2.8E-0.3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rPr>
                <w:rFonts w:hint="eastAsia"/>
              </w:rPr>
              <w:t>7</w:t>
            </w:r>
            <w:r>
              <w:t>5</w:t>
            </w:r>
          </w:p>
        </w:tc>
        <w:tc>
          <w:tcPr>
            <w:tcW w:w="2998" w:type="dxa"/>
            <w:noWrap/>
            <w:vAlign w:val="center"/>
          </w:tcPr>
          <w:p>
            <w:pPr>
              <w:pStyle w:val="100"/>
              <w:widowControl w:val="0"/>
              <w:bidi w:val="0"/>
              <w:adjustRightInd w:val="0"/>
              <w:snapToGrid w:val="0"/>
            </w:pPr>
            <w:r>
              <w:rPr>
                <w:rFonts w:hint="eastAsia"/>
                <w:lang w:val="en-US" w:eastAsia="zh-CN"/>
              </w:rPr>
              <w:t>2.4E-0.3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t>150</w:t>
            </w:r>
          </w:p>
        </w:tc>
        <w:tc>
          <w:tcPr>
            <w:tcW w:w="2998" w:type="dxa"/>
            <w:noWrap/>
            <w:vAlign w:val="center"/>
          </w:tcPr>
          <w:p>
            <w:pPr>
              <w:pStyle w:val="100"/>
              <w:widowControl w:val="0"/>
              <w:bidi w:val="0"/>
              <w:adjustRightInd w:val="0"/>
              <w:snapToGrid w:val="0"/>
            </w:pPr>
            <w:r>
              <w:rPr>
                <w:rFonts w:hint="eastAsia"/>
                <w:lang w:val="en-US" w:eastAsia="zh-CN"/>
              </w:rPr>
              <w:t>2.0E-0.3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rPr>
                <w:rFonts w:hint="eastAsia"/>
              </w:rPr>
              <w:t>3</w:t>
            </w:r>
            <w:r>
              <w:t>00</w:t>
            </w:r>
          </w:p>
        </w:tc>
        <w:tc>
          <w:tcPr>
            <w:tcW w:w="2998" w:type="dxa"/>
            <w:noWrap/>
            <w:vAlign w:val="center"/>
          </w:tcPr>
          <w:p>
            <w:pPr>
              <w:pStyle w:val="100"/>
              <w:widowControl w:val="0"/>
              <w:bidi w:val="0"/>
              <w:adjustRightInd w:val="0"/>
              <w:snapToGrid w:val="0"/>
            </w:pPr>
            <w:r>
              <w:rPr>
                <w:rFonts w:hint="eastAsia"/>
                <w:lang w:val="en-US" w:eastAsia="zh-CN"/>
              </w:rPr>
              <w:t>1.6E-0.3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rPr>
                <w:rFonts w:hint="eastAsia"/>
              </w:rPr>
              <w:t>1</w:t>
            </w:r>
            <w:r>
              <w:t>000</w:t>
            </w:r>
          </w:p>
        </w:tc>
        <w:tc>
          <w:tcPr>
            <w:tcW w:w="2998" w:type="dxa"/>
            <w:noWrap/>
            <w:vAlign w:val="center"/>
          </w:tcPr>
          <w:p>
            <w:pPr>
              <w:pStyle w:val="100"/>
              <w:widowControl w:val="0"/>
              <w:bidi w:val="0"/>
              <w:adjustRightInd w:val="0"/>
              <w:snapToGrid w:val="0"/>
            </w:pPr>
            <w:r>
              <w:rPr>
                <w:rFonts w:hint="eastAsia"/>
                <w:lang w:val="en-US" w:eastAsia="zh-CN"/>
              </w:rPr>
              <w:t>1.2E-0.3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rPr>
                <w:rFonts w:hint="eastAsia"/>
              </w:rPr>
              <w:t>1</w:t>
            </w:r>
            <w:r>
              <w:t>500</w:t>
            </w:r>
          </w:p>
        </w:tc>
        <w:tc>
          <w:tcPr>
            <w:tcW w:w="2998" w:type="dxa"/>
            <w:noWrap/>
            <w:vAlign w:val="center"/>
          </w:tcPr>
          <w:p>
            <w:pPr>
              <w:pStyle w:val="100"/>
              <w:widowControl w:val="0"/>
              <w:bidi w:val="0"/>
              <w:adjustRightInd w:val="0"/>
              <w:snapToGrid w:val="0"/>
            </w:pPr>
            <w:r>
              <w:rPr>
                <w:rFonts w:hint="eastAsia"/>
                <w:lang w:val="en-US" w:eastAsia="zh-CN"/>
              </w:rPr>
              <w:t>0.8E-0.3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rPr>
                <w:rFonts w:hint="eastAsia"/>
              </w:rPr>
              <w:t>2</w:t>
            </w:r>
            <w:r>
              <w:t>000</w:t>
            </w:r>
          </w:p>
        </w:tc>
        <w:tc>
          <w:tcPr>
            <w:tcW w:w="2998" w:type="dxa"/>
            <w:noWrap/>
            <w:vAlign w:val="center"/>
          </w:tcPr>
          <w:p>
            <w:pPr>
              <w:pStyle w:val="100"/>
              <w:widowControl w:val="0"/>
              <w:bidi w:val="0"/>
              <w:adjustRightInd w:val="0"/>
              <w:snapToGrid w:val="0"/>
            </w:pPr>
            <w:r>
              <w:rPr>
                <w:rFonts w:hint="eastAsia"/>
                <w:lang w:val="en-US" w:eastAsia="zh-CN"/>
              </w:rPr>
              <w:t>0.6E-0.3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center"/>
          </w:tcPr>
          <w:p>
            <w:pPr>
              <w:pStyle w:val="100"/>
              <w:widowControl w:val="0"/>
              <w:bidi w:val="0"/>
              <w:adjustRightInd w:val="0"/>
              <w:snapToGrid w:val="0"/>
            </w:pPr>
            <w:r>
              <w:rPr>
                <w:rFonts w:hint="eastAsia"/>
              </w:rPr>
              <w:t>2</w:t>
            </w:r>
            <w:r>
              <w:t>500</w:t>
            </w:r>
          </w:p>
        </w:tc>
        <w:tc>
          <w:tcPr>
            <w:tcW w:w="2998" w:type="dxa"/>
            <w:noWrap/>
            <w:vAlign w:val="center"/>
          </w:tcPr>
          <w:p>
            <w:pPr>
              <w:pStyle w:val="100"/>
              <w:widowControl w:val="0"/>
              <w:bidi w:val="0"/>
              <w:adjustRightInd w:val="0"/>
              <w:snapToGrid w:val="0"/>
            </w:pPr>
            <w:r>
              <w:rPr>
                <w:rFonts w:hint="eastAsia"/>
                <w:lang w:val="en-US" w:eastAsia="zh-CN"/>
              </w:rPr>
              <w:t>0.1E-0.3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top"/>
          </w:tcPr>
          <w:p>
            <w:pPr>
              <w:pStyle w:val="100"/>
              <w:widowControl w:val="0"/>
              <w:bidi w:val="0"/>
              <w:adjustRightInd w:val="0"/>
              <w:snapToGrid w:val="0"/>
            </w:pPr>
            <w:r>
              <w:rPr>
                <w:rFonts w:hint="eastAsia"/>
              </w:rPr>
              <w:t>下风向最大质量浓度及占标率</w:t>
            </w:r>
            <w:r>
              <w:t>/%</w:t>
            </w:r>
          </w:p>
        </w:tc>
        <w:tc>
          <w:tcPr>
            <w:tcW w:w="2998" w:type="dxa"/>
            <w:noWrap/>
            <w:vAlign w:val="center"/>
          </w:tcPr>
          <w:p>
            <w:pPr>
              <w:pStyle w:val="100"/>
              <w:widowControl w:val="0"/>
              <w:bidi w:val="0"/>
              <w:adjustRightInd w:val="0"/>
              <w:snapToGrid w:val="0"/>
            </w:pPr>
            <w:r>
              <w:rPr>
                <w:rFonts w:hint="eastAsia"/>
                <w:lang w:val="en-US" w:eastAsia="zh-CN"/>
              </w:rPr>
              <w:t>2.8E-0.3</w:t>
            </w:r>
          </w:p>
        </w:tc>
        <w:tc>
          <w:tcPr>
            <w:tcW w:w="3074" w:type="dxa"/>
            <w:noWrap/>
            <w:vAlign w:val="center"/>
          </w:tcPr>
          <w:p>
            <w:pPr>
              <w:pStyle w:val="100"/>
              <w:widowControl w:val="0"/>
              <w:bidi w:val="0"/>
              <w:adjustRightInd w:val="0"/>
              <w:snapToGrid w:val="0"/>
              <w:rPr>
                <w:rFonts w:hint="default"/>
                <w:lang w:val="en-US" w:eastAsia="zh-CN"/>
              </w:rPr>
            </w:pPr>
            <w:r>
              <w:rPr>
                <w:rFonts w:hint="eastAsia"/>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403" w:type="dxa"/>
            <w:vAlign w:val="top"/>
          </w:tcPr>
          <w:p>
            <w:pPr>
              <w:pStyle w:val="100"/>
              <w:widowControl w:val="0"/>
              <w:bidi w:val="0"/>
              <w:adjustRightInd w:val="0"/>
              <w:snapToGrid w:val="0"/>
            </w:pPr>
            <w:r>
              <w:rPr>
                <w:rFonts w:hint="eastAsia"/>
              </w:rPr>
              <w:t>下风向最大质量浓度出现距离</w:t>
            </w:r>
            <w:r>
              <w:t>m</w:t>
            </w:r>
          </w:p>
        </w:tc>
        <w:tc>
          <w:tcPr>
            <w:tcW w:w="6072" w:type="dxa"/>
            <w:gridSpan w:val="2"/>
            <w:noWrap/>
            <w:vAlign w:val="center"/>
          </w:tcPr>
          <w:p>
            <w:pPr>
              <w:pStyle w:val="100"/>
              <w:widowControl w:val="0"/>
              <w:bidi w:val="0"/>
              <w:adjustRightInd w:val="0"/>
              <w:snapToGrid w:val="0"/>
            </w:pPr>
            <w:r>
              <w:rPr>
                <w:rFonts w:hint="eastAsia"/>
                <w:lang w:val="en-US" w:eastAsia="zh-CN"/>
              </w:rPr>
              <w:t>50</w:t>
            </w:r>
          </w:p>
        </w:tc>
      </w:tr>
    </w:tbl>
    <w:p>
      <w:pPr>
        <w:pStyle w:val="273"/>
        <w:bidi w:val="0"/>
        <w:rPr>
          <w:rFonts w:hint="eastAsia"/>
        </w:rPr>
      </w:pPr>
      <w:r>
        <w:rPr>
          <w:rFonts w:hint="eastAsia"/>
        </w:rPr>
        <w:t>表</w:t>
      </w:r>
      <w:r>
        <w:rPr>
          <w:rFonts w:hint="eastAsia"/>
          <w:lang w:val="en-US" w:eastAsia="zh-CN"/>
        </w:rPr>
        <w:t>7-8</w:t>
      </w:r>
      <w:r>
        <w:rPr>
          <w:rFonts w:hint="eastAsia"/>
        </w:rPr>
        <w:t xml:space="preserve">  无组织废气估算模式计算表</w:t>
      </w:r>
    </w:p>
    <w:tbl>
      <w:tblPr>
        <w:tblStyle w:val="260"/>
        <w:tblW w:w="85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2453"/>
        <w:gridCol w:w="3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blHeader/>
          <w:jc w:val="center"/>
        </w:trPr>
        <w:tc>
          <w:tcPr>
            <w:tcW w:w="2420" w:type="dxa"/>
            <w:vMerge w:val="restart"/>
            <w:vAlign w:val="center"/>
          </w:tcPr>
          <w:p>
            <w:pPr>
              <w:pStyle w:val="100"/>
              <w:widowControl w:val="0"/>
              <w:bidi w:val="0"/>
              <w:adjustRightInd w:val="0"/>
              <w:snapToGrid w:val="0"/>
            </w:pPr>
            <w:r>
              <w:rPr>
                <w:rFonts w:hint="eastAsia"/>
              </w:rPr>
              <w:t>下风向距离</w:t>
            </w:r>
            <w:r>
              <w:t>/m</w:t>
            </w:r>
          </w:p>
        </w:tc>
        <w:tc>
          <w:tcPr>
            <w:tcW w:w="6113" w:type="dxa"/>
            <w:gridSpan w:val="2"/>
            <w:vAlign w:val="center"/>
          </w:tcPr>
          <w:p>
            <w:pPr>
              <w:pStyle w:val="100"/>
              <w:widowControl w:val="0"/>
              <w:bidi w:val="0"/>
              <w:adjustRightInd w:val="0"/>
              <w:snapToGrid w:val="0"/>
            </w:pPr>
            <w:r>
              <w:rPr>
                <w:rFonts w:hint="eastAsia"/>
                <w:lang w:val="en-US" w:eastAsia="zh-CN"/>
              </w:rPr>
              <w:t>印刷</w:t>
            </w:r>
            <w:r>
              <w:rPr>
                <w:rFonts w:hint="eastAsia"/>
              </w:rPr>
              <w:t>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blHeader/>
          <w:jc w:val="center"/>
        </w:trPr>
        <w:tc>
          <w:tcPr>
            <w:tcW w:w="2420" w:type="dxa"/>
            <w:vMerge w:val="continue"/>
            <w:vAlign w:val="center"/>
          </w:tcPr>
          <w:p>
            <w:pPr>
              <w:pStyle w:val="100"/>
              <w:widowControl w:val="0"/>
              <w:bidi w:val="0"/>
              <w:adjustRightInd w:val="0"/>
              <w:snapToGrid w:val="0"/>
            </w:pPr>
          </w:p>
        </w:tc>
        <w:tc>
          <w:tcPr>
            <w:tcW w:w="6113" w:type="dxa"/>
            <w:gridSpan w:val="2"/>
            <w:noWrap/>
            <w:vAlign w:val="center"/>
          </w:tcPr>
          <w:p>
            <w:pPr>
              <w:pStyle w:val="100"/>
              <w:widowControl w:val="0"/>
              <w:bidi w:val="0"/>
              <w:adjustRightInd w:val="0"/>
              <w:snapToGrid w:val="0"/>
            </w:pPr>
            <w:r>
              <w:rPr>
                <w:rFonts w:hint="eastAsia"/>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blHeader/>
          <w:jc w:val="center"/>
        </w:trPr>
        <w:tc>
          <w:tcPr>
            <w:tcW w:w="2420" w:type="dxa"/>
            <w:vMerge w:val="continue"/>
            <w:vAlign w:val="center"/>
          </w:tcPr>
          <w:p>
            <w:pPr>
              <w:pStyle w:val="100"/>
              <w:widowControl w:val="0"/>
              <w:bidi w:val="0"/>
              <w:adjustRightInd w:val="0"/>
              <w:snapToGrid w:val="0"/>
            </w:pPr>
          </w:p>
        </w:tc>
        <w:tc>
          <w:tcPr>
            <w:tcW w:w="2453" w:type="dxa"/>
            <w:noWrap/>
            <w:vAlign w:val="center"/>
          </w:tcPr>
          <w:p>
            <w:pPr>
              <w:pStyle w:val="100"/>
              <w:widowControl w:val="0"/>
              <w:bidi w:val="0"/>
              <w:adjustRightInd w:val="0"/>
              <w:snapToGrid w:val="0"/>
            </w:pPr>
            <w:r>
              <w:rPr>
                <w:rFonts w:hint="eastAsia"/>
              </w:rPr>
              <w:t>预测质量浓度</w:t>
            </w:r>
            <w:r>
              <w:t>/</w:t>
            </w:r>
            <w:r>
              <w:rPr>
                <w:rFonts w:hint="eastAsia"/>
              </w:rPr>
              <w:t>（μ</w:t>
            </w:r>
            <w:r>
              <w:t>g/m</w:t>
            </w:r>
            <w:r>
              <w:rPr>
                <w:rFonts w:hint="eastAsia"/>
              </w:rPr>
              <w:t>³）</w:t>
            </w:r>
          </w:p>
        </w:tc>
        <w:tc>
          <w:tcPr>
            <w:tcW w:w="3660" w:type="dxa"/>
            <w:noWrap/>
            <w:vAlign w:val="center"/>
          </w:tcPr>
          <w:p>
            <w:pPr>
              <w:pStyle w:val="100"/>
              <w:widowControl w:val="0"/>
              <w:bidi w:val="0"/>
              <w:adjustRightInd w:val="0"/>
              <w:snapToGrid w:val="0"/>
            </w:pPr>
            <w:r>
              <w:rPr>
                <w:rFonts w:hint="eastAsia"/>
              </w:rPr>
              <w:t>占标率</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t>50</w:t>
            </w:r>
          </w:p>
        </w:tc>
        <w:tc>
          <w:tcPr>
            <w:tcW w:w="2453" w:type="dxa"/>
            <w:noWrap/>
            <w:vAlign w:val="center"/>
          </w:tcPr>
          <w:p>
            <w:pPr>
              <w:pStyle w:val="100"/>
              <w:widowControl w:val="0"/>
              <w:bidi w:val="0"/>
              <w:adjustRightInd w:val="0"/>
              <w:snapToGrid w:val="0"/>
            </w:pPr>
            <w:r>
              <w:rPr>
                <w:rFonts w:hint="eastAsia"/>
                <w:lang w:val="en-US" w:eastAsia="zh-CN"/>
              </w:rPr>
              <w:t>8.5E-0.3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rPr>
                <w:rFonts w:hint="eastAsia"/>
              </w:rPr>
              <w:t>7</w:t>
            </w:r>
            <w:r>
              <w:t>5</w:t>
            </w:r>
          </w:p>
        </w:tc>
        <w:tc>
          <w:tcPr>
            <w:tcW w:w="2453" w:type="dxa"/>
            <w:noWrap/>
            <w:vAlign w:val="center"/>
          </w:tcPr>
          <w:p>
            <w:pPr>
              <w:pStyle w:val="100"/>
              <w:widowControl w:val="0"/>
              <w:bidi w:val="0"/>
              <w:adjustRightInd w:val="0"/>
              <w:snapToGrid w:val="0"/>
            </w:pPr>
            <w:r>
              <w:rPr>
                <w:rFonts w:hint="eastAsia"/>
                <w:lang w:val="en-US" w:eastAsia="zh-CN"/>
              </w:rPr>
              <w:t>8.1E-0.3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t>150</w:t>
            </w:r>
          </w:p>
        </w:tc>
        <w:tc>
          <w:tcPr>
            <w:tcW w:w="2453" w:type="dxa"/>
            <w:noWrap/>
            <w:vAlign w:val="center"/>
          </w:tcPr>
          <w:p>
            <w:pPr>
              <w:pStyle w:val="100"/>
              <w:widowControl w:val="0"/>
              <w:bidi w:val="0"/>
              <w:adjustRightInd w:val="0"/>
              <w:snapToGrid w:val="0"/>
            </w:pPr>
            <w:r>
              <w:rPr>
                <w:rFonts w:hint="eastAsia"/>
                <w:lang w:val="en-US" w:eastAsia="zh-CN"/>
              </w:rPr>
              <w:t>7.6E-0.3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rPr>
                <w:rFonts w:hint="eastAsia"/>
              </w:rPr>
              <w:t>3</w:t>
            </w:r>
            <w:r>
              <w:t>00</w:t>
            </w:r>
          </w:p>
        </w:tc>
        <w:tc>
          <w:tcPr>
            <w:tcW w:w="2453" w:type="dxa"/>
            <w:noWrap/>
            <w:vAlign w:val="center"/>
          </w:tcPr>
          <w:p>
            <w:pPr>
              <w:pStyle w:val="100"/>
              <w:widowControl w:val="0"/>
              <w:bidi w:val="0"/>
              <w:adjustRightInd w:val="0"/>
              <w:snapToGrid w:val="0"/>
            </w:pPr>
            <w:r>
              <w:rPr>
                <w:rFonts w:hint="eastAsia"/>
                <w:lang w:val="en-US" w:eastAsia="zh-CN"/>
              </w:rPr>
              <w:t>7.2E-0.3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rPr>
                <w:rFonts w:hint="eastAsia"/>
              </w:rPr>
              <w:t>1</w:t>
            </w:r>
            <w:r>
              <w:t>000</w:t>
            </w:r>
          </w:p>
        </w:tc>
        <w:tc>
          <w:tcPr>
            <w:tcW w:w="2453" w:type="dxa"/>
            <w:noWrap/>
            <w:vAlign w:val="center"/>
          </w:tcPr>
          <w:p>
            <w:pPr>
              <w:pStyle w:val="100"/>
              <w:widowControl w:val="0"/>
              <w:bidi w:val="0"/>
              <w:adjustRightInd w:val="0"/>
              <w:snapToGrid w:val="0"/>
            </w:pPr>
            <w:r>
              <w:rPr>
                <w:rFonts w:hint="eastAsia"/>
                <w:lang w:val="en-US" w:eastAsia="zh-CN"/>
              </w:rPr>
              <w:t>6.5E-0.3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rPr>
                <w:rFonts w:hint="eastAsia"/>
              </w:rPr>
              <w:t>1</w:t>
            </w:r>
            <w:r>
              <w:t>500</w:t>
            </w:r>
          </w:p>
        </w:tc>
        <w:tc>
          <w:tcPr>
            <w:tcW w:w="2453" w:type="dxa"/>
            <w:noWrap/>
            <w:vAlign w:val="center"/>
          </w:tcPr>
          <w:p>
            <w:pPr>
              <w:pStyle w:val="100"/>
              <w:widowControl w:val="0"/>
              <w:bidi w:val="0"/>
              <w:adjustRightInd w:val="0"/>
              <w:snapToGrid w:val="0"/>
            </w:pPr>
            <w:r>
              <w:rPr>
                <w:rFonts w:hint="eastAsia"/>
                <w:lang w:val="en-US" w:eastAsia="zh-CN"/>
              </w:rPr>
              <w:t>6.1E-0.3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rPr>
                <w:rFonts w:hint="eastAsia"/>
              </w:rPr>
              <w:t>2</w:t>
            </w:r>
            <w:r>
              <w:t>000</w:t>
            </w:r>
          </w:p>
        </w:tc>
        <w:tc>
          <w:tcPr>
            <w:tcW w:w="2453" w:type="dxa"/>
            <w:noWrap/>
            <w:vAlign w:val="center"/>
          </w:tcPr>
          <w:p>
            <w:pPr>
              <w:pStyle w:val="100"/>
              <w:widowControl w:val="0"/>
              <w:bidi w:val="0"/>
              <w:adjustRightInd w:val="0"/>
              <w:snapToGrid w:val="0"/>
            </w:pPr>
            <w:r>
              <w:rPr>
                <w:rFonts w:hint="eastAsia"/>
                <w:lang w:val="en-US" w:eastAsia="zh-CN"/>
              </w:rPr>
              <w:t>5.5E-0.3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center"/>
          </w:tcPr>
          <w:p>
            <w:pPr>
              <w:pStyle w:val="100"/>
              <w:widowControl w:val="0"/>
              <w:bidi w:val="0"/>
              <w:adjustRightInd w:val="0"/>
              <w:snapToGrid w:val="0"/>
            </w:pPr>
            <w:r>
              <w:rPr>
                <w:rFonts w:hint="eastAsia"/>
              </w:rPr>
              <w:t>2</w:t>
            </w:r>
            <w:r>
              <w:t>500</w:t>
            </w:r>
          </w:p>
        </w:tc>
        <w:tc>
          <w:tcPr>
            <w:tcW w:w="2453" w:type="dxa"/>
            <w:noWrap/>
            <w:vAlign w:val="center"/>
          </w:tcPr>
          <w:p>
            <w:pPr>
              <w:pStyle w:val="100"/>
              <w:widowControl w:val="0"/>
              <w:bidi w:val="0"/>
              <w:adjustRightInd w:val="0"/>
              <w:snapToGrid w:val="0"/>
            </w:pPr>
            <w:r>
              <w:rPr>
                <w:rFonts w:hint="eastAsia"/>
                <w:lang w:val="en-US" w:eastAsia="zh-CN"/>
              </w:rPr>
              <w:t>4.9E-0.3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top"/>
          </w:tcPr>
          <w:p>
            <w:pPr>
              <w:pStyle w:val="100"/>
              <w:widowControl w:val="0"/>
              <w:bidi w:val="0"/>
              <w:adjustRightInd w:val="0"/>
              <w:snapToGrid w:val="0"/>
            </w:pPr>
            <w:r>
              <w:rPr>
                <w:rFonts w:hint="eastAsia"/>
              </w:rPr>
              <w:t>下风向最大质量浓度及占标率</w:t>
            </w:r>
            <w:r>
              <w:t>/%</w:t>
            </w:r>
          </w:p>
        </w:tc>
        <w:tc>
          <w:tcPr>
            <w:tcW w:w="2453" w:type="dxa"/>
            <w:noWrap/>
            <w:vAlign w:val="center"/>
          </w:tcPr>
          <w:p>
            <w:pPr>
              <w:pStyle w:val="100"/>
              <w:widowControl w:val="0"/>
              <w:bidi w:val="0"/>
              <w:adjustRightInd w:val="0"/>
              <w:snapToGrid w:val="0"/>
            </w:pPr>
            <w:r>
              <w:rPr>
                <w:rFonts w:hint="eastAsia"/>
                <w:lang w:val="en-US" w:eastAsia="zh-CN"/>
              </w:rPr>
              <w:t>8.5E-0.3</w:t>
            </w:r>
          </w:p>
        </w:tc>
        <w:tc>
          <w:tcPr>
            <w:tcW w:w="3660" w:type="dxa"/>
            <w:noWrap/>
            <w:vAlign w:val="center"/>
          </w:tcPr>
          <w:p>
            <w:pPr>
              <w:pStyle w:val="100"/>
              <w:widowControl w:val="0"/>
              <w:bidi w:val="0"/>
              <w:adjustRightInd w:val="0"/>
              <w:snapToGrid w:val="0"/>
              <w:rPr>
                <w:rFonts w:hint="default"/>
                <w:lang w:val="en-US" w:eastAsia="zh-CN"/>
              </w:rPr>
            </w:pPr>
            <w:r>
              <w:rPr>
                <w:rFonts w:hint="eastAsia"/>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420" w:type="dxa"/>
            <w:vAlign w:val="top"/>
          </w:tcPr>
          <w:p>
            <w:pPr>
              <w:pStyle w:val="100"/>
              <w:widowControl w:val="0"/>
              <w:bidi w:val="0"/>
              <w:adjustRightInd w:val="0"/>
              <w:snapToGrid w:val="0"/>
            </w:pPr>
            <w:r>
              <w:rPr>
                <w:rFonts w:hint="eastAsia"/>
              </w:rPr>
              <w:t>下风向最大质量浓度出现距离</w:t>
            </w:r>
            <w:r>
              <w:t>m</w:t>
            </w:r>
          </w:p>
        </w:tc>
        <w:tc>
          <w:tcPr>
            <w:tcW w:w="6113" w:type="dxa"/>
            <w:gridSpan w:val="2"/>
            <w:noWrap/>
            <w:vAlign w:val="center"/>
          </w:tcPr>
          <w:p>
            <w:pPr>
              <w:pStyle w:val="100"/>
              <w:widowControl w:val="0"/>
              <w:bidi w:val="0"/>
              <w:adjustRightInd w:val="0"/>
              <w:snapToGrid w:val="0"/>
              <w:rPr>
                <w:rFonts w:hint="default"/>
                <w:lang w:val="en-US" w:eastAsia="zh-CN"/>
              </w:rPr>
            </w:pPr>
            <w:r>
              <w:rPr>
                <w:rFonts w:hint="eastAsia"/>
                <w:lang w:val="en-US" w:eastAsia="zh-CN"/>
              </w:rPr>
              <w:t>50</w:t>
            </w:r>
          </w:p>
        </w:tc>
      </w:tr>
    </w:tbl>
    <w:p>
      <w:pPr>
        <w:pStyle w:val="103"/>
        <w:bidi w:val="0"/>
      </w:pPr>
      <w:r>
        <w:t>评价工作等级的判定依据见表</w:t>
      </w:r>
      <w:r>
        <w:rPr>
          <w:rFonts w:hint="eastAsia"/>
          <w:lang w:val="en-US" w:eastAsia="zh-CN"/>
        </w:rPr>
        <w:t>7-9</w:t>
      </w:r>
      <w:r>
        <w:t>。</w:t>
      </w:r>
    </w:p>
    <w:p>
      <w:pPr>
        <w:pStyle w:val="273"/>
        <w:bidi w:val="0"/>
        <w:rPr>
          <w:rFonts w:hint="eastAsia"/>
        </w:rPr>
      </w:pPr>
      <w:r>
        <w:rPr>
          <w:rFonts w:hint="eastAsia"/>
        </w:rPr>
        <w:t>表</w:t>
      </w:r>
      <w:r>
        <w:rPr>
          <w:rFonts w:hint="eastAsia"/>
          <w:lang w:val="en-US" w:eastAsia="zh-CN"/>
        </w:rPr>
        <w:t>7-9</w:t>
      </w:r>
      <w:r>
        <w:rPr>
          <w:rFonts w:hint="eastAsia"/>
        </w:rPr>
        <w:t xml:space="preserve">  评价工作等级</w:t>
      </w:r>
    </w:p>
    <w:tbl>
      <w:tblPr>
        <w:tblStyle w:val="260"/>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5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722" w:type="dxa"/>
            <w:vAlign w:val="center"/>
          </w:tcPr>
          <w:p>
            <w:pPr>
              <w:pStyle w:val="100"/>
              <w:widowControl w:val="0"/>
              <w:bidi w:val="0"/>
              <w:adjustRightInd w:val="0"/>
              <w:snapToGrid w:val="0"/>
            </w:pPr>
            <w:r>
              <w:rPr>
                <w:rFonts w:hint="eastAsia"/>
              </w:rPr>
              <w:t>评价工作等级</w:t>
            </w:r>
          </w:p>
        </w:tc>
        <w:tc>
          <w:tcPr>
            <w:tcW w:w="5753" w:type="dxa"/>
            <w:vAlign w:val="center"/>
          </w:tcPr>
          <w:p>
            <w:pPr>
              <w:pStyle w:val="100"/>
              <w:widowControl w:val="0"/>
              <w:bidi w:val="0"/>
              <w:adjustRightInd w:val="0"/>
              <w:snapToGrid w:val="0"/>
            </w:pPr>
            <w:r>
              <w:rPr>
                <w:rFonts w:hint="eastAsia"/>
              </w:rPr>
              <w:t>评价工作等级判据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722" w:type="dxa"/>
            <w:vAlign w:val="center"/>
          </w:tcPr>
          <w:p>
            <w:pPr>
              <w:pStyle w:val="100"/>
              <w:widowControl w:val="0"/>
              <w:bidi w:val="0"/>
              <w:adjustRightInd w:val="0"/>
              <w:snapToGrid w:val="0"/>
            </w:pPr>
            <w:r>
              <w:rPr>
                <w:rFonts w:hint="eastAsia"/>
              </w:rPr>
              <w:t>一级</w:t>
            </w:r>
          </w:p>
        </w:tc>
        <w:tc>
          <w:tcPr>
            <w:tcW w:w="5753" w:type="dxa"/>
            <w:vAlign w:val="center"/>
          </w:tcPr>
          <w:p>
            <w:pPr>
              <w:pStyle w:val="100"/>
              <w:widowControl w:val="0"/>
              <w:bidi w:val="0"/>
              <w:adjustRightInd w:val="0"/>
              <w:snapToGrid w:val="0"/>
            </w:pPr>
            <w: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722" w:type="dxa"/>
            <w:vAlign w:val="center"/>
          </w:tcPr>
          <w:p>
            <w:pPr>
              <w:pStyle w:val="100"/>
              <w:widowControl w:val="0"/>
              <w:bidi w:val="0"/>
              <w:adjustRightInd w:val="0"/>
              <w:snapToGrid w:val="0"/>
            </w:pPr>
            <w:r>
              <w:rPr>
                <w:rFonts w:hint="eastAsia"/>
              </w:rPr>
              <w:t>二级</w:t>
            </w:r>
          </w:p>
        </w:tc>
        <w:tc>
          <w:tcPr>
            <w:tcW w:w="5753" w:type="dxa"/>
            <w:vAlign w:val="center"/>
          </w:tcPr>
          <w:p>
            <w:pPr>
              <w:pStyle w:val="100"/>
              <w:widowControl w:val="0"/>
              <w:bidi w:val="0"/>
              <w:adjustRightInd w:val="0"/>
              <w:snapToGrid w:val="0"/>
            </w:pPr>
            <w:r>
              <w:t>1%</w:t>
            </w:r>
            <w:r>
              <w:rPr>
                <w:rFonts w:hint="eastAsia"/>
              </w:rPr>
              <w:t>≤</w:t>
            </w:r>
            <w:r>
              <w:t>Pmax</w:t>
            </w:r>
            <w:r>
              <w:rPr>
                <w:rFonts w:hint="eastAsia"/>
              </w:rPr>
              <w:t>＜</w:t>
            </w: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722" w:type="dxa"/>
            <w:vAlign w:val="center"/>
          </w:tcPr>
          <w:p>
            <w:pPr>
              <w:pStyle w:val="100"/>
              <w:widowControl w:val="0"/>
              <w:bidi w:val="0"/>
              <w:adjustRightInd w:val="0"/>
              <w:snapToGrid w:val="0"/>
            </w:pPr>
            <w:r>
              <w:rPr>
                <w:rFonts w:hint="eastAsia"/>
              </w:rPr>
              <w:t>三级</w:t>
            </w:r>
          </w:p>
        </w:tc>
        <w:tc>
          <w:tcPr>
            <w:tcW w:w="5753" w:type="dxa"/>
            <w:vAlign w:val="center"/>
          </w:tcPr>
          <w:p>
            <w:pPr>
              <w:pStyle w:val="100"/>
              <w:widowControl w:val="0"/>
              <w:bidi w:val="0"/>
              <w:adjustRightInd w:val="0"/>
              <w:snapToGrid w:val="0"/>
            </w:pPr>
            <w:r>
              <w:t>Pmax&lt;1%</w:t>
            </w:r>
          </w:p>
        </w:tc>
      </w:tr>
    </w:tbl>
    <w:p>
      <w:pPr>
        <w:pStyle w:val="103"/>
        <w:bidi w:val="0"/>
      </w:pPr>
      <w:r>
        <w:t>经估算模式预测，本项目排放污染物下风向最大质量浓度占标率Pmax＜1%，根据《环境影响评价技术导则大气环境》（HJ2.2-2018），大气环境评价工作等级为三级</w:t>
      </w:r>
      <w:r>
        <w:rPr>
          <w:rFonts w:hint="eastAsia"/>
        </w:rPr>
        <w:t>。</w:t>
      </w:r>
    </w:p>
    <w:p>
      <w:pPr>
        <w:pStyle w:val="349"/>
      </w:pPr>
      <w:r>
        <w:rPr>
          <w:rFonts w:hint="eastAsia"/>
        </w:rPr>
        <w:t>预测与评价</w:t>
      </w:r>
    </w:p>
    <w:p>
      <w:pPr>
        <w:pStyle w:val="103"/>
        <w:bidi w:val="0"/>
      </w:pPr>
      <w:r>
        <w:t>根据《环境影响评价技术导则•大气环境》(HJ2.2-2018)规定，</w:t>
      </w:r>
      <w:r>
        <w:rPr>
          <w:rFonts w:hint="eastAsia"/>
        </w:rPr>
        <w:t>三</w:t>
      </w:r>
      <w:r>
        <w:t>级评价不需要进行进一步预测和评价</w:t>
      </w:r>
      <w:r>
        <w:rPr>
          <w:rFonts w:hint="eastAsia"/>
        </w:rPr>
        <w:t>，只需要对污染物排放量进行核算</w:t>
      </w:r>
      <w:r>
        <w:t>。</w:t>
      </w:r>
    </w:p>
    <w:p>
      <w:pPr>
        <w:pStyle w:val="349"/>
        <w:rPr>
          <w:color w:val="auto"/>
        </w:rPr>
      </w:pPr>
      <w:bookmarkStart w:id="69" w:name="_Hlk536541740"/>
      <w:bookmarkStart w:id="70" w:name="_Hlk8206883"/>
      <w:r>
        <w:rPr>
          <w:rFonts w:hint="eastAsia"/>
          <w:color w:val="auto"/>
        </w:rPr>
        <w:t>污</w:t>
      </w:r>
      <w:r>
        <w:rPr>
          <w:color w:val="auto"/>
        </w:rPr>
        <w:t>染源排放量核算</w:t>
      </w:r>
    </w:p>
    <w:bookmarkEnd w:id="69"/>
    <w:p>
      <w:pPr>
        <w:pStyle w:val="273"/>
        <w:bidi w:val="0"/>
        <w:rPr>
          <w:rFonts w:hint="eastAsia"/>
        </w:rPr>
      </w:pPr>
      <w:r>
        <w:rPr>
          <w:rFonts w:hint="eastAsia"/>
        </w:rPr>
        <w:t>表7-1</w:t>
      </w:r>
      <w:r>
        <w:rPr>
          <w:rFonts w:hint="eastAsia"/>
          <w:lang w:val="en-US" w:eastAsia="zh-CN"/>
        </w:rPr>
        <w:t>0</w:t>
      </w:r>
      <w:r>
        <w:rPr>
          <w:rFonts w:hint="eastAsia"/>
        </w:rPr>
        <w:t xml:space="preserve">  </w:t>
      </w:r>
      <w:bookmarkStart w:id="71" w:name="_Hlk536541751"/>
      <w:r>
        <w:rPr>
          <w:rFonts w:hint="eastAsia"/>
        </w:rPr>
        <w:t>大气污染物有组织排放量核算表</w:t>
      </w:r>
      <w:bookmarkEnd w:id="71"/>
    </w:p>
    <w:tbl>
      <w:tblPr>
        <w:tblStyle w:val="260"/>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149"/>
        <w:gridCol w:w="1237"/>
        <w:gridCol w:w="1712"/>
        <w:gridCol w:w="1687"/>
        <w:gridCol w:w="1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pPr>
              <w:pStyle w:val="100"/>
              <w:widowControl w:val="0"/>
              <w:bidi w:val="0"/>
              <w:adjustRightInd w:val="0"/>
              <w:snapToGrid w:val="0"/>
            </w:pPr>
            <w:r>
              <w:t>序号</w:t>
            </w:r>
          </w:p>
        </w:tc>
        <w:tc>
          <w:tcPr>
            <w:tcW w:w="676" w:type="pct"/>
            <w:vAlign w:val="center"/>
          </w:tcPr>
          <w:p>
            <w:pPr>
              <w:pStyle w:val="100"/>
              <w:widowControl w:val="0"/>
              <w:bidi w:val="0"/>
              <w:adjustRightInd w:val="0"/>
              <w:snapToGrid w:val="0"/>
            </w:pPr>
            <w:r>
              <w:t>排放口编号</w:t>
            </w:r>
          </w:p>
        </w:tc>
        <w:tc>
          <w:tcPr>
            <w:tcW w:w="729" w:type="pct"/>
            <w:vAlign w:val="center"/>
          </w:tcPr>
          <w:p>
            <w:pPr>
              <w:pStyle w:val="100"/>
              <w:widowControl w:val="0"/>
              <w:bidi w:val="0"/>
              <w:adjustRightInd w:val="0"/>
              <w:snapToGrid w:val="0"/>
            </w:pPr>
            <w:r>
              <w:t>污染物</w:t>
            </w:r>
          </w:p>
        </w:tc>
        <w:tc>
          <w:tcPr>
            <w:tcW w:w="1009" w:type="pct"/>
            <w:vAlign w:val="center"/>
          </w:tcPr>
          <w:p>
            <w:pPr>
              <w:pStyle w:val="100"/>
              <w:widowControl w:val="0"/>
              <w:bidi w:val="0"/>
              <w:adjustRightInd w:val="0"/>
              <w:snapToGrid w:val="0"/>
            </w:pPr>
            <w:r>
              <w:t>核算排放浓度mg/m3</w:t>
            </w:r>
          </w:p>
        </w:tc>
        <w:tc>
          <w:tcPr>
            <w:tcW w:w="993" w:type="pct"/>
            <w:vAlign w:val="center"/>
          </w:tcPr>
          <w:p>
            <w:pPr>
              <w:pStyle w:val="100"/>
              <w:widowControl w:val="0"/>
              <w:bidi w:val="0"/>
              <w:adjustRightInd w:val="0"/>
              <w:snapToGrid w:val="0"/>
            </w:pPr>
            <w:r>
              <w:t>核算排放速率kg/h</w:t>
            </w:r>
          </w:p>
        </w:tc>
        <w:tc>
          <w:tcPr>
            <w:tcW w:w="1137" w:type="pct"/>
            <w:vAlign w:val="center"/>
          </w:tcPr>
          <w:p>
            <w:pPr>
              <w:pStyle w:val="100"/>
              <w:widowControl w:val="0"/>
              <w:bidi w:val="0"/>
              <w:adjustRightInd w:val="0"/>
              <w:snapToGrid w:val="0"/>
            </w:pPr>
            <w: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100"/>
              <w:widowControl w:val="0"/>
              <w:bidi w:val="0"/>
              <w:adjustRightInd w:val="0"/>
              <w:snapToGrid w:val="0"/>
            </w:pPr>
            <w:r>
              <w:rPr>
                <w:rFonts w:hint="eastAsia"/>
              </w:rPr>
              <w:t>一般</w:t>
            </w:r>
            <w:r>
              <w:t>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vAlign w:val="center"/>
          </w:tcPr>
          <w:p>
            <w:pPr>
              <w:pStyle w:val="100"/>
              <w:widowControl w:val="0"/>
              <w:bidi w:val="0"/>
              <w:adjustRightInd w:val="0"/>
              <w:snapToGrid w:val="0"/>
            </w:pPr>
            <w:r>
              <w:t>1</w:t>
            </w:r>
          </w:p>
        </w:tc>
        <w:tc>
          <w:tcPr>
            <w:tcW w:w="676" w:type="pct"/>
            <w:vAlign w:val="center"/>
          </w:tcPr>
          <w:p>
            <w:pPr>
              <w:pStyle w:val="100"/>
              <w:widowControl w:val="0"/>
              <w:bidi w:val="0"/>
              <w:adjustRightInd w:val="0"/>
              <w:snapToGrid w:val="0"/>
            </w:pPr>
            <w:r>
              <w:rPr>
                <w:rFonts w:hint="eastAsia"/>
              </w:rPr>
              <w:t>DA001</w:t>
            </w:r>
          </w:p>
        </w:tc>
        <w:tc>
          <w:tcPr>
            <w:tcW w:w="729" w:type="pct"/>
            <w:vAlign w:val="center"/>
          </w:tcPr>
          <w:p>
            <w:pPr>
              <w:pStyle w:val="100"/>
              <w:widowControl w:val="0"/>
              <w:bidi w:val="0"/>
              <w:adjustRightInd w:val="0"/>
              <w:snapToGrid w:val="0"/>
            </w:pPr>
            <w:r>
              <w:rPr>
                <w:rFonts w:hint="eastAsia"/>
              </w:rPr>
              <w:t>非甲烷总烃</w:t>
            </w:r>
          </w:p>
        </w:tc>
        <w:tc>
          <w:tcPr>
            <w:tcW w:w="1009" w:type="pct"/>
            <w:vAlign w:val="center"/>
          </w:tcPr>
          <w:p>
            <w:pPr>
              <w:pStyle w:val="100"/>
              <w:widowControl w:val="0"/>
              <w:bidi w:val="0"/>
              <w:adjustRightInd w:val="0"/>
              <w:snapToGrid w:val="0"/>
            </w:pPr>
            <w:r>
              <w:rPr>
                <w:rFonts w:hint="eastAsia"/>
              </w:rPr>
              <w:t>0.258</w:t>
            </w:r>
          </w:p>
        </w:tc>
        <w:tc>
          <w:tcPr>
            <w:tcW w:w="993" w:type="pct"/>
            <w:vAlign w:val="center"/>
          </w:tcPr>
          <w:p>
            <w:pPr>
              <w:pStyle w:val="100"/>
              <w:widowControl w:val="0"/>
              <w:bidi w:val="0"/>
              <w:adjustRightInd w:val="0"/>
              <w:snapToGrid w:val="0"/>
            </w:pPr>
            <w:r>
              <w:t>0.</w:t>
            </w:r>
            <w:r>
              <w:rPr>
                <w:rFonts w:hint="eastAsia"/>
              </w:rPr>
              <w:t>00645</w:t>
            </w:r>
          </w:p>
        </w:tc>
        <w:tc>
          <w:tcPr>
            <w:tcW w:w="1137" w:type="pct"/>
            <w:vAlign w:val="center"/>
          </w:tcPr>
          <w:p>
            <w:pPr>
              <w:pStyle w:val="100"/>
              <w:widowControl w:val="0"/>
              <w:bidi w:val="0"/>
              <w:adjustRightInd w:val="0"/>
              <w:snapToGrid w:val="0"/>
            </w:pPr>
            <w:r>
              <w:t>0.</w:t>
            </w:r>
            <w:r>
              <w:rPr>
                <w:rFonts w:hint="eastAsia"/>
              </w:rPr>
              <w:t>0387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130" w:type="pct"/>
            <w:gridSpan w:val="2"/>
            <w:vAlign w:val="center"/>
          </w:tcPr>
          <w:p>
            <w:pPr>
              <w:pStyle w:val="100"/>
              <w:widowControl w:val="0"/>
              <w:bidi w:val="0"/>
              <w:adjustRightInd w:val="0"/>
              <w:snapToGrid w:val="0"/>
            </w:pPr>
            <w:r>
              <w:t>一般排放口合计</w:t>
            </w:r>
          </w:p>
        </w:tc>
        <w:tc>
          <w:tcPr>
            <w:tcW w:w="2732" w:type="pct"/>
            <w:gridSpan w:val="3"/>
            <w:vAlign w:val="center"/>
          </w:tcPr>
          <w:p>
            <w:pPr>
              <w:pStyle w:val="100"/>
              <w:widowControl w:val="0"/>
              <w:bidi w:val="0"/>
              <w:adjustRightInd w:val="0"/>
              <w:snapToGrid w:val="0"/>
            </w:pPr>
            <w:r>
              <w:rPr>
                <w:rFonts w:hint="eastAsia"/>
              </w:rPr>
              <w:t>非甲烷总烃</w:t>
            </w:r>
          </w:p>
        </w:tc>
        <w:tc>
          <w:tcPr>
            <w:tcW w:w="1137" w:type="pct"/>
            <w:vAlign w:val="center"/>
          </w:tcPr>
          <w:p>
            <w:pPr>
              <w:pStyle w:val="100"/>
              <w:widowControl w:val="0"/>
              <w:bidi w:val="0"/>
              <w:adjustRightInd w:val="0"/>
              <w:snapToGrid w:val="0"/>
            </w:pPr>
            <w:r>
              <w:rPr>
                <w:rFonts w:hint="eastAsia"/>
              </w:rPr>
              <w:t>0.0387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100"/>
              <w:widowControl w:val="0"/>
              <w:bidi w:val="0"/>
              <w:adjustRightInd w:val="0"/>
              <w:snapToGrid w:val="0"/>
            </w:pPr>
            <w: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pct"/>
            <w:gridSpan w:val="2"/>
            <w:vAlign w:val="center"/>
          </w:tcPr>
          <w:p>
            <w:pPr>
              <w:pStyle w:val="100"/>
              <w:widowControl w:val="0"/>
              <w:bidi w:val="0"/>
              <w:adjustRightInd w:val="0"/>
              <w:snapToGrid w:val="0"/>
            </w:pPr>
            <w:r>
              <w:t>有组织排放总计</w:t>
            </w:r>
          </w:p>
        </w:tc>
        <w:tc>
          <w:tcPr>
            <w:tcW w:w="2732" w:type="pct"/>
            <w:gridSpan w:val="3"/>
            <w:vAlign w:val="center"/>
          </w:tcPr>
          <w:p>
            <w:pPr>
              <w:pStyle w:val="100"/>
              <w:widowControl w:val="0"/>
              <w:bidi w:val="0"/>
              <w:adjustRightInd w:val="0"/>
              <w:snapToGrid w:val="0"/>
            </w:pPr>
            <w:r>
              <w:rPr>
                <w:rFonts w:hint="eastAsia"/>
              </w:rPr>
              <w:t>非甲烷总烃</w:t>
            </w:r>
          </w:p>
        </w:tc>
        <w:tc>
          <w:tcPr>
            <w:tcW w:w="1137" w:type="pct"/>
            <w:vAlign w:val="center"/>
          </w:tcPr>
          <w:p>
            <w:pPr>
              <w:pStyle w:val="100"/>
              <w:widowControl w:val="0"/>
              <w:bidi w:val="0"/>
              <w:adjustRightInd w:val="0"/>
              <w:snapToGrid w:val="0"/>
            </w:pPr>
            <w:r>
              <w:rPr>
                <w:rFonts w:hint="eastAsia"/>
              </w:rPr>
              <w:t>0.0387</w:t>
            </w:r>
          </w:p>
        </w:tc>
      </w:tr>
    </w:tbl>
    <w:p>
      <w:pPr>
        <w:pStyle w:val="134"/>
        <w:jc w:val="both"/>
        <w:rPr>
          <w:color w:val="auto"/>
        </w:rPr>
      </w:pPr>
    </w:p>
    <w:p>
      <w:pPr>
        <w:pStyle w:val="273"/>
        <w:bidi w:val="0"/>
        <w:rPr>
          <w:rFonts w:hint="eastAsia"/>
        </w:rPr>
      </w:pPr>
      <w:r>
        <w:rPr>
          <w:rFonts w:hint="eastAsia"/>
        </w:rPr>
        <w:t>表7-</w:t>
      </w:r>
      <w:r>
        <w:rPr>
          <w:rFonts w:hint="eastAsia"/>
          <w:lang w:val="en-US" w:eastAsia="zh-CN"/>
        </w:rPr>
        <w:t>11</w:t>
      </w:r>
      <w:r>
        <w:rPr>
          <w:rFonts w:hint="eastAsia"/>
        </w:rPr>
        <w:t xml:space="preserve">  </w:t>
      </w:r>
      <w:bookmarkStart w:id="72" w:name="_Hlk536541843"/>
      <w:r>
        <w:rPr>
          <w:rFonts w:hint="eastAsia"/>
        </w:rPr>
        <w:t>大气污染物无组织废气排放总量核算表</w:t>
      </w:r>
      <w:bookmarkEnd w:id="72"/>
    </w:p>
    <w:tbl>
      <w:tblPr>
        <w:tblStyle w:val="2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739"/>
        <w:gridCol w:w="111"/>
        <w:gridCol w:w="597"/>
        <w:gridCol w:w="1474"/>
        <w:gridCol w:w="819"/>
        <w:gridCol w:w="1307"/>
        <w:gridCol w:w="636"/>
        <w:gridCol w:w="1232"/>
        <w:gridCol w:w="1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restart"/>
            <w:vAlign w:val="center"/>
          </w:tcPr>
          <w:p>
            <w:pPr>
              <w:pStyle w:val="100"/>
              <w:widowControl w:val="0"/>
              <w:bidi w:val="0"/>
              <w:adjustRightInd w:val="0"/>
              <w:snapToGrid w:val="0"/>
            </w:pPr>
            <w:r>
              <w:t>序号</w:t>
            </w:r>
          </w:p>
        </w:tc>
        <w:tc>
          <w:tcPr>
            <w:tcW w:w="434" w:type="pct"/>
            <w:vMerge w:val="restart"/>
            <w:vAlign w:val="center"/>
          </w:tcPr>
          <w:p>
            <w:pPr>
              <w:pStyle w:val="100"/>
              <w:widowControl w:val="0"/>
              <w:bidi w:val="0"/>
              <w:adjustRightInd w:val="0"/>
              <w:snapToGrid w:val="0"/>
            </w:pPr>
            <w:r>
              <w:t>排放口编号</w:t>
            </w:r>
          </w:p>
        </w:tc>
        <w:tc>
          <w:tcPr>
            <w:tcW w:w="415" w:type="pct"/>
            <w:gridSpan w:val="2"/>
            <w:vMerge w:val="restart"/>
            <w:vAlign w:val="center"/>
          </w:tcPr>
          <w:p>
            <w:pPr>
              <w:pStyle w:val="100"/>
              <w:widowControl w:val="0"/>
              <w:bidi w:val="0"/>
              <w:adjustRightInd w:val="0"/>
              <w:snapToGrid w:val="0"/>
            </w:pPr>
            <w:r>
              <w:t>产污环节</w:t>
            </w:r>
          </w:p>
        </w:tc>
        <w:tc>
          <w:tcPr>
            <w:tcW w:w="864" w:type="pct"/>
            <w:vMerge w:val="restart"/>
            <w:vAlign w:val="center"/>
          </w:tcPr>
          <w:p>
            <w:pPr>
              <w:pStyle w:val="100"/>
              <w:widowControl w:val="0"/>
              <w:bidi w:val="0"/>
              <w:adjustRightInd w:val="0"/>
              <w:snapToGrid w:val="0"/>
            </w:pPr>
            <w:r>
              <w:t>污染物</w:t>
            </w:r>
          </w:p>
        </w:tc>
        <w:tc>
          <w:tcPr>
            <w:tcW w:w="480" w:type="pct"/>
            <w:vMerge w:val="restart"/>
            <w:vAlign w:val="center"/>
          </w:tcPr>
          <w:p>
            <w:pPr>
              <w:pStyle w:val="100"/>
              <w:widowControl w:val="0"/>
              <w:bidi w:val="0"/>
              <w:adjustRightInd w:val="0"/>
              <w:snapToGrid w:val="0"/>
            </w:pPr>
            <w:r>
              <w:t>主要污染防治措施</w:t>
            </w:r>
          </w:p>
        </w:tc>
        <w:tc>
          <w:tcPr>
            <w:tcW w:w="1861" w:type="pct"/>
            <w:gridSpan w:val="3"/>
            <w:vAlign w:val="center"/>
          </w:tcPr>
          <w:p>
            <w:pPr>
              <w:pStyle w:val="100"/>
              <w:widowControl w:val="0"/>
              <w:bidi w:val="0"/>
              <w:adjustRightInd w:val="0"/>
              <w:snapToGrid w:val="0"/>
            </w:pPr>
            <w:r>
              <w:t>国家或地方污染物排放标准</w:t>
            </w:r>
          </w:p>
        </w:tc>
        <w:tc>
          <w:tcPr>
            <w:tcW w:w="657" w:type="pct"/>
            <w:vMerge w:val="restart"/>
            <w:vAlign w:val="center"/>
          </w:tcPr>
          <w:p>
            <w:pPr>
              <w:pStyle w:val="100"/>
              <w:widowControl w:val="0"/>
              <w:bidi w:val="0"/>
              <w:adjustRightInd w:val="0"/>
              <w:snapToGrid w:val="0"/>
            </w:pPr>
            <w: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Merge w:val="continue"/>
            <w:vAlign w:val="center"/>
          </w:tcPr>
          <w:p>
            <w:pPr>
              <w:pStyle w:val="100"/>
              <w:widowControl w:val="0"/>
              <w:bidi w:val="0"/>
              <w:adjustRightInd w:val="0"/>
              <w:snapToGrid w:val="0"/>
            </w:pPr>
          </w:p>
        </w:tc>
        <w:tc>
          <w:tcPr>
            <w:tcW w:w="434" w:type="pct"/>
            <w:vMerge w:val="continue"/>
            <w:vAlign w:val="center"/>
          </w:tcPr>
          <w:p>
            <w:pPr>
              <w:pStyle w:val="100"/>
              <w:widowControl w:val="0"/>
              <w:bidi w:val="0"/>
              <w:adjustRightInd w:val="0"/>
              <w:snapToGrid w:val="0"/>
            </w:pPr>
          </w:p>
        </w:tc>
        <w:tc>
          <w:tcPr>
            <w:tcW w:w="415" w:type="pct"/>
            <w:gridSpan w:val="2"/>
            <w:vMerge w:val="continue"/>
            <w:vAlign w:val="center"/>
          </w:tcPr>
          <w:p>
            <w:pPr>
              <w:pStyle w:val="100"/>
              <w:widowControl w:val="0"/>
              <w:bidi w:val="0"/>
              <w:adjustRightInd w:val="0"/>
              <w:snapToGrid w:val="0"/>
            </w:pPr>
          </w:p>
        </w:tc>
        <w:tc>
          <w:tcPr>
            <w:tcW w:w="864" w:type="pct"/>
            <w:vMerge w:val="continue"/>
            <w:vAlign w:val="center"/>
          </w:tcPr>
          <w:p>
            <w:pPr>
              <w:pStyle w:val="100"/>
              <w:widowControl w:val="0"/>
              <w:bidi w:val="0"/>
              <w:adjustRightInd w:val="0"/>
              <w:snapToGrid w:val="0"/>
            </w:pPr>
          </w:p>
        </w:tc>
        <w:tc>
          <w:tcPr>
            <w:tcW w:w="480" w:type="pct"/>
            <w:vMerge w:val="continue"/>
            <w:vAlign w:val="center"/>
          </w:tcPr>
          <w:p>
            <w:pPr>
              <w:pStyle w:val="100"/>
              <w:widowControl w:val="0"/>
              <w:bidi w:val="0"/>
              <w:adjustRightInd w:val="0"/>
              <w:snapToGrid w:val="0"/>
            </w:pPr>
          </w:p>
        </w:tc>
        <w:tc>
          <w:tcPr>
            <w:tcW w:w="1139" w:type="pct"/>
            <w:gridSpan w:val="2"/>
            <w:vAlign w:val="center"/>
          </w:tcPr>
          <w:p>
            <w:pPr>
              <w:pStyle w:val="100"/>
              <w:widowControl w:val="0"/>
              <w:bidi w:val="0"/>
              <w:adjustRightInd w:val="0"/>
              <w:snapToGrid w:val="0"/>
            </w:pPr>
            <w:r>
              <w:t>标准名称</w:t>
            </w:r>
          </w:p>
        </w:tc>
        <w:tc>
          <w:tcPr>
            <w:tcW w:w="722" w:type="pct"/>
            <w:vAlign w:val="center"/>
          </w:tcPr>
          <w:p>
            <w:pPr>
              <w:pStyle w:val="100"/>
              <w:widowControl w:val="0"/>
              <w:bidi w:val="0"/>
              <w:adjustRightInd w:val="0"/>
              <w:snapToGrid w:val="0"/>
            </w:pPr>
            <w:r>
              <w:t>浓度限值/（mg/m3）</w:t>
            </w:r>
          </w:p>
        </w:tc>
        <w:tc>
          <w:tcPr>
            <w:tcW w:w="657"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Align w:val="center"/>
          </w:tcPr>
          <w:p>
            <w:pPr>
              <w:pStyle w:val="100"/>
              <w:widowControl w:val="0"/>
              <w:bidi w:val="0"/>
              <w:adjustRightInd w:val="0"/>
              <w:snapToGrid w:val="0"/>
            </w:pPr>
            <w:r>
              <w:t>1</w:t>
            </w:r>
          </w:p>
        </w:tc>
        <w:tc>
          <w:tcPr>
            <w:tcW w:w="434" w:type="pct"/>
            <w:vAlign w:val="center"/>
          </w:tcPr>
          <w:p>
            <w:pPr>
              <w:pStyle w:val="100"/>
              <w:widowControl w:val="0"/>
              <w:bidi w:val="0"/>
              <w:adjustRightInd w:val="0"/>
              <w:snapToGrid w:val="0"/>
            </w:pPr>
            <w:r>
              <w:rPr>
                <w:rFonts w:hint="eastAsia"/>
              </w:rPr>
              <w:t>印刷车间</w:t>
            </w:r>
          </w:p>
        </w:tc>
        <w:tc>
          <w:tcPr>
            <w:tcW w:w="415" w:type="pct"/>
            <w:gridSpan w:val="2"/>
            <w:vAlign w:val="center"/>
          </w:tcPr>
          <w:p>
            <w:pPr>
              <w:pStyle w:val="100"/>
              <w:widowControl w:val="0"/>
              <w:bidi w:val="0"/>
              <w:adjustRightInd w:val="0"/>
              <w:snapToGrid w:val="0"/>
            </w:pPr>
            <w:r>
              <w:rPr>
                <w:rFonts w:hint="eastAsia"/>
              </w:rPr>
              <w:t>印刷</w:t>
            </w:r>
          </w:p>
        </w:tc>
        <w:tc>
          <w:tcPr>
            <w:tcW w:w="864" w:type="pct"/>
            <w:vAlign w:val="center"/>
          </w:tcPr>
          <w:p>
            <w:pPr>
              <w:pStyle w:val="100"/>
              <w:widowControl w:val="0"/>
              <w:bidi w:val="0"/>
              <w:adjustRightInd w:val="0"/>
              <w:snapToGrid w:val="0"/>
            </w:pPr>
            <w:r>
              <w:rPr>
                <w:rFonts w:hint="eastAsia"/>
              </w:rPr>
              <w:t>非甲烷总烃</w:t>
            </w:r>
          </w:p>
        </w:tc>
        <w:tc>
          <w:tcPr>
            <w:tcW w:w="480" w:type="pct"/>
            <w:vAlign w:val="center"/>
          </w:tcPr>
          <w:p>
            <w:pPr>
              <w:pStyle w:val="100"/>
              <w:widowControl w:val="0"/>
              <w:bidi w:val="0"/>
              <w:adjustRightInd w:val="0"/>
              <w:snapToGrid w:val="0"/>
            </w:pPr>
            <w:r>
              <w:t>增强通风</w:t>
            </w:r>
          </w:p>
        </w:tc>
        <w:tc>
          <w:tcPr>
            <w:tcW w:w="1139" w:type="pct"/>
            <w:gridSpan w:val="2"/>
            <w:vAlign w:val="center"/>
          </w:tcPr>
          <w:p>
            <w:pPr>
              <w:pStyle w:val="100"/>
              <w:widowControl w:val="0"/>
              <w:bidi w:val="0"/>
              <w:adjustRightInd w:val="0"/>
              <w:snapToGrid w:val="0"/>
            </w:pPr>
            <w:r>
              <w:t>《合成树脂工业污染物排放标准》（GB31572-2015）</w:t>
            </w:r>
          </w:p>
        </w:tc>
        <w:tc>
          <w:tcPr>
            <w:tcW w:w="722" w:type="pct"/>
            <w:vAlign w:val="center"/>
          </w:tcPr>
          <w:p>
            <w:pPr>
              <w:pStyle w:val="100"/>
              <w:widowControl w:val="0"/>
              <w:bidi w:val="0"/>
              <w:adjustRightInd w:val="0"/>
              <w:snapToGrid w:val="0"/>
            </w:pPr>
            <w:r>
              <w:t>4.0</w:t>
            </w:r>
          </w:p>
        </w:tc>
        <w:tc>
          <w:tcPr>
            <w:tcW w:w="657" w:type="pct"/>
            <w:vAlign w:val="center"/>
          </w:tcPr>
          <w:p>
            <w:pPr>
              <w:pStyle w:val="100"/>
              <w:widowControl w:val="0"/>
              <w:bidi w:val="0"/>
              <w:adjustRightInd w:val="0"/>
              <w:snapToGrid w:val="0"/>
            </w:pPr>
            <w:r>
              <w:rPr>
                <w:rFonts w:hint="eastAsia"/>
              </w:rPr>
              <w:t>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pPr>
              <w:pStyle w:val="134"/>
              <w:rPr>
                <w:rFonts w:cs="Times New Roman"/>
                <w:color w:val="auto"/>
                <w:kern w:val="0"/>
              </w:rPr>
            </w:pPr>
            <w:r>
              <w:rPr>
                <w:rFonts w:cs="Times New Roman"/>
                <w:color w:val="auto"/>
                <w:kern w:val="0"/>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gridSpan w:val="3"/>
            <w:vAlign w:val="center"/>
          </w:tcPr>
          <w:p>
            <w:pPr>
              <w:pStyle w:val="100"/>
              <w:widowControl w:val="0"/>
              <w:bidi w:val="0"/>
              <w:adjustRightInd w:val="0"/>
              <w:snapToGrid w:val="0"/>
            </w:pPr>
            <w:r>
              <w:t>主要排放口合计</w:t>
            </w:r>
          </w:p>
        </w:tc>
        <w:tc>
          <w:tcPr>
            <w:tcW w:w="2460" w:type="pct"/>
            <w:gridSpan w:val="4"/>
            <w:vAlign w:val="center"/>
          </w:tcPr>
          <w:p>
            <w:pPr>
              <w:pStyle w:val="100"/>
              <w:widowControl w:val="0"/>
              <w:bidi w:val="0"/>
              <w:adjustRightInd w:val="0"/>
              <w:snapToGrid w:val="0"/>
            </w:pPr>
            <w:r>
              <w:rPr>
                <w:rFonts w:hint="eastAsia"/>
              </w:rPr>
              <w:t>非甲烷总烃</w:t>
            </w:r>
          </w:p>
        </w:tc>
        <w:tc>
          <w:tcPr>
            <w:tcW w:w="1754" w:type="pct"/>
            <w:gridSpan w:val="3"/>
            <w:vAlign w:val="center"/>
          </w:tcPr>
          <w:p>
            <w:pPr>
              <w:pStyle w:val="100"/>
              <w:widowControl w:val="0"/>
              <w:bidi w:val="0"/>
              <w:adjustRightInd w:val="0"/>
              <w:snapToGrid w:val="0"/>
            </w:pPr>
            <w:r>
              <w:rPr>
                <w:rFonts w:hint="eastAsia"/>
              </w:rPr>
              <w:t>0.0815</w:t>
            </w:r>
          </w:p>
        </w:tc>
      </w:tr>
    </w:tbl>
    <w:p>
      <w:pPr>
        <w:pStyle w:val="273"/>
        <w:bidi w:val="0"/>
        <w:rPr>
          <w:rFonts w:hint="eastAsia"/>
        </w:rPr>
      </w:pPr>
      <w:bookmarkStart w:id="73" w:name="_Hlk536541900"/>
      <w:r>
        <w:rPr>
          <w:rFonts w:hint="eastAsia"/>
        </w:rPr>
        <w:t>表7-</w:t>
      </w:r>
      <w:r>
        <w:rPr>
          <w:rFonts w:hint="eastAsia"/>
          <w:lang w:val="en-US" w:eastAsia="zh-CN"/>
        </w:rPr>
        <w:t>12</w:t>
      </w:r>
      <w:r>
        <w:rPr>
          <w:rFonts w:hint="eastAsia"/>
        </w:rPr>
        <w:t xml:space="preserve">  大气污染物年排放量核算表</w:t>
      </w:r>
    </w:p>
    <w:bookmarkEnd w:id="73"/>
    <w:tbl>
      <w:tblPr>
        <w:tblStyle w:val="260"/>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3818"/>
        <w:gridCol w:w="2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94" w:type="pct"/>
            <w:vAlign w:val="center"/>
          </w:tcPr>
          <w:p>
            <w:pPr>
              <w:pStyle w:val="100"/>
              <w:widowControl w:val="0"/>
              <w:bidi w:val="0"/>
              <w:adjustRightInd w:val="0"/>
              <w:snapToGrid w:val="0"/>
            </w:pPr>
            <w:r>
              <w:t>序号</w:t>
            </w:r>
          </w:p>
        </w:tc>
        <w:tc>
          <w:tcPr>
            <w:tcW w:w="2243" w:type="pct"/>
            <w:vAlign w:val="center"/>
          </w:tcPr>
          <w:p>
            <w:pPr>
              <w:pStyle w:val="100"/>
              <w:widowControl w:val="0"/>
              <w:bidi w:val="0"/>
              <w:adjustRightInd w:val="0"/>
              <w:snapToGrid w:val="0"/>
            </w:pPr>
            <w:r>
              <w:t>污染物</w:t>
            </w:r>
          </w:p>
        </w:tc>
        <w:tc>
          <w:tcPr>
            <w:tcW w:w="1762" w:type="pct"/>
            <w:vAlign w:val="center"/>
          </w:tcPr>
          <w:p>
            <w:pPr>
              <w:pStyle w:val="100"/>
              <w:widowControl w:val="0"/>
              <w:bidi w:val="0"/>
              <w:adjustRightInd w:val="0"/>
              <w:snapToGrid w:val="0"/>
            </w:pPr>
            <w: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94" w:type="pct"/>
            <w:vAlign w:val="center"/>
          </w:tcPr>
          <w:p>
            <w:pPr>
              <w:pStyle w:val="100"/>
              <w:widowControl w:val="0"/>
              <w:bidi w:val="0"/>
              <w:adjustRightInd w:val="0"/>
              <w:snapToGrid w:val="0"/>
            </w:pPr>
            <w:r>
              <w:t>1</w:t>
            </w:r>
          </w:p>
        </w:tc>
        <w:tc>
          <w:tcPr>
            <w:tcW w:w="2243" w:type="pct"/>
            <w:vAlign w:val="center"/>
          </w:tcPr>
          <w:p>
            <w:pPr>
              <w:pStyle w:val="100"/>
              <w:widowControl w:val="0"/>
              <w:bidi w:val="0"/>
              <w:adjustRightInd w:val="0"/>
              <w:snapToGrid w:val="0"/>
            </w:pPr>
            <w:r>
              <w:rPr>
                <w:rFonts w:hint="eastAsia"/>
              </w:rPr>
              <w:t>非甲烷总烃</w:t>
            </w:r>
          </w:p>
        </w:tc>
        <w:tc>
          <w:tcPr>
            <w:tcW w:w="1762" w:type="pct"/>
            <w:vAlign w:val="center"/>
          </w:tcPr>
          <w:p>
            <w:pPr>
              <w:pStyle w:val="100"/>
              <w:widowControl w:val="0"/>
              <w:bidi w:val="0"/>
              <w:adjustRightInd w:val="0"/>
              <w:snapToGrid w:val="0"/>
            </w:pPr>
            <w:r>
              <w:t>0.</w:t>
            </w:r>
            <w:r>
              <w:rPr>
                <w:rFonts w:hint="eastAsia"/>
              </w:rPr>
              <w:t>0815</w:t>
            </w:r>
          </w:p>
        </w:tc>
      </w:tr>
      <w:bookmarkEnd w:id="70"/>
    </w:tbl>
    <w:p>
      <w:pPr>
        <w:pStyle w:val="349"/>
        <w:rPr>
          <w:color w:val="auto"/>
        </w:rPr>
      </w:pPr>
      <w:r>
        <w:rPr>
          <w:rFonts w:hint="eastAsia"/>
          <w:color w:val="auto"/>
        </w:rPr>
        <w:t>环境影响评价自查表</w:t>
      </w:r>
    </w:p>
    <w:p>
      <w:pPr>
        <w:pStyle w:val="273"/>
        <w:bidi w:val="0"/>
        <w:rPr>
          <w:rFonts w:hint="eastAsia"/>
        </w:rPr>
      </w:pPr>
    </w:p>
    <w:p>
      <w:pPr>
        <w:pStyle w:val="273"/>
        <w:bidi w:val="0"/>
        <w:rPr>
          <w:rFonts w:hint="eastAsia"/>
        </w:rPr>
      </w:pPr>
      <w:r>
        <w:rPr>
          <w:rFonts w:hint="eastAsia"/>
        </w:rPr>
        <w:t>表7-</w:t>
      </w:r>
      <w:r>
        <w:rPr>
          <w:rFonts w:hint="eastAsia"/>
          <w:lang w:val="en-US" w:eastAsia="zh-CN"/>
        </w:rPr>
        <w:t>13</w:t>
      </w:r>
      <w:r>
        <w:rPr>
          <w:rFonts w:hint="eastAsia"/>
        </w:rPr>
        <w:t xml:space="preserve">  大气环境影响评价自查表</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7"/>
        <w:gridCol w:w="1393"/>
        <w:gridCol w:w="997"/>
        <w:gridCol w:w="317"/>
        <w:gridCol w:w="96"/>
        <w:gridCol w:w="216"/>
        <w:gridCol w:w="108"/>
        <w:gridCol w:w="139"/>
        <w:gridCol w:w="674"/>
        <w:gridCol w:w="320"/>
        <w:gridCol w:w="139"/>
        <w:gridCol w:w="126"/>
        <w:gridCol w:w="620"/>
        <w:gridCol w:w="500"/>
        <w:gridCol w:w="221"/>
        <w:gridCol w:w="701"/>
        <w:gridCol w:w="85"/>
        <w:gridCol w:w="78"/>
        <w:gridCol w:w="174"/>
        <w:gridCol w:w="361"/>
        <w:gridCol w:w="5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2120" w:type="dxa"/>
            <w:gridSpan w:val="2"/>
            <w:shd w:val="clear" w:color="auto" w:fill="auto"/>
            <w:vAlign w:val="center"/>
          </w:tcPr>
          <w:p>
            <w:pPr>
              <w:pStyle w:val="100"/>
              <w:bidi w:val="0"/>
            </w:pPr>
            <w:r>
              <w:t>工作内容</w:t>
            </w:r>
          </w:p>
        </w:tc>
        <w:tc>
          <w:tcPr>
            <w:tcW w:w="6408" w:type="dxa"/>
            <w:gridSpan w:val="19"/>
            <w:shd w:val="clear" w:color="auto" w:fill="auto"/>
            <w:vAlign w:val="center"/>
          </w:tcPr>
          <w:p>
            <w:pPr>
              <w:pStyle w:val="100"/>
              <w:bidi w:val="0"/>
            </w:pPr>
            <w: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restart"/>
            <w:vAlign w:val="center"/>
          </w:tcPr>
          <w:p>
            <w:pPr>
              <w:pStyle w:val="100"/>
              <w:bidi w:val="0"/>
            </w:pPr>
            <w:r>
              <w:t>评价等级与范围</w:t>
            </w:r>
          </w:p>
        </w:tc>
        <w:tc>
          <w:tcPr>
            <w:tcW w:w="1393" w:type="dxa"/>
            <w:vAlign w:val="center"/>
          </w:tcPr>
          <w:p>
            <w:pPr>
              <w:pStyle w:val="100"/>
              <w:bidi w:val="0"/>
            </w:pPr>
            <w:r>
              <w:t>评价等级</w:t>
            </w:r>
          </w:p>
        </w:tc>
        <w:tc>
          <w:tcPr>
            <w:tcW w:w="2547" w:type="dxa"/>
            <w:gridSpan w:val="7"/>
            <w:vAlign w:val="center"/>
          </w:tcPr>
          <w:p>
            <w:pPr>
              <w:pStyle w:val="100"/>
              <w:bidi w:val="0"/>
            </w:pPr>
            <w:r>
              <w:t>一级□</w:t>
            </w:r>
          </w:p>
        </w:tc>
        <w:tc>
          <w:tcPr>
            <w:tcW w:w="2712" w:type="dxa"/>
            <w:gridSpan w:val="8"/>
            <w:vAlign w:val="center"/>
          </w:tcPr>
          <w:p>
            <w:pPr>
              <w:pStyle w:val="100"/>
              <w:bidi w:val="0"/>
            </w:pPr>
            <w:r>
              <w:t>二级□</w:t>
            </w:r>
          </w:p>
        </w:tc>
        <w:tc>
          <w:tcPr>
            <w:tcW w:w="1149" w:type="dxa"/>
            <w:gridSpan w:val="4"/>
            <w:vAlign w:val="center"/>
          </w:tcPr>
          <w:p>
            <w:pPr>
              <w:pStyle w:val="100"/>
              <w:bidi w:val="0"/>
            </w:pPr>
            <w: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评价范围</w:t>
            </w:r>
          </w:p>
        </w:tc>
        <w:tc>
          <w:tcPr>
            <w:tcW w:w="2547" w:type="dxa"/>
            <w:gridSpan w:val="7"/>
            <w:vAlign w:val="center"/>
          </w:tcPr>
          <w:p>
            <w:pPr>
              <w:pStyle w:val="100"/>
              <w:bidi w:val="0"/>
            </w:pPr>
            <w:r>
              <w:t>边长=50km□</w:t>
            </w:r>
          </w:p>
        </w:tc>
        <w:tc>
          <w:tcPr>
            <w:tcW w:w="2712" w:type="dxa"/>
            <w:gridSpan w:val="8"/>
            <w:vAlign w:val="center"/>
          </w:tcPr>
          <w:p>
            <w:pPr>
              <w:pStyle w:val="100"/>
              <w:bidi w:val="0"/>
            </w:pPr>
            <w:r>
              <w:t>边长5～50km□</w:t>
            </w:r>
          </w:p>
        </w:tc>
        <w:tc>
          <w:tcPr>
            <w:tcW w:w="1149" w:type="dxa"/>
            <w:gridSpan w:val="4"/>
            <w:vAlign w:val="center"/>
          </w:tcPr>
          <w:p>
            <w:pPr>
              <w:pStyle w:val="100"/>
              <w:bidi w:val="0"/>
            </w:pPr>
            <w:r>
              <w:t>边长=5 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restart"/>
            <w:vAlign w:val="center"/>
          </w:tcPr>
          <w:p>
            <w:pPr>
              <w:pStyle w:val="100"/>
              <w:bidi w:val="0"/>
            </w:pPr>
            <w:r>
              <w:t>评价因子</w:t>
            </w:r>
          </w:p>
        </w:tc>
        <w:tc>
          <w:tcPr>
            <w:tcW w:w="1393" w:type="dxa"/>
            <w:vAlign w:val="center"/>
          </w:tcPr>
          <w:p>
            <w:pPr>
              <w:pStyle w:val="100"/>
              <w:bidi w:val="0"/>
            </w:pPr>
            <w:r>
              <w:t>SO2 +NOx排放量</w:t>
            </w:r>
          </w:p>
        </w:tc>
        <w:tc>
          <w:tcPr>
            <w:tcW w:w="1314" w:type="dxa"/>
            <w:gridSpan w:val="2"/>
            <w:vAlign w:val="center"/>
          </w:tcPr>
          <w:p>
            <w:pPr>
              <w:pStyle w:val="100"/>
              <w:bidi w:val="0"/>
            </w:pPr>
            <w:r>
              <w:t>≥ 2000t/a□</w:t>
            </w:r>
          </w:p>
        </w:tc>
        <w:tc>
          <w:tcPr>
            <w:tcW w:w="3945" w:type="dxa"/>
            <w:gridSpan w:val="13"/>
            <w:vAlign w:val="center"/>
          </w:tcPr>
          <w:p>
            <w:pPr>
              <w:pStyle w:val="100"/>
              <w:bidi w:val="0"/>
            </w:pPr>
            <w:r>
              <w:t>500 ~ 2000t/a□</w:t>
            </w:r>
          </w:p>
        </w:tc>
        <w:tc>
          <w:tcPr>
            <w:tcW w:w="1149" w:type="dxa"/>
            <w:gridSpan w:val="4"/>
            <w:vAlign w:val="center"/>
          </w:tcPr>
          <w:p>
            <w:pPr>
              <w:pStyle w:val="100"/>
              <w:bidi w:val="0"/>
            </w:pPr>
            <w:r>
              <w:t>＜500 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6" w:hRule="atLeast"/>
          <w:tblHeader/>
          <w:jc w:val="center"/>
        </w:trPr>
        <w:tc>
          <w:tcPr>
            <w:tcW w:w="727" w:type="dxa"/>
            <w:vMerge w:val="continue"/>
            <w:vAlign w:val="center"/>
          </w:tcPr>
          <w:p>
            <w:pPr>
              <w:pStyle w:val="100"/>
              <w:bidi w:val="0"/>
            </w:pPr>
          </w:p>
        </w:tc>
        <w:tc>
          <w:tcPr>
            <w:tcW w:w="1393" w:type="dxa"/>
            <w:vAlign w:val="center"/>
          </w:tcPr>
          <w:p>
            <w:pPr>
              <w:pStyle w:val="100"/>
              <w:bidi w:val="0"/>
            </w:pPr>
            <w:r>
              <w:t>评价因子</w:t>
            </w:r>
          </w:p>
        </w:tc>
        <w:tc>
          <w:tcPr>
            <w:tcW w:w="3752" w:type="dxa"/>
            <w:gridSpan w:val="11"/>
            <w:vAlign w:val="center"/>
          </w:tcPr>
          <w:p>
            <w:pPr>
              <w:pStyle w:val="100"/>
              <w:bidi w:val="0"/>
            </w:pPr>
            <w:r>
              <w:t>基本污染物 (       /     )</w:t>
            </w:r>
          </w:p>
          <w:p>
            <w:pPr>
              <w:pStyle w:val="100"/>
              <w:bidi w:val="0"/>
            </w:pPr>
            <w:r>
              <w:t xml:space="preserve">其他污染物 (    </w:t>
            </w:r>
            <w:r>
              <w:rPr>
                <w:rFonts w:hint="eastAsia"/>
              </w:rPr>
              <w:t>非甲烷总烃</w:t>
            </w:r>
            <w:r>
              <w:t xml:space="preserve">   )</w:t>
            </w:r>
          </w:p>
        </w:tc>
        <w:tc>
          <w:tcPr>
            <w:tcW w:w="2656" w:type="dxa"/>
            <w:gridSpan w:val="8"/>
            <w:vAlign w:val="center"/>
          </w:tcPr>
          <w:p>
            <w:pPr>
              <w:pStyle w:val="100"/>
              <w:bidi w:val="0"/>
            </w:pPr>
            <w:r>
              <w:t>包括二次PM2.5□</w:t>
            </w:r>
          </w:p>
          <w:p>
            <w:pPr>
              <w:pStyle w:val="100"/>
              <w:bidi w:val="0"/>
            </w:pPr>
            <w:r>
              <w:t>不包括二次PM2.5☑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Align w:val="center"/>
          </w:tcPr>
          <w:p>
            <w:pPr>
              <w:pStyle w:val="100"/>
              <w:bidi w:val="0"/>
            </w:pPr>
            <w:r>
              <w:t>评价标准</w:t>
            </w:r>
          </w:p>
        </w:tc>
        <w:tc>
          <w:tcPr>
            <w:tcW w:w="1393" w:type="dxa"/>
            <w:vAlign w:val="center"/>
          </w:tcPr>
          <w:p>
            <w:pPr>
              <w:pStyle w:val="100"/>
              <w:bidi w:val="0"/>
            </w:pPr>
            <w:r>
              <w:t>评价标准</w:t>
            </w:r>
          </w:p>
        </w:tc>
        <w:tc>
          <w:tcPr>
            <w:tcW w:w="1873" w:type="dxa"/>
            <w:gridSpan w:val="6"/>
            <w:vAlign w:val="center"/>
          </w:tcPr>
          <w:p>
            <w:pPr>
              <w:pStyle w:val="100"/>
              <w:bidi w:val="0"/>
            </w:pPr>
            <w:r>
              <w:t>国家标准</w:t>
            </w:r>
            <w:r>
              <w:rPr>
                <w:rFonts w:hint="eastAsia"/>
              </w:rPr>
              <w:sym w:font="Wingdings 2" w:char="0052"/>
            </w:r>
          </w:p>
        </w:tc>
        <w:tc>
          <w:tcPr>
            <w:tcW w:w="1879" w:type="dxa"/>
            <w:gridSpan w:val="5"/>
            <w:vAlign w:val="center"/>
          </w:tcPr>
          <w:p>
            <w:pPr>
              <w:pStyle w:val="100"/>
              <w:bidi w:val="0"/>
            </w:pPr>
            <w:r>
              <w:t xml:space="preserve">地方标准 </w:t>
            </w:r>
            <w:r>
              <w:rPr/>
              <w:sym w:font="Wingdings 2" w:char="0052"/>
            </w:r>
          </w:p>
        </w:tc>
        <w:tc>
          <w:tcPr>
            <w:tcW w:w="1759" w:type="dxa"/>
            <w:gridSpan w:val="6"/>
            <w:vAlign w:val="center"/>
          </w:tcPr>
          <w:p>
            <w:pPr>
              <w:pStyle w:val="100"/>
              <w:bidi w:val="0"/>
            </w:pPr>
            <w:r>
              <w:t>附录D</w:t>
            </w:r>
            <w:r>
              <w:rPr>
                <w:rFonts w:hint="eastAsia"/>
              </w:rPr>
              <w:sym w:font="Wingdings 2" w:char="0052"/>
            </w:r>
          </w:p>
        </w:tc>
        <w:tc>
          <w:tcPr>
            <w:tcW w:w="897" w:type="dxa"/>
            <w:gridSpan w:val="2"/>
            <w:vAlign w:val="center"/>
          </w:tcPr>
          <w:p>
            <w:pPr>
              <w:pStyle w:val="100"/>
              <w:bidi w:val="0"/>
            </w:pPr>
            <w:r>
              <w:t>其他标准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restart"/>
            <w:vAlign w:val="center"/>
          </w:tcPr>
          <w:p>
            <w:pPr>
              <w:pStyle w:val="100"/>
              <w:bidi w:val="0"/>
            </w:pPr>
            <w:r>
              <w:t>现状评价</w:t>
            </w:r>
          </w:p>
        </w:tc>
        <w:tc>
          <w:tcPr>
            <w:tcW w:w="1393" w:type="dxa"/>
            <w:vAlign w:val="center"/>
          </w:tcPr>
          <w:p>
            <w:pPr>
              <w:pStyle w:val="100"/>
              <w:bidi w:val="0"/>
            </w:pPr>
            <w:r>
              <w:t>环境功能区</w:t>
            </w:r>
          </w:p>
        </w:tc>
        <w:tc>
          <w:tcPr>
            <w:tcW w:w="2547" w:type="dxa"/>
            <w:gridSpan w:val="7"/>
            <w:vAlign w:val="center"/>
          </w:tcPr>
          <w:p>
            <w:pPr>
              <w:pStyle w:val="100"/>
              <w:bidi w:val="0"/>
            </w:pPr>
            <w:r>
              <w:t>一类区□</w:t>
            </w:r>
          </w:p>
        </w:tc>
        <w:tc>
          <w:tcPr>
            <w:tcW w:w="2627" w:type="dxa"/>
            <w:gridSpan w:val="7"/>
            <w:vAlign w:val="center"/>
          </w:tcPr>
          <w:p>
            <w:pPr>
              <w:pStyle w:val="100"/>
              <w:bidi w:val="0"/>
            </w:pPr>
            <w:r>
              <w:t>二类区☑</w:t>
            </w:r>
          </w:p>
        </w:tc>
        <w:tc>
          <w:tcPr>
            <w:tcW w:w="1234" w:type="dxa"/>
            <w:gridSpan w:val="5"/>
            <w:vAlign w:val="center"/>
          </w:tcPr>
          <w:p>
            <w:pPr>
              <w:pStyle w:val="100"/>
              <w:bidi w:val="0"/>
            </w:pPr>
            <w:r>
              <w:t>一类区和二类区□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评价基准年</w:t>
            </w:r>
          </w:p>
        </w:tc>
        <w:tc>
          <w:tcPr>
            <w:tcW w:w="6408" w:type="dxa"/>
            <w:gridSpan w:val="19"/>
            <w:vAlign w:val="center"/>
          </w:tcPr>
          <w:p>
            <w:pPr>
              <w:pStyle w:val="100"/>
              <w:bidi w:val="0"/>
            </w:pPr>
            <w:r>
              <w:t>（  201</w:t>
            </w:r>
            <w:r>
              <w:rPr>
                <w:rFonts w:hint="eastAsia"/>
              </w:rPr>
              <w:t>9</w:t>
            </w:r>
            <w:r>
              <w:t xml:space="preserve">  ）年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环境空气质量</w:t>
            </w:r>
            <w:r>
              <w:br w:type="textWrapping"/>
            </w:r>
            <w:r>
              <w:t>现状调查数据来源</w:t>
            </w:r>
          </w:p>
        </w:tc>
        <w:tc>
          <w:tcPr>
            <w:tcW w:w="2547" w:type="dxa"/>
            <w:gridSpan w:val="7"/>
            <w:vAlign w:val="center"/>
          </w:tcPr>
          <w:p>
            <w:pPr>
              <w:pStyle w:val="100"/>
              <w:bidi w:val="0"/>
            </w:pPr>
            <w:r>
              <w:t>长期例行监测数据□</w:t>
            </w:r>
          </w:p>
        </w:tc>
        <w:tc>
          <w:tcPr>
            <w:tcW w:w="2712" w:type="dxa"/>
            <w:gridSpan w:val="8"/>
            <w:vAlign w:val="center"/>
          </w:tcPr>
          <w:p>
            <w:pPr>
              <w:pStyle w:val="100"/>
              <w:bidi w:val="0"/>
            </w:pPr>
            <w:r>
              <w:t>主管部门发布的数据☑</w:t>
            </w:r>
          </w:p>
        </w:tc>
        <w:tc>
          <w:tcPr>
            <w:tcW w:w="1149" w:type="dxa"/>
            <w:gridSpan w:val="4"/>
            <w:vAlign w:val="center"/>
          </w:tcPr>
          <w:p>
            <w:pPr>
              <w:pStyle w:val="100"/>
              <w:bidi w:val="0"/>
            </w:pPr>
            <w:r>
              <w:t>现状补充监测□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现状评价</w:t>
            </w:r>
          </w:p>
        </w:tc>
        <w:tc>
          <w:tcPr>
            <w:tcW w:w="3752" w:type="dxa"/>
            <w:gridSpan w:val="11"/>
            <w:vAlign w:val="center"/>
          </w:tcPr>
          <w:p>
            <w:pPr>
              <w:pStyle w:val="100"/>
              <w:bidi w:val="0"/>
            </w:pPr>
            <w:r>
              <w:t>达标区□</w:t>
            </w:r>
          </w:p>
        </w:tc>
        <w:tc>
          <w:tcPr>
            <w:tcW w:w="2656" w:type="dxa"/>
            <w:gridSpan w:val="8"/>
            <w:vAlign w:val="center"/>
          </w:tcPr>
          <w:p>
            <w:pPr>
              <w:pStyle w:val="100"/>
              <w:bidi w:val="0"/>
            </w:pPr>
            <w:r>
              <w:t>不达标区☑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Align w:val="center"/>
          </w:tcPr>
          <w:p>
            <w:pPr>
              <w:pStyle w:val="100"/>
              <w:bidi w:val="0"/>
            </w:pPr>
            <w:r>
              <w:t>污染源</w:t>
            </w:r>
            <w:r>
              <w:br w:type="textWrapping"/>
            </w:r>
            <w:r>
              <w:t>调查</w:t>
            </w:r>
          </w:p>
        </w:tc>
        <w:tc>
          <w:tcPr>
            <w:tcW w:w="1393" w:type="dxa"/>
            <w:vAlign w:val="center"/>
          </w:tcPr>
          <w:p>
            <w:pPr>
              <w:pStyle w:val="100"/>
              <w:bidi w:val="0"/>
            </w:pPr>
            <w:r>
              <w:t>调查内容</w:t>
            </w:r>
          </w:p>
        </w:tc>
        <w:tc>
          <w:tcPr>
            <w:tcW w:w="1873" w:type="dxa"/>
            <w:gridSpan w:val="6"/>
            <w:vAlign w:val="center"/>
          </w:tcPr>
          <w:p>
            <w:pPr>
              <w:pStyle w:val="100"/>
              <w:bidi w:val="0"/>
            </w:pPr>
            <w:r>
              <w:t>本项目正常排放源 ☑</w:t>
            </w:r>
          </w:p>
          <w:p>
            <w:pPr>
              <w:pStyle w:val="100"/>
              <w:bidi w:val="0"/>
            </w:pPr>
            <w:r>
              <w:t>本项目非正常排放源 □</w:t>
            </w:r>
          </w:p>
          <w:p>
            <w:pPr>
              <w:pStyle w:val="100"/>
              <w:bidi w:val="0"/>
            </w:pPr>
            <w:r>
              <w:t>现有污染源 □</w:t>
            </w:r>
          </w:p>
        </w:tc>
        <w:tc>
          <w:tcPr>
            <w:tcW w:w="1879" w:type="dxa"/>
            <w:gridSpan w:val="5"/>
            <w:vAlign w:val="center"/>
          </w:tcPr>
          <w:p>
            <w:pPr>
              <w:pStyle w:val="100"/>
              <w:bidi w:val="0"/>
            </w:pPr>
            <w:r>
              <w:t>拟替代的污染源□</w:t>
            </w:r>
          </w:p>
        </w:tc>
        <w:tc>
          <w:tcPr>
            <w:tcW w:w="1759" w:type="dxa"/>
            <w:gridSpan w:val="6"/>
            <w:vAlign w:val="center"/>
          </w:tcPr>
          <w:p>
            <w:pPr>
              <w:pStyle w:val="100"/>
              <w:bidi w:val="0"/>
            </w:pPr>
            <w:r>
              <w:t>其他在建、拟建项目污染源□</w:t>
            </w:r>
          </w:p>
        </w:tc>
        <w:tc>
          <w:tcPr>
            <w:tcW w:w="897" w:type="dxa"/>
            <w:gridSpan w:val="2"/>
            <w:vAlign w:val="center"/>
          </w:tcPr>
          <w:p>
            <w:pPr>
              <w:pStyle w:val="100"/>
              <w:bidi w:val="0"/>
            </w:pPr>
            <w:r>
              <w:t>区域污染源□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restart"/>
            <w:vAlign w:val="center"/>
          </w:tcPr>
          <w:p>
            <w:pPr>
              <w:pStyle w:val="100"/>
              <w:bidi w:val="0"/>
            </w:pPr>
            <w:r>
              <w:t>大气环境影响预测与</w:t>
            </w:r>
            <w:r>
              <w:br w:type="textWrapping"/>
            </w:r>
            <w:r>
              <w:t>评价</w:t>
            </w:r>
          </w:p>
        </w:tc>
        <w:tc>
          <w:tcPr>
            <w:tcW w:w="1393" w:type="dxa"/>
            <w:vAlign w:val="center"/>
          </w:tcPr>
          <w:p>
            <w:pPr>
              <w:pStyle w:val="100"/>
              <w:bidi w:val="0"/>
            </w:pPr>
            <w:r>
              <w:t>预测模型</w:t>
            </w:r>
          </w:p>
        </w:tc>
        <w:tc>
          <w:tcPr>
            <w:tcW w:w="997" w:type="dxa"/>
            <w:vAlign w:val="center"/>
          </w:tcPr>
          <w:p>
            <w:pPr>
              <w:pStyle w:val="100"/>
              <w:bidi w:val="0"/>
            </w:pPr>
            <w:r>
              <w:t>AERMOD</w:t>
            </w:r>
            <w:r>
              <w:br w:type="textWrapping"/>
            </w:r>
            <w:r>
              <w:t>□</w:t>
            </w:r>
          </w:p>
        </w:tc>
        <w:tc>
          <w:tcPr>
            <w:tcW w:w="737" w:type="dxa"/>
            <w:gridSpan w:val="4"/>
            <w:vAlign w:val="center"/>
          </w:tcPr>
          <w:p>
            <w:pPr>
              <w:pStyle w:val="100"/>
              <w:bidi w:val="0"/>
            </w:pPr>
            <w:r>
              <w:t>ADMS</w:t>
            </w:r>
            <w:r>
              <w:br w:type="textWrapping"/>
            </w:r>
            <w:r>
              <w:t>□</w:t>
            </w:r>
          </w:p>
        </w:tc>
        <w:tc>
          <w:tcPr>
            <w:tcW w:w="1272" w:type="dxa"/>
            <w:gridSpan w:val="4"/>
            <w:vAlign w:val="center"/>
          </w:tcPr>
          <w:p>
            <w:pPr>
              <w:pStyle w:val="100"/>
              <w:bidi w:val="0"/>
            </w:pPr>
            <w:r>
              <w:t>AUSTAL2000</w:t>
            </w:r>
            <w:r>
              <w:br w:type="textWrapping"/>
            </w:r>
            <w:r>
              <w:t>□</w:t>
            </w:r>
          </w:p>
        </w:tc>
        <w:tc>
          <w:tcPr>
            <w:tcW w:w="1246" w:type="dxa"/>
            <w:gridSpan w:val="3"/>
            <w:vAlign w:val="center"/>
          </w:tcPr>
          <w:p>
            <w:pPr>
              <w:pStyle w:val="100"/>
              <w:bidi w:val="0"/>
            </w:pPr>
            <w:r>
              <w:t>EDMS/AEDT</w:t>
            </w:r>
            <w:r>
              <w:br w:type="textWrapping"/>
            </w:r>
            <w:r>
              <w:t>□</w:t>
            </w:r>
          </w:p>
        </w:tc>
        <w:tc>
          <w:tcPr>
            <w:tcW w:w="1007" w:type="dxa"/>
            <w:gridSpan w:val="3"/>
            <w:vAlign w:val="center"/>
          </w:tcPr>
          <w:p>
            <w:pPr>
              <w:pStyle w:val="100"/>
              <w:bidi w:val="0"/>
            </w:pPr>
            <w:r>
              <w:t>CALPUFF</w:t>
            </w:r>
            <w:r>
              <w:br w:type="textWrapping"/>
            </w:r>
            <w:r>
              <w:t>□</w:t>
            </w:r>
          </w:p>
        </w:tc>
        <w:tc>
          <w:tcPr>
            <w:tcW w:w="613" w:type="dxa"/>
            <w:gridSpan w:val="3"/>
            <w:vAlign w:val="center"/>
          </w:tcPr>
          <w:p>
            <w:pPr>
              <w:pStyle w:val="100"/>
              <w:bidi w:val="0"/>
            </w:pPr>
            <w:r>
              <w:t>网格模型</w:t>
            </w:r>
            <w:r>
              <w:br w:type="textWrapping"/>
            </w:r>
            <w:r>
              <w:t>□</w:t>
            </w:r>
          </w:p>
        </w:tc>
        <w:tc>
          <w:tcPr>
            <w:tcW w:w="536" w:type="dxa"/>
            <w:vAlign w:val="center"/>
          </w:tcPr>
          <w:p>
            <w:pPr>
              <w:pStyle w:val="100"/>
              <w:bidi w:val="0"/>
            </w:pPr>
            <w:r>
              <w:t>其他</w:t>
            </w:r>
            <w:r>
              <w:br w:type="textWrapping"/>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tblHeader/>
          <w:jc w:val="center"/>
        </w:trPr>
        <w:tc>
          <w:tcPr>
            <w:tcW w:w="727" w:type="dxa"/>
            <w:vMerge w:val="continue"/>
            <w:vAlign w:val="center"/>
          </w:tcPr>
          <w:p>
            <w:pPr>
              <w:pStyle w:val="100"/>
              <w:bidi w:val="0"/>
            </w:pPr>
          </w:p>
        </w:tc>
        <w:tc>
          <w:tcPr>
            <w:tcW w:w="1393" w:type="dxa"/>
            <w:vAlign w:val="center"/>
          </w:tcPr>
          <w:p>
            <w:pPr>
              <w:pStyle w:val="100"/>
              <w:bidi w:val="0"/>
            </w:pPr>
            <w:r>
              <w:t>预测范围</w:t>
            </w:r>
          </w:p>
        </w:tc>
        <w:tc>
          <w:tcPr>
            <w:tcW w:w="1734" w:type="dxa"/>
            <w:gridSpan w:val="5"/>
            <w:vAlign w:val="center"/>
          </w:tcPr>
          <w:p>
            <w:pPr>
              <w:pStyle w:val="100"/>
              <w:bidi w:val="0"/>
            </w:pPr>
            <w:r>
              <w:t>边长≥ 50km□</w:t>
            </w:r>
          </w:p>
        </w:tc>
        <w:tc>
          <w:tcPr>
            <w:tcW w:w="3525" w:type="dxa"/>
            <w:gridSpan w:val="10"/>
            <w:vAlign w:val="center"/>
          </w:tcPr>
          <w:p>
            <w:pPr>
              <w:pStyle w:val="100"/>
              <w:bidi w:val="0"/>
            </w:pPr>
            <w:r>
              <w:t>边长5～50km □</w:t>
            </w:r>
          </w:p>
        </w:tc>
        <w:tc>
          <w:tcPr>
            <w:tcW w:w="1149" w:type="dxa"/>
            <w:gridSpan w:val="4"/>
            <w:vAlign w:val="center"/>
          </w:tcPr>
          <w:p>
            <w:pPr>
              <w:pStyle w:val="100"/>
              <w:bidi w:val="0"/>
            </w:pPr>
            <w:r>
              <w:t>边长 = 5 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tblHeader/>
          <w:jc w:val="center"/>
        </w:trPr>
        <w:tc>
          <w:tcPr>
            <w:tcW w:w="727" w:type="dxa"/>
            <w:vMerge w:val="continue"/>
            <w:vAlign w:val="center"/>
          </w:tcPr>
          <w:p>
            <w:pPr>
              <w:pStyle w:val="100"/>
              <w:bidi w:val="0"/>
            </w:pPr>
          </w:p>
        </w:tc>
        <w:tc>
          <w:tcPr>
            <w:tcW w:w="1393" w:type="dxa"/>
            <w:vAlign w:val="center"/>
          </w:tcPr>
          <w:p>
            <w:pPr>
              <w:pStyle w:val="100"/>
              <w:bidi w:val="0"/>
            </w:pPr>
            <w:r>
              <w:t>预测因子</w:t>
            </w:r>
          </w:p>
        </w:tc>
        <w:tc>
          <w:tcPr>
            <w:tcW w:w="3752" w:type="dxa"/>
            <w:gridSpan w:val="11"/>
            <w:vAlign w:val="center"/>
          </w:tcPr>
          <w:p>
            <w:pPr>
              <w:pStyle w:val="100"/>
              <w:bidi w:val="0"/>
            </w:pPr>
            <w:r>
              <w:t>预测因子(/)</w:t>
            </w:r>
          </w:p>
        </w:tc>
        <w:tc>
          <w:tcPr>
            <w:tcW w:w="2656" w:type="dxa"/>
            <w:gridSpan w:val="8"/>
            <w:vAlign w:val="center"/>
          </w:tcPr>
          <w:p>
            <w:pPr>
              <w:pStyle w:val="100"/>
              <w:bidi w:val="0"/>
            </w:pPr>
            <w:r>
              <w:t>包括二次PM2.5 □</w:t>
            </w:r>
          </w:p>
          <w:p>
            <w:pPr>
              <w:pStyle w:val="100"/>
              <w:bidi w:val="0"/>
            </w:pPr>
            <w:r>
              <w:t>不包括二次PM2.5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正常排放短期浓度</w:t>
            </w:r>
            <w:r>
              <w:br w:type="textWrapping"/>
            </w:r>
            <w:r>
              <w:t>贡献值</w:t>
            </w:r>
          </w:p>
        </w:tc>
        <w:tc>
          <w:tcPr>
            <w:tcW w:w="3752" w:type="dxa"/>
            <w:gridSpan w:val="11"/>
            <w:vAlign w:val="center"/>
          </w:tcPr>
          <w:p>
            <w:pPr>
              <w:pStyle w:val="100"/>
              <w:bidi w:val="0"/>
            </w:pPr>
            <w:r>
              <w:fldChar w:fldCharType="begin"/>
            </w:r>
            <w:r>
              <w:instrText xml:space="preserve"> QUOTE </w:instrText>
            </w:r>
            <w:r>
              <w:pict>
                <v:shape id="_x0000_i1027"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2AB&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DD72AB&quot; wsp:rsidP=&quot;00DD72AB&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pict>
                <v:shape id="_x0000_i1028"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2AB&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DD72AB&quot; wsp:rsidP=&quot;00DD72AB&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最大占标率≤100%□</w:t>
            </w:r>
          </w:p>
        </w:tc>
        <w:tc>
          <w:tcPr>
            <w:tcW w:w="2656" w:type="dxa"/>
            <w:gridSpan w:val="8"/>
            <w:vAlign w:val="center"/>
          </w:tcPr>
          <w:p>
            <w:pPr>
              <w:pStyle w:val="100"/>
              <w:bidi w:val="0"/>
            </w:pPr>
            <w:r>
              <w:fldChar w:fldCharType="begin"/>
            </w:r>
            <w:r>
              <w:instrText xml:space="preserve"> QUOTE </w:instrText>
            </w:r>
            <w:r>
              <w:pict>
                <v:shape id="_x0000_i1029"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C15&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4A0C15&quot; wsp:rsidP=&quot;004A0C15&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pict>
                <v:shape id="_x0000_i1030"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C15&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4A0C15&quot; wsp:rsidP=&quot;004A0C15&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最大占标率＞100%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9" w:hRule="atLeast"/>
          <w:tblHeader/>
          <w:jc w:val="center"/>
        </w:trPr>
        <w:tc>
          <w:tcPr>
            <w:tcW w:w="727" w:type="dxa"/>
            <w:vMerge w:val="continue"/>
            <w:vAlign w:val="center"/>
          </w:tcPr>
          <w:p>
            <w:pPr>
              <w:pStyle w:val="100"/>
              <w:bidi w:val="0"/>
            </w:pPr>
          </w:p>
        </w:tc>
        <w:tc>
          <w:tcPr>
            <w:tcW w:w="1393" w:type="dxa"/>
            <w:vMerge w:val="restart"/>
            <w:vAlign w:val="center"/>
          </w:tcPr>
          <w:p>
            <w:pPr>
              <w:pStyle w:val="100"/>
              <w:bidi w:val="0"/>
            </w:pPr>
            <w:r>
              <w:t>正常排放年均浓度</w:t>
            </w:r>
            <w:r>
              <w:br w:type="textWrapping"/>
            </w:r>
            <w:r>
              <w:t>贡献值</w:t>
            </w:r>
          </w:p>
        </w:tc>
        <w:tc>
          <w:tcPr>
            <w:tcW w:w="997" w:type="dxa"/>
            <w:vAlign w:val="center"/>
          </w:tcPr>
          <w:p>
            <w:pPr>
              <w:pStyle w:val="100"/>
              <w:bidi w:val="0"/>
            </w:pPr>
            <w:r>
              <w:t>一类区</w:t>
            </w:r>
          </w:p>
        </w:tc>
        <w:tc>
          <w:tcPr>
            <w:tcW w:w="2755" w:type="dxa"/>
            <w:gridSpan w:val="10"/>
            <w:vAlign w:val="center"/>
          </w:tcPr>
          <w:p>
            <w:pPr>
              <w:pStyle w:val="100"/>
              <w:bidi w:val="0"/>
            </w:pPr>
            <w:r>
              <w:fldChar w:fldCharType="begin"/>
            </w:r>
            <w:r>
              <w:instrText xml:space="preserve"> QUOTE </w:instrText>
            </w:r>
            <w:r>
              <w:pict>
                <v:shape id="_x0000_i1031"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5DF1&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4D5DF1&quot; wsp:rsidP=&quot;004D5DF1&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pict>
                <v:shape id="_x0000_i1032"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5DF1&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4D5DF1&quot; wsp:rsidP=&quot;004D5DF1&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w:t>
            </w:r>
            <w:bookmarkStart w:id="74" w:name="OLE_LINK5"/>
            <w:bookmarkStart w:id="75" w:name="OLE_LINK7"/>
            <w:r>
              <w:t>≤</w:t>
            </w:r>
            <w:bookmarkEnd w:id="74"/>
            <w:bookmarkEnd w:id="75"/>
            <w:r>
              <w:t>10%□</w:t>
            </w:r>
          </w:p>
        </w:tc>
        <w:tc>
          <w:tcPr>
            <w:tcW w:w="2656" w:type="dxa"/>
            <w:gridSpan w:val="8"/>
            <w:vAlign w:val="center"/>
          </w:tcPr>
          <w:p>
            <w:pPr>
              <w:pStyle w:val="100"/>
              <w:bidi w:val="0"/>
            </w:pPr>
            <w:r>
              <w:fldChar w:fldCharType="begin"/>
            </w:r>
            <w:r>
              <w:instrText xml:space="preserve"> QUOTE </w:instrText>
            </w:r>
            <w:r>
              <w:pict>
                <v:shape id="_x0000_i1033"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0C76&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CA0C76&quot; wsp:rsidP=&quot;00CA0C7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pict>
                <v:shape id="_x0000_i1034"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0C76&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CA0C76&quot; wsp:rsidP=&quot;00CA0C7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fldChar w:fldCharType="end"/>
            </w:r>
            <w:r>
              <w:t>最大标率＞10%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blHeader/>
          <w:jc w:val="center"/>
        </w:trPr>
        <w:tc>
          <w:tcPr>
            <w:tcW w:w="727" w:type="dxa"/>
            <w:vMerge w:val="continue"/>
            <w:vAlign w:val="center"/>
          </w:tcPr>
          <w:p>
            <w:pPr>
              <w:pStyle w:val="100"/>
              <w:bidi w:val="0"/>
            </w:pPr>
          </w:p>
        </w:tc>
        <w:tc>
          <w:tcPr>
            <w:tcW w:w="1393" w:type="dxa"/>
            <w:vMerge w:val="continue"/>
            <w:vAlign w:val="center"/>
          </w:tcPr>
          <w:p>
            <w:pPr>
              <w:pStyle w:val="100"/>
              <w:bidi w:val="0"/>
            </w:pPr>
          </w:p>
        </w:tc>
        <w:tc>
          <w:tcPr>
            <w:tcW w:w="997" w:type="dxa"/>
            <w:vAlign w:val="center"/>
          </w:tcPr>
          <w:p>
            <w:pPr>
              <w:pStyle w:val="100"/>
              <w:bidi w:val="0"/>
            </w:pPr>
            <w:r>
              <w:t>二类区</w:t>
            </w:r>
          </w:p>
        </w:tc>
        <w:tc>
          <w:tcPr>
            <w:tcW w:w="2755" w:type="dxa"/>
            <w:gridSpan w:val="10"/>
            <w:vAlign w:val="center"/>
          </w:tcPr>
          <w:p>
            <w:pPr>
              <w:pStyle w:val="100"/>
              <w:bidi w:val="0"/>
            </w:pPr>
            <w:r>
              <w:fldChar w:fldCharType="begin"/>
            </w:r>
            <w:r>
              <w:instrText xml:space="preserve"> QUOTE </w:instrText>
            </w:r>
            <w:r>
              <w:pict>
                <v:shape id="_x0000_i1035"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6AFF&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516AFF&quot; wsp:rsidP=&quot;00516AFF&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pict>
                <v:shape id="_x0000_i1036"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6AFF&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516AFF&quot; wsp:rsidP=&quot;00516AFF&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fldChar w:fldCharType="end"/>
            </w:r>
            <w:r>
              <w:t>最大占标率≤30%□</w:t>
            </w:r>
          </w:p>
        </w:tc>
        <w:tc>
          <w:tcPr>
            <w:tcW w:w="2656" w:type="dxa"/>
            <w:gridSpan w:val="8"/>
            <w:vAlign w:val="center"/>
          </w:tcPr>
          <w:p>
            <w:pPr>
              <w:pStyle w:val="100"/>
              <w:bidi w:val="0"/>
            </w:pPr>
            <w:r>
              <w:fldChar w:fldCharType="begin"/>
            </w:r>
            <w:r>
              <w:instrText xml:space="preserve"> QUOTE </w:instrText>
            </w:r>
            <w:r>
              <w:pict>
                <v:shape id="_x0000_i1037"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480&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1B5480&quot; wsp:rsidP=&quot;001B5480&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instrText xml:space="preserve"> </w:instrText>
            </w:r>
            <w:r>
              <w:fldChar w:fldCharType="separate"/>
            </w:r>
            <w:r>
              <w:pict>
                <v:shape id="_x0000_i1038"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480&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1B5480&quot; wsp:rsidP=&quot;001B5480&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3" chromakey="#FFFFFF" o:title=""/>
                  <o:lock v:ext="edit" aspectratio="t"/>
                  <w10:wrap type="none"/>
                  <w10:anchorlock/>
                </v:shape>
              </w:pict>
            </w:r>
            <w:r>
              <w:fldChar w:fldCharType="end"/>
            </w:r>
            <w:r>
              <w:t>最大标率＞30%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非正常排放1h浓度</w:t>
            </w:r>
            <w:r>
              <w:br w:type="textWrapping"/>
            </w:r>
            <w:r>
              <w:t>贡献值</w:t>
            </w:r>
          </w:p>
        </w:tc>
        <w:tc>
          <w:tcPr>
            <w:tcW w:w="1410" w:type="dxa"/>
            <w:gridSpan w:val="3"/>
            <w:vAlign w:val="center"/>
          </w:tcPr>
          <w:p>
            <w:pPr>
              <w:pStyle w:val="100"/>
              <w:bidi w:val="0"/>
            </w:pPr>
            <w:r>
              <w:t>非正常持续时长</w:t>
            </w:r>
            <w:r>
              <w:br w:type="textWrapping"/>
            </w:r>
            <w:r>
              <w:t>（ / ）h</w:t>
            </w:r>
          </w:p>
        </w:tc>
        <w:tc>
          <w:tcPr>
            <w:tcW w:w="3063" w:type="dxa"/>
            <w:gridSpan w:val="10"/>
            <w:vAlign w:val="center"/>
          </w:tcPr>
          <w:p>
            <w:pPr>
              <w:pStyle w:val="100"/>
              <w:bidi w:val="0"/>
            </w:pPr>
            <w:r>
              <w:fldChar w:fldCharType="begin"/>
            </w:r>
            <w:r>
              <w:instrText xml:space="preserve"> QUOTE </w:instrText>
            </w:r>
            <w:r>
              <w:pict>
                <v:shape id="_x0000_i1039"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0F8&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9270F8&quot; wsp:rsidP=&quot;009270F8&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非正常&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4" chromakey="#FFFFFF" o:title=""/>
                  <o:lock v:ext="edit" aspectratio="t"/>
                  <w10:wrap type="none"/>
                  <w10:anchorlock/>
                </v:shape>
              </w:pict>
            </w:r>
            <w:r>
              <w:instrText xml:space="preserve"> </w:instrText>
            </w:r>
            <w:r>
              <w:fldChar w:fldCharType="separate"/>
            </w:r>
            <w:r>
              <w:pict>
                <v:shape id="_x0000_i1040"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0F8&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9270F8&quot; wsp:rsidP=&quot;009270F8&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非正常&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4" chromakey="#FFFFFF" o:title=""/>
                  <o:lock v:ext="edit" aspectratio="t"/>
                  <w10:wrap type="none"/>
                  <w10:anchorlock/>
                </v:shape>
              </w:pict>
            </w:r>
            <w:r>
              <w:fldChar w:fldCharType="end"/>
            </w:r>
            <w:r>
              <w:t>占标率≤100% □</w:t>
            </w:r>
          </w:p>
        </w:tc>
        <w:tc>
          <w:tcPr>
            <w:tcW w:w="1935" w:type="dxa"/>
            <w:gridSpan w:val="6"/>
            <w:vAlign w:val="center"/>
          </w:tcPr>
          <w:p>
            <w:pPr>
              <w:pStyle w:val="100"/>
              <w:bidi w:val="0"/>
            </w:pPr>
            <w:r>
              <w:fldChar w:fldCharType="begin"/>
            </w:r>
            <w:r>
              <w:instrText xml:space="preserve"> QUOTE </w:instrText>
            </w:r>
            <w:r>
              <w:pict>
                <v:shape id="_x0000_i1041"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E7BBD&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FE7BBD&quot; wsp:rsidP=&quot;00FE7BBD&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非正常&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4" chromakey="#FFFFFF" o:title=""/>
                  <o:lock v:ext="edit" aspectratio="t"/>
                  <w10:wrap type="none"/>
                  <w10:anchorlock/>
                </v:shape>
              </w:pict>
            </w:r>
            <w:r>
              <w:instrText xml:space="preserve"> </w:instrText>
            </w:r>
            <w:r>
              <w:fldChar w:fldCharType="separate"/>
            </w:r>
            <w:r>
              <w:pict>
                <v:shape id="_x0000_i1042" o:spt="75" type="#_x0000_t75" style="height:16.05pt;width:2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E7BBD&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FE7BBD&quot; wsp:rsidP=&quot;00FE7BBD&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非正常&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m Mace=&quot;720&quot;/&gt;&lt;/w:sectPr&gt;&lt;/wx:sect&gt;&lt;/w:body&gt;&lt;/w:wordDocument&gt;">
                  <v:path/>
                  <v:fill on="f" focussize="0,0"/>
                  <v:stroke on="f" joinstyle="miter"/>
                  <v:imagedata r:id="rId24" chromakey="#FFFFFF" o:title=""/>
                  <o:lock v:ext="edit" aspectratio="t"/>
                  <w10:wrap type="none"/>
                  <w10:anchorlock/>
                </v:shape>
              </w:pict>
            </w:r>
            <w:r>
              <w:fldChar w:fldCharType="end"/>
            </w:r>
            <w:r>
              <w:t>占标率＞100%□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5" w:hRule="atLeast"/>
          <w:tblHeader/>
          <w:jc w:val="center"/>
        </w:trPr>
        <w:tc>
          <w:tcPr>
            <w:tcW w:w="727" w:type="dxa"/>
            <w:vMerge w:val="continue"/>
            <w:vAlign w:val="center"/>
          </w:tcPr>
          <w:p>
            <w:pPr>
              <w:pStyle w:val="100"/>
              <w:bidi w:val="0"/>
            </w:pPr>
          </w:p>
        </w:tc>
        <w:tc>
          <w:tcPr>
            <w:tcW w:w="1393" w:type="dxa"/>
            <w:vAlign w:val="center"/>
          </w:tcPr>
          <w:p>
            <w:pPr>
              <w:pStyle w:val="100"/>
              <w:bidi w:val="0"/>
            </w:pPr>
            <w:r>
              <w:t>保证率日平均浓度和年平均浓度叠加值</w:t>
            </w:r>
          </w:p>
        </w:tc>
        <w:tc>
          <w:tcPr>
            <w:tcW w:w="3132" w:type="dxa"/>
            <w:gridSpan w:val="10"/>
            <w:vAlign w:val="center"/>
          </w:tcPr>
          <w:p>
            <w:pPr>
              <w:pStyle w:val="100"/>
              <w:bidi w:val="0"/>
            </w:pPr>
            <w:r>
              <w:fldChar w:fldCharType="begin"/>
            </w:r>
            <w:r>
              <w:instrText xml:space="preserve"> QUOTE </w:instrText>
            </w:r>
            <w:r>
              <w:pict>
                <v:shape id="_x0000_i1043" o:spt="75" type="#_x0000_t75" style="height:16.05pt;width:18.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4E86&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BF4E86&quot; wsp:rsidP=&quot;00BF4E8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叠加&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 Me=&quot;720&quot;/&gt;&lt;/w:sectPr&gt;&lt;/wx:sect&gt;&lt;/w:body&gt;&lt;/w:wordDocument&gt;">
                  <v:path/>
                  <v:fill on="f" focussize="0,0"/>
                  <v:stroke on="f" joinstyle="miter"/>
                  <v:imagedata r:id="rId25" chromakey="#FFFFFF" o:title=""/>
                  <o:lock v:ext="edit" aspectratio="t"/>
                  <w10:wrap type="none"/>
                  <w10:anchorlock/>
                </v:shape>
              </w:pict>
            </w:r>
            <w:r>
              <w:instrText xml:space="preserve"> </w:instrText>
            </w:r>
            <w:r>
              <w:fldChar w:fldCharType="separate"/>
            </w:r>
            <w:r>
              <w:pict>
                <v:shape id="_x0000_i1044" o:spt="75" type="#_x0000_t75" style="height:16.05pt;width:18.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4E86&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BF4E86&quot; wsp:rsidP=&quot;00BF4E86&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叠加&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 Me=&quot;720&quot;/&gt;&lt;/w:sectPr&gt;&lt;/wx:sect&gt;&lt;/w:body&gt;&lt;/w:wordDocument&gt;">
                  <v:path/>
                  <v:fill on="f" focussize="0,0"/>
                  <v:stroke on="f" joinstyle="miter"/>
                  <v:imagedata r:id="rId25" chromakey="#FFFFFF" o:title=""/>
                  <o:lock v:ext="edit" aspectratio="t"/>
                  <w10:wrap type="none"/>
                  <w10:anchorlock/>
                </v:shape>
              </w:pict>
            </w:r>
            <w:r>
              <w:fldChar w:fldCharType="end"/>
            </w:r>
            <w:r>
              <w:t>达标 □</w:t>
            </w:r>
          </w:p>
        </w:tc>
        <w:tc>
          <w:tcPr>
            <w:tcW w:w="3276" w:type="dxa"/>
            <w:gridSpan w:val="9"/>
            <w:vAlign w:val="center"/>
          </w:tcPr>
          <w:p>
            <w:pPr>
              <w:pStyle w:val="100"/>
              <w:bidi w:val="0"/>
            </w:pPr>
            <w:r>
              <w:fldChar w:fldCharType="begin"/>
            </w:r>
            <w:r>
              <w:instrText xml:space="preserve"> QUOTE </w:instrText>
            </w:r>
            <w:r>
              <w:pict>
                <v:shape id="_x0000_i1045" o:spt="75" type="#_x0000_t75" style="height:16.05pt;width:18.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0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4C720A&quot; wsp:rsidP=&quot;004C720A&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叠加&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 Me=&quot;720&quot;/&gt;&lt;/w:sectPr&gt;&lt;/wx:sect&gt;&lt;/w:body&gt;&lt;/w:wordDocument&gt;">
                  <v:path/>
                  <v:fill on="f" focussize="0,0"/>
                  <v:stroke on="f" joinstyle="miter"/>
                  <v:imagedata r:id="rId25" chromakey="#FFFFFF" o:title=""/>
                  <o:lock v:ext="edit" aspectratio="t"/>
                  <w10:wrap type="none"/>
                  <w10:anchorlock/>
                </v:shape>
              </w:pict>
            </w:r>
            <w:r>
              <w:instrText xml:space="preserve"> </w:instrText>
            </w:r>
            <w:r>
              <w:fldChar w:fldCharType="separate"/>
            </w:r>
            <w:r>
              <w:pict>
                <v:shape id="_x0000_i1046" o:spt="75" type="#_x0000_t75" style="height:16.05pt;width:18.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Footer/&gt;&lt;w:hideSpellingErrors/&gt;&lt;w:stylePaneFormatFilter w:val=&quot;3F01&quot;/&gt;&lt;w:defaultTabStop w:val=&quot;420&quot;/&gt;&lt;w:drawingGridVerticalSpacing w:val=&quot;156&quot;/&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1873&quot;/&gt;&lt;wsp:rsid wsp:val=&quot;00001EED&quot;/&gt;&lt;wsp:rsid wsp:val=&quot;00001F88&quot;/&gt;&lt;wsp:rsid wsp:val=&quot;00002104&quot;/&gt;&lt;wsp:rsid wsp:val=&quot;00002803&quot;/&gt;&lt;wsp:rsid wsp:val=&quot;00002842&quot;/&gt;&lt;wsp:rsid wsp:val=&quot;00003A14&quot;/&gt;&lt;wsp:rsid wsp:val=&quot;00003C32&quot;/&gt;&lt;wsp:rsid wsp:val=&quot;00003F79&quot;/&gt;&lt;wsp:rsid wsp:val=&quot;00004EFF&quot;/&gt;&lt;wsp:rsid wsp:val=&quot;00006BAD&quot;/&gt;&lt;wsp:rsid wsp:val=&quot;00006BDF&quot;/&gt;&lt;wsp:rsid wsp:val=&quot;00007B91&quot;/&gt;&lt;wsp:rsid wsp:val=&quot;00007BBA&quot;/&gt;&lt;wsp:rsid wsp:val=&quot;00010A4C&quot;/&gt;&lt;wsp:rsid wsp:val=&quot;00011118&quot;/&gt;&lt;wsp:rsid wsp:val=&quot;00011470&quot;/&gt;&lt;wsp:rsid wsp:val=&quot;000115B9&quot;/&gt;&lt;wsp:rsid wsp:val=&quot;00011719&quot;/&gt;&lt;wsp:rsid wsp:val=&quot;000128EA&quot;/&gt;&lt;wsp:rsid wsp:val=&quot;0001298A&quot;/&gt;&lt;wsp:rsid wsp:val=&quot;00012992&quot;/&gt;&lt;wsp:rsid wsp:val=&quot;00014494&quot;/&gt;&lt;wsp:rsid wsp:val=&quot;00014796&quot;/&gt;&lt;wsp:rsid wsp:val=&quot;000148A3&quot;/&gt;&lt;wsp:rsid wsp:val=&quot;0001508E&quot;/&gt;&lt;wsp:rsid wsp:val=&quot;000150A6&quot;/&gt;&lt;wsp:rsid wsp:val=&quot;00015244&quot;/&gt;&lt;wsp:rsid wsp:val=&quot;0001578F&quot;/&gt;&lt;wsp:rsid wsp:val=&quot;00015B88&quot;/&gt;&lt;wsp:rsid wsp:val=&quot;00015CEE&quot;/&gt;&lt;wsp:rsid wsp:val=&quot;000161C0&quot;/&gt;&lt;wsp:rsid wsp:val=&quot;00016628&quot;/&gt;&lt;wsp:rsid wsp:val=&quot;000177A8&quot;/&gt;&lt;wsp:rsid wsp:val=&quot;000202A6&quot;/&gt;&lt;wsp:rsid wsp:val=&quot;00020EF7&quot;/&gt;&lt;wsp:rsid wsp:val=&quot;00021465&quot;/&gt;&lt;wsp:rsid wsp:val=&quot;00021672&quot;/&gt;&lt;wsp:rsid wsp:val=&quot;00022457&quot;/&gt;&lt;wsp:rsid wsp:val=&quot;00022751&quot;/&gt;&lt;wsp:rsid wsp:val=&quot;000231D8&quot;/&gt;&lt;wsp:rsid wsp:val=&quot;000232E2&quot;/&gt;&lt;wsp:rsid wsp:val=&quot;000233DE&quot;/&gt;&lt;wsp:rsid wsp:val=&quot;00023739&quot;/&gt;&lt;wsp:rsid wsp:val=&quot;00023C51&quot;/&gt;&lt;wsp:rsid wsp:val=&quot;00023F7A&quot;/&gt;&lt;wsp:rsid wsp:val=&quot;000244DF&quot;/&gt;&lt;wsp:rsid wsp:val=&quot;00024D25&quot;/&gt;&lt;wsp:rsid wsp:val=&quot;0002565B&quot;/&gt;&lt;wsp:rsid wsp:val=&quot;000260E8&quot;/&gt;&lt;wsp:rsid wsp:val=&quot;0002616B&quot;/&gt;&lt;wsp:rsid wsp:val=&quot;000263CD&quot;/&gt;&lt;wsp:rsid wsp:val=&quot;00027168&quot;/&gt;&lt;wsp:rsid wsp:val=&quot;0002786C&quot;/&gt;&lt;wsp:rsid wsp:val=&quot;00027BE4&quot;/&gt;&lt;wsp:rsid wsp:val=&quot;00027DFC&quot;/&gt;&lt;wsp:rsid wsp:val=&quot;00027F74&quot;/&gt;&lt;wsp:rsid wsp:val=&quot;00027F85&quot;/&gt;&lt;wsp:rsid wsp:val=&quot;00030710&quot;/&gt;&lt;wsp:rsid wsp:val=&quot;00030B1B&quot;/&gt;&lt;wsp:rsid wsp:val=&quot;00030BB4&quot;/&gt;&lt;wsp:rsid wsp:val=&quot;000313BD&quot;/&gt;&lt;wsp:rsid wsp:val=&quot;00033294&quot;/&gt;&lt;wsp:rsid wsp:val=&quot;000338D0&quot;/&gt;&lt;wsp:rsid wsp:val=&quot;00033CD7&quot;/&gt;&lt;wsp:rsid wsp:val=&quot;00033F9E&quot;/&gt;&lt;wsp:rsid wsp:val=&quot;0003477B&quot;/&gt;&lt;wsp:rsid wsp:val=&quot;000350CD&quot;/&gt;&lt;wsp:rsid wsp:val=&quot;00035356&quot;/&gt;&lt;wsp:rsid wsp:val=&quot;000356F1&quot;/&gt;&lt;wsp:rsid wsp:val=&quot;00036936&quot;/&gt;&lt;wsp:rsid wsp:val=&quot;00036ABE&quot;/&gt;&lt;wsp:rsid wsp:val=&quot;00036E35&quot;/&gt;&lt;wsp:rsid wsp:val=&quot;00037EE0&quot;/&gt;&lt;wsp:rsid wsp:val=&quot;0004000D&quot;/&gt;&lt;wsp:rsid wsp:val=&quot;000401E6&quot;/&gt;&lt;wsp:rsid wsp:val=&quot;000401F8&quot;/&gt;&lt;wsp:rsid wsp:val=&quot;00040F21&quot;/&gt;&lt;wsp:rsid wsp:val=&quot;000414C8&quot;/&gt;&lt;wsp:rsid wsp:val=&quot;000419E0&quot;/&gt;&lt;wsp:rsid wsp:val=&quot;00041C73&quot;/&gt;&lt;wsp:rsid wsp:val=&quot;000425B5&quot;/&gt;&lt;wsp:rsid wsp:val=&quot;0004375D&quot;/&gt;&lt;wsp:rsid wsp:val=&quot;00043C5F&quot;/&gt;&lt;wsp:rsid wsp:val=&quot;000440C4&quot;/&gt;&lt;wsp:rsid wsp:val=&quot;00044154&quot;/&gt;&lt;wsp:rsid wsp:val=&quot;00044815&quot;/&gt;&lt;wsp:rsid wsp:val=&quot;00045402&quot;/&gt;&lt;wsp:rsid wsp:val=&quot;00045E4D&quot;/&gt;&lt;wsp:rsid wsp:val=&quot;00045F75&quot;/&gt;&lt;wsp:rsid wsp:val=&quot;00046193&quot;/&gt;&lt;wsp:rsid wsp:val=&quot;000462C3&quot;/&gt;&lt;wsp:rsid wsp:val=&quot;00046612&quot;/&gt;&lt;wsp:rsid wsp:val=&quot;00046CAC&quot;/&gt;&lt;wsp:rsid wsp:val=&quot;00046D36&quot;/&gt;&lt;wsp:rsid wsp:val=&quot;00046DEC&quot;/&gt;&lt;wsp:rsid wsp:val=&quot;000471F0&quot;/&gt;&lt;wsp:rsid wsp:val=&quot;00047C92&quot;/&gt;&lt;wsp:rsid wsp:val=&quot;00047D96&quot;/&gt;&lt;wsp:rsid wsp:val=&quot;00050244&quot;/&gt;&lt;wsp:rsid wsp:val=&quot;00050387&quot;/&gt;&lt;wsp:rsid wsp:val=&quot;000503D8&quot;/&gt;&lt;wsp:rsid wsp:val=&quot;00052353&quot;/&gt;&lt;wsp:rsid wsp:val=&quot;00052736&quot;/&gt;&lt;wsp:rsid wsp:val=&quot;00052B45&quot;/&gt;&lt;wsp:rsid wsp:val=&quot;000530A6&quot;/&gt;&lt;wsp:rsid wsp:val=&quot;000533A0&quot;/&gt;&lt;wsp:rsid wsp:val=&quot;00053535&quot;/&gt;&lt;wsp:rsid wsp:val=&quot;00053644&quot;/&gt;&lt;wsp:rsid wsp:val=&quot;000536E3&quot;/&gt;&lt;wsp:rsid wsp:val=&quot;00053744&quot;/&gt;&lt;wsp:rsid wsp:val=&quot;000537A9&quot;/&gt;&lt;wsp:rsid wsp:val=&quot;00053E7D&quot;/&gt;&lt;wsp:rsid wsp:val=&quot;00054090&quot;/&gt;&lt;wsp:rsid wsp:val=&quot;000542B1&quot;/&gt;&lt;wsp:rsid wsp:val=&quot;0005430B&quot;/&gt;&lt;wsp:rsid wsp:val=&quot;000547F1&quot;/&gt;&lt;wsp:rsid wsp:val=&quot;0006003F&quot;/&gt;&lt;wsp:rsid wsp:val=&quot;00060C64&quot;/&gt;&lt;wsp:rsid wsp:val=&quot;00060D91&quot;/&gt;&lt;wsp:rsid wsp:val=&quot;000615F5&quot;/&gt;&lt;wsp:rsid wsp:val=&quot;00061632&quot;/&gt;&lt;wsp:rsid wsp:val=&quot;000620A9&quot;/&gt;&lt;wsp:rsid wsp:val=&quot;00062E22&quot;/&gt;&lt;wsp:rsid wsp:val=&quot;0006440B&quot;/&gt;&lt;wsp:rsid wsp:val=&quot;00064FD5&quot;/&gt;&lt;wsp:rsid wsp:val=&quot;00065480&quot;/&gt;&lt;wsp:rsid wsp:val=&quot;00065AA8&quot;/&gt;&lt;wsp:rsid wsp:val=&quot;00065B82&quot;/&gt;&lt;wsp:rsid wsp:val=&quot;00065DFF&quot;/&gt;&lt;wsp:rsid wsp:val=&quot;00066129&quot;/&gt;&lt;wsp:rsid wsp:val=&quot;00066556&quot;/&gt;&lt;wsp:rsid wsp:val=&quot;00066AD4&quot;/&gt;&lt;wsp:rsid wsp:val=&quot;00067677&quot;/&gt;&lt;wsp:rsid wsp:val=&quot;00067D3A&quot;/&gt;&lt;wsp:rsid wsp:val=&quot;00067E4F&quot;/&gt;&lt;wsp:rsid wsp:val=&quot;00067EE1&quot;/&gt;&lt;wsp:rsid wsp:val=&quot;000700E2&quot;/&gt;&lt;wsp:rsid wsp:val=&quot;0007175C&quot;/&gt;&lt;wsp:rsid wsp:val=&quot;0007178A&quot;/&gt;&lt;wsp:rsid wsp:val=&quot;000717A8&quot;/&gt;&lt;wsp:rsid wsp:val=&quot;00071FE4&quot;/&gt;&lt;wsp:rsid wsp:val=&quot;00072135&quot;/&gt;&lt;wsp:rsid wsp:val=&quot;00072D80&quot;/&gt;&lt;wsp:rsid wsp:val=&quot;0007343D&quot;/&gt;&lt;wsp:rsid wsp:val=&quot;00073491&quot;/&gt;&lt;wsp:rsid wsp:val=&quot;00073804&quot;/&gt;&lt;wsp:rsid wsp:val=&quot;00073B2D&quot;/&gt;&lt;wsp:rsid wsp:val=&quot;00075A9F&quot;/&gt;&lt;wsp:rsid wsp:val=&quot;00075B0B&quot;/&gt;&lt;wsp:rsid wsp:val=&quot;00076C20&quot;/&gt;&lt;wsp:rsid wsp:val=&quot;0007711C&quot;/&gt;&lt;wsp:rsid wsp:val=&quot;000810F6&quot;/&gt;&lt;wsp:rsid wsp:val=&quot;0008124A&quot;/&gt;&lt;wsp:rsid wsp:val=&quot;0008193A&quot;/&gt;&lt;wsp:rsid wsp:val=&quot;00081EC8&quot;/&gt;&lt;wsp:rsid wsp:val=&quot;00082EC7&quot;/&gt;&lt;wsp:rsid wsp:val=&quot;0008377C&quot;/&gt;&lt;wsp:rsid wsp:val=&quot;00083E16&quot;/&gt;&lt;wsp:rsid wsp:val=&quot;00083EFD&quot;/&gt;&lt;wsp:rsid wsp:val=&quot;00083F68&quot;/&gt;&lt;wsp:rsid wsp:val=&quot;0008417D&quot;/&gt;&lt;wsp:rsid wsp:val=&quot;0008582E&quot;/&gt;&lt;wsp:rsid wsp:val=&quot;00086F48&quot;/&gt;&lt;wsp:rsid wsp:val=&quot;000876E3&quot;/&gt;&lt;wsp:rsid wsp:val=&quot;00087B8F&quot;/&gt;&lt;wsp:rsid wsp:val=&quot;00087E00&quot;/&gt;&lt;wsp:rsid wsp:val=&quot;00090424&quot;/&gt;&lt;wsp:rsid wsp:val=&quot;00090862&quot;/&gt;&lt;wsp:rsid wsp:val=&quot;0009189E&quot;/&gt;&lt;wsp:rsid wsp:val=&quot;000919BA&quot;/&gt;&lt;wsp:rsid wsp:val=&quot;00091A74&quot;/&gt;&lt;wsp:rsid wsp:val=&quot;00091A84&quot;/&gt;&lt;wsp:rsid wsp:val=&quot;000929DD&quot;/&gt;&lt;wsp:rsid wsp:val=&quot;00092CDC&quot;/&gt;&lt;wsp:rsid wsp:val=&quot;000930AB&quot;/&gt;&lt;wsp:rsid wsp:val=&quot;00093975&quot;/&gt;&lt;wsp:rsid wsp:val=&quot;00094416&quot;/&gt;&lt;wsp:rsid wsp:val=&quot;0009470D&quot;/&gt;&lt;wsp:rsid wsp:val=&quot;00095426&quot;/&gt;&lt;wsp:rsid wsp:val=&quot;00095D2B&quot;/&gt;&lt;wsp:rsid wsp:val=&quot;00095F01&quot;/&gt;&lt;wsp:rsid wsp:val=&quot;00096170&quot;/&gt;&lt;wsp:rsid wsp:val=&quot;000A0094&quot;/&gt;&lt;wsp:rsid wsp:val=&quot;000A0107&quot;/&gt;&lt;wsp:rsid wsp:val=&quot;000A05A2&quot;/&gt;&lt;wsp:rsid wsp:val=&quot;000A077C&quot;/&gt;&lt;wsp:rsid wsp:val=&quot;000A1412&quot;/&gt;&lt;wsp:rsid wsp:val=&quot;000A15E0&quot;/&gt;&lt;wsp:rsid wsp:val=&quot;000A173C&quot;/&gt;&lt;wsp:rsid wsp:val=&quot;000A17D7&quot;/&gt;&lt;wsp:rsid wsp:val=&quot;000A1B40&quot;/&gt;&lt;wsp:rsid wsp:val=&quot;000A226C&quot;/&gt;&lt;wsp:rsid wsp:val=&quot;000A2442&quot;/&gt;&lt;wsp:rsid wsp:val=&quot;000A30C8&quot;/&gt;&lt;wsp:rsid wsp:val=&quot;000A321D&quot;/&gt;&lt;wsp:rsid wsp:val=&quot;000A3A3C&quot;/&gt;&lt;wsp:rsid wsp:val=&quot;000A55C5&quot;/&gt;&lt;wsp:rsid wsp:val=&quot;000A5CA7&quot;/&gt;&lt;wsp:rsid wsp:val=&quot;000A60D8&quot;/&gt;&lt;wsp:rsid wsp:val=&quot;000A63C6&quot;/&gt;&lt;wsp:rsid wsp:val=&quot;000A6519&quot;/&gt;&lt;wsp:rsid wsp:val=&quot;000A6859&quot;/&gt;&lt;wsp:rsid wsp:val=&quot;000A697E&quot;/&gt;&lt;wsp:rsid wsp:val=&quot;000A7722&quot;/&gt;&lt;wsp:rsid wsp:val=&quot;000A7ADD&quot;/&gt;&lt;wsp:rsid wsp:val=&quot;000B011D&quot;/&gt;&lt;wsp:rsid wsp:val=&quot;000B06FD&quot;/&gt;&lt;wsp:rsid wsp:val=&quot;000B101D&quot;/&gt;&lt;wsp:rsid wsp:val=&quot;000B1175&quot;/&gt;&lt;wsp:rsid wsp:val=&quot;000B23BD&quot;/&gt;&lt;wsp:rsid wsp:val=&quot;000B329F&quot;/&gt;&lt;wsp:rsid wsp:val=&quot;000B3E3D&quot;/&gt;&lt;wsp:rsid wsp:val=&quot;000B43A6&quot;/&gt;&lt;wsp:rsid wsp:val=&quot;000B5DB2&quot;/&gt;&lt;wsp:rsid wsp:val=&quot;000B62B6&quot;/&gt;&lt;wsp:rsid wsp:val=&quot;000B6D42&quot;/&gt;&lt;wsp:rsid wsp:val=&quot;000B79FB&quot;/&gt;&lt;wsp:rsid wsp:val=&quot;000C0383&quot;/&gt;&lt;wsp:rsid wsp:val=&quot;000C0A12&quot;/&gt;&lt;wsp:rsid wsp:val=&quot;000C13F8&quot;/&gt;&lt;wsp:rsid wsp:val=&quot;000C196A&quot;/&gt;&lt;wsp:rsid wsp:val=&quot;000C1D22&quot;/&gt;&lt;wsp:rsid wsp:val=&quot;000C2177&quot;/&gt;&lt;wsp:rsid wsp:val=&quot;000C2442&quot;/&gt;&lt;wsp:rsid wsp:val=&quot;000C2837&quot;/&gt;&lt;wsp:rsid wsp:val=&quot;000C2DF7&quot;/&gt;&lt;wsp:rsid wsp:val=&quot;000C2FD6&quot;/&gt;&lt;wsp:rsid wsp:val=&quot;000C3357&quot;/&gt;&lt;wsp:rsid wsp:val=&quot;000C39C6&quot;/&gt;&lt;wsp:rsid wsp:val=&quot;000C3A5B&quot;/&gt;&lt;wsp:rsid wsp:val=&quot;000C4490&quot;/&gt;&lt;wsp:rsid wsp:val=&quot;000C4C21&quot;/&gt;&lt;wsp:rsid wsp:val=&quot;000C5365&quot;/&gt;&lt;wsp:rsid wsp:val=&quot;000C5A91&quot;/&gt;&lt;wsp:rsid wsp:val=&quot;000C5BD0&quot;/&gt;&lt;wsp:rsid wsp:val=&quot;000C64BD&quot;/&gt;&lt;wsp:rsid wsp:val=&quot;000C709D&quot;/&gt;&lt;wsp:rsid wsp:val=&quot;000C7564&quot;/&gt;&lt;wsp:rsid wsp:val=&quot;000C789D&quot;/&gt;&lt;wsp:rsid wsp:val=&quot;000C7949&quot;/&gt;&lt;wsp:rsid wsp:val=&quot;000C7C3F&quot;/&gt;&lt;wsp:rsid wsp:val=&quot;000C7CAE&quot;/&gt;&lt;wsp:rsid wsp:val=&quot;000C7D55&quot;/&gt;&lt;wsp:rsid wsp:val=&quot;000D0447&quot;/&gt;&lt;wsp:rsid wsp:val=&quot;000D0538&quot;/&gt;&lt;wsp:rsid wsp:val=&quot;000D0DB6&quot;/&gt;&lt;wsp:rsid wsp:val=&quot;000D0F87&quot;/&gt;&lt;wsp:rsid wsp:val=&quot;000D1090&quot;/&gt;&lt;wsp:rsid wsp:val=&quot;000D1394&quot;/&gt;&lt;wsp:rsid wsp:val=&quot;000D1411&quot;/&gt;&lt;wsp:rsid wsp:val=&quot;000D1766&quot;/&gt;&lt;wsp:rsid wsp:val=&quot;000D1C1E&quot;/&gt;&lt;wsp:rsid wsp:val=&quot;000D1D69&quot;/&gt;&lt;wsp:rsid wsp:val=&quot;000D2546&quot;/&gt;&lt;wsp:rsid wsp:val=&quot;000D2A26&quot;/&gt;&lt;wsp:rsid wsp:val=&quot;000D3D86&quot;/&gt;&lt;wsp:rsid wsp:val=&quot;000D3DE0&quot;/&gt;&lt;wsp:rsid wsp:val=&quot;000D4815&quot;/&gt;&lt;wsp:rsid wsp:val=&quot;000D5EDB&quot;/&gt;&lt;wsp:rsid wsp:val=&quot;000D602A&quot;/&gt;&lt;wsp:rsid wsp:val=&quot;000D6475&quot;/&gt;&lt;wsp:rsid wsp:val=&quot;000D677D&quot;/&gt;&lt;wsp:rsid wsp:val=&quot;000D68C4&quot;/&gt;&lt;wsp:rsid wsp:val=&quot;000D77EE&quot;/&gt;&lt;wsp:rsid wsp:val=&quot;000D7A0D&quot;/&gt;&lt;wsp:rsid wsp:val=&quot;000D7CBE&quot;/&gt;&lt;wsp:rsid wsp:val=&quot;000E0230&quot;/&gt;&lt;wsp:rsid wsp:val=&quot;000E09F9&quot;/&gt;&lt;wsp:rsid wsp:val=&quot;000E1060&quot;/&gt;&lt;wsp:rsid wsp:val=&quot;000E1079&quot;/&gt;&lt;wsp:rsid wsp:val=&quot;000E2259&quot;/&gt;&lt;wsp:rsid wsp:val=&quot;000E247A&quot;/&gt;&lt;wsp:rsid wsp:val=&quot;000E2E39&quot;/&gt;&lt;wsp:rsid wsp:val=&quot;000E3C45&quot;/&gt;&lt;wsp:rsid wsp:val=&quot;000E3EC9&quot;/&gt;&lt;wsp:rsid wsp:val=&quot;000E4BE5&quot;/&gt;&lt;wsp:rsid wsp:val=&quot;000E4CEE&quot;/&gt;&lt;wsp:rsid wsp:val=&quot;000E5153&quot;/&gt;&lt;wsp:rsid wsp:val=&quot;000E5C67&quot;/&gt;&lt;wsp:rsid wsp:val=&quot;000E5CC1&quot;/&gt;&lt;wsp:rsid wsp:val=&quot;000E7571&quot;/&gt;&lt;wsp:rsid wsp:val=&quot;000F01A5&quot;/&gt;&lt;wsp:rsid wsp:val=&quot;000F0A0E&quot;/&gt;&lt;wsp:rsid wsp:val=&quot;000F0B81&quot;/&gt;&lt;wsp:rsid wsp:val=&quot;000F1744&quot;/&gt;&lt;wsp:rsid wsp:val=&quot;000F1B1C&quot;/&gt;&lt;wsp:rsid wsp:val=&quot;000F1BFB&quot;/&gt;&lt;wsp:rsid wsp:val=&quot;000F1CB5&quot;/&gt;&lt;wsp:rsid wsp:val=&quot;000F1F63&quot;/&gt;&lt;wsp:rsid wsp:val=&quot;000F2BCF&quot;/&gt;&lt;wsp:rsid wsp:val=&quot;000F34FF&quot;/&gt;&lt;wsp:rsid wsp:val=&quot;000F3985&quot;/&gt;&lt;wsp:rsid wsp:val=&quot;000F3B49&quot;/&gt;&lt;wsp:rsid wsp:val=&quot;000F41FA&quot;/&gt;&lt;wsp:rsid wsp:val=&quot;000F45E2&quot;/&gt;&lt;wsp:rsid wsp:val=&quot;000F4F39&quot;/&gt;&lt;wsp:rsid wsp:val=&quot;000F54C4&quot;/&gt;&lt;wsp:rsid wsp:val=&quot;000F6EC4&quot;/&gt;&lt;wsp:rsid wsp:val=&quot;0010103B&quot;/&gt;&lt;wsp:rsid wsp:val=&quot;001028A8&quot;/&gt;&lt;wsp:rsid wsp:val=&quot;0010334E&quot;/&gt;&lt;wsp:rsid wsp:val=&quot;00103BDA&quot;/&gt;&lt;wsp:rsid wsp:val=&quot;001046E1&quot;/&gt;&lt;wsp:rsid wsp:val=&quot;00104B78&quot;/&gt;&lt;wsp:rsid wsp:val=&quot;0010572F&quot;/&gt;&lt;wsp:rsid wsp:val=&quot;00105D6D&quot;/&gt;&lt;wsp:rsid wsp:val=&quot;001064D6&quot;/&gt;&lt;wsp:rsid wsp:val=&quot;00106C67&quot;/&gt;&lt;wsp:rsid wsp:val=&quot;001077C8&quot;/&gt;&lt;wsp:rsid wsp:val=&quot;001079D5&quot;/&gt;&lt;wsp:rsid wsp:val=&quot;00107D67&quot;/&gt;&lt;wsp:rsid wsp:val=&quot;0011098B&quot;/&gt;&lt;wsp:rsid wsp:val=&quot;001111CE&quot;/&gt;&lt;wsp:rsid wsp:val=&quot;00111B1D&quot;/&gt;&lt;wsp:rsid wsp:val=&quot;00112653&quot;/&gt;&lt;wsp:rsid wsp:val=&quot;001126A3&quot;/&gt;&lt;wsp:rsid wsp:val=&quot;00112FAE&quot;/&gt;&lt;wsp:rsid wsp:val=&quot;00114767&quot;/&gt;&lt;wsp:rsid wsp:val=&quot;00117823&quot;/&gt;&lt;wsp:rsid wsp:val=&quot;001178CF&quot;/&gt;&lt;wsp:rsid wsp:val=&quot;001179DA&quot;/&gt;&lt;wsp:rsid wsp:val=&quot;00117EB8&quot;/&gt;&lt;wsp:rsid wsp:val=&quot;0012094E&quot;/&gt;&lt;wsp:rsid wsp:val=&quot;0012095E&quot;/&gt;&lt;wsp:rsid wsp:val=&quot;00120999&quot;/&gt;&lt;wsp:rsid wsp:val=&quot;0012128A&quot;/&gt;&lt;wsp:rsid wsp:val=&quot;00122064&quot;/&gt;&lt;wsp:rsid wsp:val=&quot;0012221A&quot;/&gt;&lt;wsp:rsid wsp:val=&quot;001228A2&quot;/&gt;&lt;wsp:rsid wsp:val=&quot;00122F17&quot;/&gt;&lt;wsp:rsid wsp:val=&quot;00123285&quot;/&gt;&lt;wsp:rsid wsp:val=&quot;00123EF7&quot;/&gt;&lt;wsp:rsid wsp:val=&quot;001241BE&quot;/&gt;&lt;wsp:rsid wsp:val=&quot;001245B2&quot;/&gt;&lt;wsp:rsid wsp:val=&quot;00124866&quot;/&gt;&lt;wsp:rsid wsp:val=&quot;001248E6&quot;/&gt;&lt;wsp:rsid wsp:val=&quot;00125A1E&quot;/&gt;&lt;wsp:rsid wsp:val=&quot;00126139&quot;/&gt;&lt;wsp:rsid wsp:val=&quot;00126B35&quot;/&gt;&lt;wsp:rsid wsp:val=&quot;00127F07&quot;/&gt;&lt;wsp:rsid wsp:val=&quot;0013030E&quot;/&gt;&lt;wsp:rsid wsp:val=&quot;00130454&quot;/&gt;&lt;wsp:rsid wsp:val=&quot;001305BB&quot;/&gt;&lt;wsp:rsid wsp:val=&quot;00132598&quot;/&gt;&lt;wsp:rsid wsp:val=&quot;0013326E&quot;/&gt;&lt;wsp:rsid wsp:val=&quot;001338BB&quot;/&gt;&lt;wsp:rsid wsp:val=&quot;00134802&quot;/&gt;&lt;wsp:rsid wsp:val=&quot;00134CD5&quot;/&gt;&lt;wsp:rsid wsp:val=&quot;0013665E&quot;/&gt;&lt;wsp:rsid wsp:val=&quot;00136911&quot;/&gt;&lt;wsp:rsid wsp:val=&quot;00136B9D&quot;/&gt;&lt;wsp:rsid wsp:val=&quot;001379E2&quot;/&gt;&lt;wsp:rsid wsp:val=&quot;001402E5&quot;/&gt;&lt;wsp:rsid wsp:val=&quot;00140A35&quot;/&gt;&lt;wsp:rsid wsp:val=&quot;0014141F&quot;/&gt;&lt;wsp:rsid wsp:val=&quot;00141744&quot;/&gt;&lt;wsp:rsid wsp:val=&quot;0014258A&quot;/&gt;&lt;wsp:rsid wsp:val=&quot;00142E22&quot;/&gt;&lt;wsp:rsid wsp:val=&quot;00143A2B&quot;/&gt;&lt;wsp:rsid wsp:val=&quot;00144AB6&quot;/&gt;&lt;wsp:rsid wsp:val=&quot;00145092&quot;/&gt;&lt;wsp:rsid wsp:val=&quot;001452BA&quot;/&gt;&lt;wsp:rsid wsp:val=&quot;001456C7&quot;/&gt;&lt;wsp:rsid wsp:val=&quot;0014594C&quot;/&gt;&lt;wsp:rsid wsp:val=&quot;001461E0&quot;/&gt;&lt;wsp:rsid wsp:val=&quot;00147538&quot;/&gt;&lt;wsp:rsid wsp:val=&quot;001477C4&quot;/&gt;&lt;wsp:rsid wsp:val=&quot;00150B05&quot;/&gt;&lt;wsp:rsid wsp:val=&quot;00150FE5&quot;/&gt;&lt;wsp:rsid wsp:val=&quot;00151129&quot;/&gt;&lt;wsp:rsid wsp:val=&quot;0015177B&quot;/&gt;&lt;wsp:rsid wsp:val=&quot;001518B5&quot;/&gt;&lt;wsp:rsid wsp:val=&quot;00151A91&quot;/&gt;&lt;wsp:rsid wsp:val=&quot;00151BAD&quot;/&gt;&lt;wsp:rsid wsp:val=&quot;001523BD&quot;/&gt;&lt;wsp:rsid wsp:val=&quot;00152432&quot;/&gt;&lt;wsp:rsid wsp:val=&quot;001525FC&quot;/&gt;&lt;wsp:rsid wsp:val=&quot;00152C28&quot;/&gt;&lt;wsp:rsid wsp:val=&quot;00154298&quot;/&gt;&lt;wsp:rsid wsp:val=&quot;00154502&quot;/&gt;&lt;wsp:rsid wsp:val=&quot;00154FEB&quot;/&gt;&lt;wsp:rsid wsp:val=&quot;00155EC0&quot;/&gt;&lt;wsp:rsid wsp:val=&quot;00156D7A&quot;/&gt;&lt;wsp:rsid wsp:val=&quot;00156DB2&quot;/&gt;&lt;wsp:rsid wsp:val=&quot;00156F88&quot;/&gt;&lt;wsp:rsid wsp:val=&quot;00157275&quot;/&gt;&lt;wsp:rsid wsp:val=&quot;00157725&quot;/&gt;&lt;wsp:rsid wsp:val=&quot;00157B4B&quot;/&gt;&lt;wsp:rsid wsp:val=&quot;00160256&quot;/&gt;&lt;wsp:rsid wsp:val=&quot;00160292&quot;/&gt;&lt;wsp:rsid wsp:val=&quot;00161C45&quot;/&gt;&lt;wsp:rsid wsp:val=&quot;00161EFE&quot;/&gt;&lt;wsp:rsid wsp:val=&quot;001624F9&quot;/&gt;&lt;wsp:rsid wsp:val=&quot;00162770&quot;/&gt;&lt;wsp:rsid wsp:val=&quot;0016317B&quot;/&gt;&lt;wsp:rsid wsp:val=&quot;00163F14&quot;/&gt;&lt;wsp:rsid wsp:val=&quot;001645C3&quot;/&gt;&lt;wsp:rsid wsp:val=&quot;00164E39&quot;/&gt;&lt;wsp:rsid wsp:val=&quot;00164ED8&quot;/&gt;&lt;wsp:rsid wsp:val=&quot;00165286&quot;/&gt;&lt;wsp:rsid wsp:val=&quot;001655E3&quot;/&gt;&lt;wsp:rsid wsp:val=&quot;001657FA&quot;/&gt;&lt;wsp:rsid wsp:val=&quot;001659F0&quot;/&gt;&lt;wsp:rsid wsp:val=&quot;001661DE&quot;/&gt;&lt;wsp:rsid wsp:val=&quot;00166B0F&quot;/&gt;&lt;wsp:rsid wsp:val=&quot;00166FE2&quot;/&gt;&lt;wsp:rsid wsp:val=&quot;001677F1&quot;/&gt;&lt;wsp:rsid wsp:val=&quot;00167809&quot;/&gt;&lt;wsp:rsid wsp:val=&quot;00167A68&quot;/&gt;&lt;wsp:rsid wsp:val=&quot;00170250&quot;/&gt;&lt;wsp:rsid wsp:val=&quot;001708FD&quot;/&gt;&lt;wsp:rsid wsp:val=&quot;00170A9E&quot;/&gt;&lt;wsp:rsid wsp:val=&quot;00170B91&quot;/&gt;&lt;wsp:rsid wsp:val=&quot;00170CA9&quot;/&gt;&lt;wsp:rsid wsp:val=&quot;00171153&quot;/&gt;&lt;wsp:rsid wsp:val=&quot;001712C5&quot;/&gt;&lt;wsp:rsid wsp:val=&quot;00171D0C&quot;/&gt;&lt;wsp:rsid wsp:val=&quot;001728A7&quot;/&gt;&lt;wsp:rsid wsp:val=&quot;00172E8D&quot;/&gt;&lt;wsp:rsid wsp:val=&quot;0017352F&quot;/&gt;&lt;wsp:rsid wsp:val=&quot;00173650&quot;/&gt;&lt;wsp:rsid wsp:val=&quot;00173772&quot;/&gt;&lt;wsp:rsid wsp:val=&quot;001754AC&quot;/&gt;&lt;wsp:rsid wsp:val=&quot;0017595F&quot;/&gt;&lt;wsp:rsid wsp:val=&quot;00175A84&quot;/&gt;&lt;wsp:rsid wsp:val=&quot;00175F4C&quot;/&gt;&lt;wsp:rsid wsp:val=&quot;0017619C&quot;/&gt;&lt;wsp:rsid wsp:val=&quot;001768D5&quot;/&gt;&lt;wsp:rsid wsp:val=&quot;00176D25&quot;/&gt;&lt;wsp:rsid wsp:val=&quot;00176DBC&quot;/&gt;&lt;wsp:rsid wsp:val=&quot;00177674&quot;/&gt;&lt;wsp:rsid wsp:val=&quot;00177676&quot;/&gt;&lt;wsp:rsid wsp:val=&quot;001778F8&quot;/&gt;&lt;wsp:rsid wsp:val=&quot;00177A4F&quot;/&gt;&lt;wsp:rsid wsp:val=&quot;0018020C&quot;/&gt;&lt;wsp:rsid wsp:val=&quot;001804D6&quot;/&gt;&lt;wsp:rsid wsp:val=&quot;0018107C&quot;/&gt;&lt;wsp:rsid wsp:val=&quot;00181155&quot;/&gt;&lt;wsp:rsid wsp:val=&quot;001812FB&quot;/&gt;&lt;wsp:rsid wsp:val=&quot;001816CF&quot;/&gt;&lt;wsp:rsid wsp:val=&quot;0018269A&quot;/&gt;&lt;wsp:rsid wsp:val=&quot;001827F5&quot;/&gt;&lt;wsp:rsid wsp:val=&quot;00182A69&quot;/&gt;&lt;wsp:rsid wsp:val=&quot;001830D2&quot;/&gt;&lt;wsp:rsid wsp:val=&quot;00183364&quot;/&gt;&lt;wsp:rsid wsp:val=&quot;00183CF4&quot;/&gt;&lt;wsp:rsid wsp:val=&quot;00186F5D&quot;/&gt;&lt;wsp:rsid wsp:val=&quot;001873D0&quot;/&gt;&lt;wsp:rsid wsp:val=&quot;00187D7B&quot;/&gt;&lt;wsp:rsid wsp:val=&quot;00187E22&quot;/&gt;&lt;wsp:rsid wsp:val=&quot;0019048A&quot;/&gt;&lt;wsp:rsid wsp:val=&quot;001912A5&quot;/&gt;&lt;wsp:rsid wsp:val=&quot;00191B94&quot;/&gt;&lt;wsp:rsid wsp:val=&quot;00192257&quot;/&gt;&lt;wsp:rsid wsp:val=&quot;00192A56&quot;/&gt;&lt;wsp:rsid wsp:val=&quot;00192C89&quot;/&gt;&lt;wsp:rsid wsp:val=&quot;00192DBC&quot;/&gt;&lt;wsp:rsid wsp:val=&quot;00193340&quot;/&gt;&lt;wsp:rsid wsp:val=&quot;00193689&quot;/&gt;&lt;wsp:rsid wsp:val=&quot;001938F3&quot;/&gt;&lt;wsp:rsid wsp:val=&quot;00193BFD&quot;/&gt;&lt;wsp:rsid wsp:val=&quot;00194E02&quot;/&gt;&lt;wsp:rsid wsp:val=&quot;001956CF&quot;/&gt;&lt;wsp:rsid wsp:val=&quot;001956DC&quot;/&gt;&lt;wsp:rsid wsp:val=&quot;00195CA4&quot;/&gt;&lt;wsp:rsid wsp:val=&quot;00195EC4&quot;/&gt;&lt;wsp:rsid wsp:val=&quot;00196324&quot;/&gt;&lt;wsp:rsid wsp:val=&quot;00196447&quot;/&gt;&lt;wsp:rsid wsp:val=&quot;001973A4&quot;/&gt;&lt;wsp:rsid wsp:val=&quot;00197EBA&quot;/&gt;&lt;wsp:rsid wsp:val=&quot;001A038A&quot;/&gt;&lt;wsp:rsid wsp:val=&quot;001A093F&quot;/&gt;&lt;wsp:rsid wsp:val=&quot;001A2005&quot;/&gt;&lt;wsp:rsid wsp:val=&quot;001A212B&quot;/&gt;&lt;wsp:rsid wsp:val=&quot;001A4328&quot;/&gt;&lt;wsp:rsid wsp:val=&quot;001A4708&quot;/&gt;&lt;wsp:rsid wsp:val=&quot;001A4CF6&quot;/&gt;&lt;wsp:rsid wsp:val=&quot;001A5193&quot;/&gt;&lt;wsp:rsid wsp:val=&quot;001A5462&quot;/&gt;&lt;wsp:rsid wsp:val=&quot;001A55AD&quot;/&gt;&lt;wsp:rsid wsp:val=&quot;001A59B4&quot;/&gt;&lt;wsp:rsid wsp:val=&quot;001A5C85&quot;/&gt;&lt;wsp:rsid wsp:val=&quot;001A71A1&quot;/&gt;&lt;wsp:rsid wsp:val=&quot;001A7768&quot;/&gt;&lt;wsp:rsid wsp:val=&quot;001B0FEE&quot;/&gt;&lt;wsp:rsid wsp:val=&quot;001B18FF&quot;/&gt;&lt;wsp:rsid wsp:val=&quot;001B1F43&quot;/&gt;&lt;wsp:rsid wsp:val=&quot;001B2025&quot;/&gt;&lt;wsp:rsid wsp:val=&quot;001B20A8&quot;/&gt;&lt;wsp:rsid wsp:val=&quot;001B2284&quot;/&gt;&lt;wsp:rsid wsp:val=&quot;001B2A72&quot;/&gt;&lt;wsp:rsid wsp:val=&quot;001B2D3C&quot;/&gt;&lt;wsp:rsid wsp:val=&quot;001B37A5&quot;/&gt;&lt;wsp:rsid wsp:val=&quot;001B3BB6&quot;/&gt;&lt;wsp:rsid wsp:val=&quot;001B440E&quot;/&gt;&lt;wsp:rsid wsp:val=&quot;001B4674&quot;/&gt;&lt;wsp:rsid wsp:val=&quot;001B473B&quot;/&gt;&lt;wsp:rsid wsp:val=&quot;001B4CB7&quot;/&gt;&lt;wsp:rsid wsp:val=&quot;001B4DCF&quot;/&gt;&lt;wsp:rsid wsp:val=&quot;001B5630&quot;/&gt;&lt;wsp:rsid wsp:val=&quot;001B62BB&quot;/&gt;&lt;wsp:rsid wsp:val=&quot;001B6DB5&quot;/&gt;&lt;wsp:rsid wsp:val=&quot;001B71D8&quot;/&gt;&lt;wsp:rsid wsp:val=&quot;001B77FA&quot;/&gt;&lt;wsp:rsid wsp:val=&quot;001C0707&quot;/&gt;&lt;wsp:rsid wsp:val=&quot;001C0AB9&quot;/&gt;&lt;wsp:rsid wsp:val=&quot;001C10E5&quot;/&gt;&lt;wsp:rsid wsp:val=&quot;001C10FD&quot;/&gt;&lt;wsp:rsid wsp:val=&quot;001C1E06&quot;/&gt;&lt;wsp:rsid wsp:val=&quot;001C220F&quot;/&gt;&lt;wsp:rsid wsp:val=&quot;001C3A18&quot;/&gt;&lt;wsp:rsid wsp:val=&quot;001C3BA8&quot;/&gt;&lt;wsp:rsid wsp:val=&quot;001C3D45&quot;/&gt;&lt;wsp:rsid wsp:val=&quot;001C4792&quot;/&gt;&lt;wsp:rsid wsp:val=&quot;001C4FC9&quot;/&gt;&lt;wsp:rsid wsp:val=&quot;001C511D&quot;/&gt;&lt;wsp:rsid wsp:val=&quot;001C5C62&quot;/&gt;&lt;wsp:rsid wsp:val=&quot;001C606B&quot;/&gt;&lt;wsp:rsid wsp:val=&quot;001C6F8C&quot;/&gt;&lt;wsp:rsid wsp:val=&quot;001C7AB1&quot;/&gt;&lt;wsp:rsid wsp:val=&quot;001D0D17&quot;/&gt;&lt;wsp:rsid wsp:val=&quot;001D14EC&quot;/&gt;&lt;wsp:rsid wsp:val=&quot;001D16C8&quot;/&gt;&lt;wsp:rsid wsp:val=&quot;001D33D0&quot;/&gt;&lt;wsp:rsid wsp:val=&quot;001D38A5&quot;/&gt;&lt;wsp:rsid wsp:val=&quot;001D4010&quot;/&gt;&lt;wsp:rsid wsp:val=&quot;001D416C&quot;/&gt;&lt;wsp:rsid wsp:val=&quot;001D4BED&quot;/&gt;&lt;wsp:rsid wsp:val=&quot;001D4DE5&quot;/&gt;&lt;wsp:rsid wsp:val=&quot;001D4E46&quot;/&gt;&lt;wsp:rsid wsp:val=&quot;001D4F26&quot;/&gt;&lt;wsp:rsid wsp:val=&quot;001D5446&quot;/&gt;&lt;wsp:rsid wsp:val=&quot;001D54D4&quot;/&gt;&lt;wsp:rsid wsp:val=&quot;001D58C3&quot;/&gt;&lt;wsp:rsid wsp:val=&quot;001D5A48&quot;/&gt;&lt;wsp:rsid wsp:val=&quot;001D60E1&quot;/&gt;&lt;wsp:rsid wsp:val=&quot;001D65EE&quot;/&gt;&lt;wsp:rsid wsp:val=&quot;001D7C2B&quot;/&gt;&lt;wsp:rsid wsp:val=&quot;001D7FAF&quot;/&gt;&lt;wsp:rsid wsp:val=&quot;001E00E7&quot;/&gt;&lt;wsp:rsid wsp:val=&quot;001E0715&quot;/&gt;&lt;wsp:rsid wsp:val=&quot;001E0AF4&quot;/&gt;&lt;wsp:rsid wsp:val=&quot;001E0B26&quot;/&gt;&lt;wsp:rsid wsp:val=&quot;001E22AD&quot;/&gt;&lt;wsp:rsid wsp:val=&quot;001E27D5&quot;/&gt;&lt;wsp:rsid wsp:val=&quot;001E32F2&quot;/&gt;&lt;wsp:rsid wsp:val=&quot;001E334D&quot;/&gt;&lt;wsp:rsid wsp:val=&quot;001E437B&quot;/&gt;&lt;wsp:rsid wsp:val=&quot;001E43B3&quot;/&gt;&lt;wsp:rsid wsp:val=&quot;001E4EA8&quot;/&gt;&lt;wsp:rsid wsp:val=&quot;001E50BF&quot;/&gt;&lt;wsp:rsid wsp:val=&quot;001E577A&quot;/&gt;&lt;wsp:rsid wsp:val=&quot;001E5C85&quot;/&gt;&lt;wsp:rsid wsp:val=&quot;001E5D5F&quot;/&gt;&lt;wsp:rsid wsp:val=&quot;001E6D2E&quot;/&gt;&lt;wsp:rsid wsp:val=&quot;001E7DFD&quot;/&gt;&lt;wsp:rsid wsp:val=&quot;001E7F7D&quot;/&gt;&lt;wsp:rsid wsp:val=&quot;001F05A1&quot;/&gt;&lt;wsp:rsid wsp:val=&quot;001F1071&quot;/&gt;&lt;wsp:rsid wsp:val=&quot;001F113C&quot;/&gt;&lt;wsp:rsid wsp:val=&quot;001F11DF&quot;/&gt;&lt;wsp:rsid wsp:val=&quot;001F1F19&quot;/&gt;&lt;wsp:rsid wsp:val=&quot;001F2483&quot;/&gt;&lt;wsp:rsid wsp:val=&quot;001F2FB2&quot;/&gt;&lt;wsp:rsid wsp:val=&quot;001F3024&quot;/&gt;&lt;wsp:rsid wsp:val=&quot;001F3251&quot;/&gt;&lt;wsp:rsid wsp:val=&quot;001F40A4&quot;/&gt;&lt;wsp:rsid wsp:val=&quot;001F4318&quot;/&gt;&lt;wsp:rsid wsp:val=&quot;001F4817&quot;/&gt;&lt;wsp:rsid wsp:val=&quot;001F48D3&quot;/&gt;&lt;wsp:rsid wsp:val=&quot;001F53FF&quot;/&gt;&lt;wsp:rsid wsp:val=&quot;001F5866&quot;/&gt;&lt;wsp:rsid wsp:val=&quot;001F6034&quot;/&gt;&lt;wsp:rsid wsp:val=&quot;001F622E&quot;/&gt;&lt;wsp:rsid wsp:val=&quot;001F728D&quot;/&gt;&lt;wsp:rsid wsp:val=&quot;001F7456&quot;/&gt;&lt;wsp:rsid wsp:val=&quot;001F7E6F&quot;/&gt;&lt;wsp:rsid wsp:val=&quot;0020023E&quot;/&gt;&lt;wsp:rsid wsp:val=&quot;00200512&quot;/&gt;&lt;wsp:rsid wsp:val=&quot;00200750&quot;/&gt;&lt;wsp:rsid wsp:val=&quot;00201023&quot;/&gt;&lt;wsp:rsid wsp:val=&quot;00201089&quot;/&gt;&lt;wsp:rsid wsp:val=&quot;0020108F&quot;/&gt;&lt;wsp:rsid wsp:val=&quot;0020193C&quot;/&gt;&lt;wsp:rsid wsp:val=&quot;002024DF&quot;/&gt;&lt;wsp:rsid wsp:val=&quot;00203C2D&quot;/&gt;&lt;wsp:rsid wsp:val=&quot;002046CB&quot;/&gt;&lt;wsp:rsid wsp:val=&quot;00204940&quot;/&gt;&lt;wsp:rsid wsp:val=&quot;00204B25&quot;/&gt;&lt;wsp:rsid wsp:val=&quot;00204D7E&quot;/&gt;&lt;wsp:rsid wsp:val=&quot;002051DE&quot;/&gt;&lt;wsp:rsid wsp:val=&quot;00205380&quot;/&gt;&lt;wsp:rsid wsp:val=&quot;0020730A&quot;/&gt;&lt;wsp:rsid wsp:val=&quot;00207530&quot;/&gt;&lt;wsp:rsid wsp:val=&quot;0020770B&quot;/&gt;&lt;wsp:rsid wsp:val=&quot;00207F77&quot;/&gt;&lt;wsp:rsid wsp:val=&quot;002100A0&quot;/&gt;&lt;wsp:rsid wsp:val=&quot;00210806&quot;/&gt;&lt;wsp:rsid wsp:val=&quot;00210B18&quot;/&gt;&lt;wsp:rsid wsp:val=&quot;00210C8D&quot;/&gt;&lt;wsp:rsid wsp:val=&quot;00210E24&quot;/&gt;&lt;wsp:rsid wsp:val=&quot;00210F4E&quot;/&gt;&lt;wsp:rsid wsp:val=&quot;002116F9&quot;/&gt;&lt;wsp:rsid wsp:val=&quot;00211D1C&quot;/&gt;&lt;wsp:rsid wsp:val=&quot;00212232&quot;/&gt;&lt;wsp:rsid wsp:val=&quot;00213242&quot;/&gt;&lt;wsp:rsid wsp:val=&quot;002135A1&quot;/&gt;&lt;wsp:rsid wsp:val=&quot;00213E6F&quot;/&gt;&lt;wsp:rsid wsp:val=&quot;00214493&quot;/&gt;&lt;wsp:rsid wsp:val=&quot;00214873&quot;/&gt;&lt;wsp:rsid wsp:val=&quot;002154DC&quot;/&gt;&lt;wsp:rsid wsp:val=&quot;002161FF&quot;/&gt;&lt;wsp:rsid wsp:val=&quot;0021659F&quot;/&gt;&lt;wsp:rsid wsp:val=&quot;002203EB&quot;/&gt;&lt;wsp:rsid wsp:val=&quot;00220467&quot;/&gt;&lt;wsp:rsid wsp:val=&quot;00220FDD&quot;/&gt;&lt;wsp:rsid wsp:val=&quot;002213D4&quot;/&gt;&lt;wsp:rsid wsp:val=&quot;002229E3&quot;/&gt;&lt;wsp:rsid wsp:val=&quot;0022517C&quot;/&gt;&lt;wsp:rsid wsp:val=&quot;00225AE2&quot;/&gt;&lt;wsp:rsid wsp:val=&quot;00226AC0&quot;/&gt;&lt;wsp:rsid wsp:val=&quot;00226D0C&quot;/&gt;&lt;wsp:rsid wsp:val=&quot;0022731F&quot;/&gt;&lt;wsp:rsid wsp:val=&quot;0022768C&quot;/&gt;&lt;wsp:rsid wsp:val=&quot;00227F4E&quot;/&gt;&lt;wsp:rsid wsp:val=&quot;002304DE&quot;/&gt;&lt;wsp:rsid wsp:val=&quot;0023108D&quot;/&gt;&lt;wsp:rsid wsp:val=&quot;00231722&quot;/&gt;&lt;wsp:rsid wsp:val=&quot;002317F9&quot;/&gt;&lt;wsp:rsid wsp:val=&quot;00231D4F&quot;/&gt;&lt;wsp:rsid wsp:val=&quot;002323BD&quot;/&gt;&lt;wsp:rsid wsp:val=&quot;0023299B&quot;/&gt;&lt;wsp:rsid wsp:val=&quot;00232E87&quot;/&gt;&lt;wsp:rsid wsp:val=&quot;0023358D&quot;/&gt;&lt;wsp:rsid wsp:val=&quot;0023371E&quot;/&gt;&lt;wsp:rsid wsp:val=&quot;00233802&quot;/&gt;&lt;wsp:rsid wsp:val=&quot;00234743&quot;/&gt;&lt;wsp:rsid wsp:val=&quot;00234826&quot;/&gt;&lt;wsp:rsid wsp:val=&quot;00234A6C&quot;/&gt;&lt;wsp:rsid wsp:val=&quot;00234C33&quot;/&gt;&lt;wsp:rsid wsp:val=&quot;00235042&quot;/&gt;&lt;wsp:rsid wsp:val=&quot;002350E4&quot;/&gt;&lt;wsp:rsid wsp:val=&quot;00235111&quot;/&gt;&lt;wsp:rsid wsp:val=&quot;0023627B&quot;/&gt;&lt;wsp:rsid wsp:val=&quot;0023630A&quot;/&gt;&lt;wsp:rsid wsp:val=&quot;00236382&quot;/&gt;&lt;wsp:rsid wsp:val=&quot;0023648A&quot;/&gt;&lt;wsp:rsid wsp:val=&quot;002376F5&quot;/&gt;&lt;wsp:rsid wsp:val=&quot;0024130D&quot;/&gt;&lt;wsp:rsid wsp:val=&quot;00241C7C&quot;/&gt;&lt;wsp:rsid wsp:val=&quot;00241D1C&quot;/&gt;&lt;wsp:rsid wsp:val=&quot;00243BE2&quot;/&gt;&lt;wsp:rsid wsp:val=&quot;00243CFF&quot;/&gt;&lt;wsp:rsid wsp:val=&quot;002447B2&quot;/&gt;&lt;wsp:rsid wsp:val=&quot;002452E1&quot;/&gt;&lt;wsp:rsid wsp:val=&quot;00245DA2&quot;/&gt;&lt;wsp:rsid wsp:val=&quot;002462A0&quot;/&gt;&lt;wsp:rsid wsp:val=&quot;00247958&quot;/&gt;&lt;wsp:rsid wsp:val=&quot;00247A9F&quot;/&gt;&lt;wsp:rsid wsp:val=&quot;00247D30&quot;/&gt;&lt;wsp:rsid wsp:val=&quot;00250DA1&quot;/&gt;&lt;wsp:rsid wsp:val=&quot;00250F3C&quot;/&gt;&lt;wsp:rsid wsp:val=&quot;00252E3A&quot;/&gt;&lt;wsp:rsid wsp:val=&quot;00253517&quot;/&gt;&lt;wsp:rsid wsp:val=&quot;002537F5&quot;/&gt;&lt;wsp:rsid wsp:val=&quot;00253895&quot;/&gt;&lt;wsp:rsid wsp:val=&quot;00254052&quot;/&gt;&lt;wsp:rsid wsp:val=&quot;002541E9&quot;/&gt;&lt;wsp:rsid wsp:val=&quot;00254398&quot;/&gt;&lt;wsp:rsid wsp:val=&quot;002548B9&quot;/&gt;&lt;wsp:rsid wsp:val=&quot;00254923&quot;/&gt;&lt;wsp:rsid wsp:val=&quot;00254DE9&quot;/&gt;&lt;wsp:rsid wsp:val=&quot;00254F28&quot;/&gt;&lt;wsp:rsid wsp:val=&quot;00255BB3&quot;/&gt;&lt;wsp:rsid wsp:val=&quot;00255FBE&quot;/&gt;&lt;wsp:rsid wsp:val=&quot;002560B8&quot;/&gt;&lt;wsp:rsid wsp:val=&quot;002566A2&quot;/&gt;&lt;wsp:rsid wsp:val=&quot;002567C8&quot;/&gt;&lt;wsp:rsid wsp:val=&quot;00257211&quot;/&gt;&lt;wsp:rsid wsp:val=&quot;0025771B&quot;/&gt;&lt;wsp:rsid wsp:val=&quot;0026017D&quot;/&gt;&lt;wsp:rsid wsp:val=&quot;0026053C&quot;/&gt;&lt;wsp:rsid wsp:val=&quot;002605B1&quot;/&gt;&lt;wsp:rsid wsp:val=&quot;00262319&quot;/&gt;&lt;wsp:rsid wsp:val=&quot;00262713&quot;/&gt;&lt;wsp:rsid wsp:val=&quot;002634BB&quot;/&gt;&lt;wsp:rsid wsp:val=&quot;002642E8&quot;/&gt;&lt;wsp:rsid wsp:val=&quot;00264376&quot;/&gt;&lt;wsp:rsid wsp:val=&quot;00264D41&quot;/&gt;&lt;wsp:rsid wsp:val=&quot;00265010&quot;/&gt;&lt;wsp:rsid wsp:val=&quot;002650DB&quot;/&gt;&lt;wsp:rsid wsp:val=&quot;00265DB5&quot;/&gt;&lt;wsp:rsid wsp:val=&quot;00265E9A&quot;/&gt;&lt;wsp:rsid wsp:val=&quot;0026663A&quot;/&gt;&lt;wsp:rsid wsp:val=&quot;0026684F&quot;/&gt;&lt;wsp:rsid wsp:val=&quot;0026687D&quot;/&gt;&lt;wsp:rsid wsp:val=&quot;00266CE4&quot;/&gt;&lt;wsp:rsid wsp:val=&quot;00267175&quot;/&gt;&lt;wsp:rsid wsp:val=&quot;00267D4F&quot;/&gt;&lt;wsp:rsid wsp:val=&quot;00270683&quot;/&gt;&lt;wsp:rsid wsp:val=&quot;002707B0&quot;/&gt;&lt;wsp:rsid wsp:val=&quot;00270F85&quot;/&gt;&lt;wsp:rsid wsp:val=&quot;002710A3&quot;/&gt;&lt;wsp:rsid wsp:val=&quot;00271415&quot;/&gt;&lt;wsp:rsid wsp:val=&quot;002719D8&quot;/&gt;&lt;wsp:rsid wsp:val=&quot;00271BE9&quot;/&gt;&lt;wsp:rsid wsp:val=&quot;0027213B&quot;/&gt;&lt;wsp:rsid wsp:val=&quot;002721FD&quot;/&gt;&lt;wsp:rsid wsp:val=&quot;002726E2&quot;/&gt;&lt;wsp:rsid wsp:val=&quot;00273162&quot;/&gt;&lt;wsp:rsid wsp:val=&quot;00274928&quot;/&gt;&lt;wsp:rsid wsp:val=&quot;00276E39&quot;/&gt;&lt;wsp:rsid wsp:val=&quot;00280FBF&quot;/&gt;&lt;wsp:rsid wsp:val=&quot;002810FC&quot;/&gt;&lt;wsp:rsid wsp:val=&quot;00281B3F&quot;/&gt;&lt;wsp:rsid wsp:val=&quot;00281CA7&quot;/&gt;&lt;wsp:rsid wsp:val=&quot;00282685&quot;/&gt;&lt;wsp:rsid wsp:val=&quot;00283742&quot;/&gt;&lt;wsp:rsid wsp:val=&quot;00283ADD&quot;/&gt;&lt;wsp:rsid wsp:val=&quot;00283E79&quot;/&gt;&lt;wsp:rsid wsp:val=&quot;00285D5B&quot;/&gt;&lt;wsp:rsid wsp:val=&quot;002875B1&quot;/&gt;&lt;wsp:rsid wsp:val=&quot;00287C32&quot;/&gt;&lt;wsp:rsid wsp:val=&quot;0029024D&quot;/&gt;&lt;wsp:rsid wsp:val=&quot;002903F3&quot;/&gt;&lt;wsp:rsid wsp:val=&quot;00290B9A&quot;/&gt;&lt;wsp:rsid wsp:val=&quot;00291F80&quot;/&gt;&lt;wsp:rsid wsp:val=&quot;0029326A&quot;/&gt;&lt;wsp:rsid wsp:val=&quot;00293385&quot;/&gt;&lt;wsp:rsid wsp:val=&quot;002941C6&quot;/&gt;&lt;wsp:rsid wsp:val=&quot;00295140&quot;/&gt;&lt;wsp:rsid wsp:val=&quot;0029563C&quot;/&gt;&lt;wsp:rsid wsp:val=&quot;00295B3D&quot;/&gt;&lt;wsp:rsid wsp:val=&quot;00295DFD&quot;/&gt;&lt;wsp:rsid wsp:val=&quot;00296D03&quot;/&gt;&lt;wsp:rsid wsp:val=&quot;002970B6&quot;/&gt;&lt;wsp:rsid wsp:val=&quot;0029758F&quot;/&gt;&lt;wsp:rsid wsp:val=&quot;0029786B&quot;/&gt;&lt;wsp:rsid wsp:val=&quot;00297B91&quot;/&gt;&lt;wsp:rsid wsp:val=&quot;002A06BF&quot;/&gt;&lt;wsp:rsid wsp:val=&quot;002A182F&quot;/&gt;&lt;wsp:rsid wsp:val=&quot;002A21A8&quot;/&gt;&lt;wsp:rsid wsp:val=&quot;002A31F8&quot;/&gt;&lt;wsp:rsid wsp:val=&quot;002A32F9&quot;/&gt;&lt;wsp:rsid wsp:val=&quot;002A3E8B&quot;/&gt;&lt;wsp:rsid wsp:val=&quot;002A4BD0&quot;/&gt;&lt;wsp:rsid wsp:val=&quot;002A4D78&quot;/&gt;&lt;wsp:rsid wsp:val=&quot;002A55B8&quot;/&gt;&lt;wsp:rsid wsp:val=&quot;002A61B0&quot;/&gt;&lt;wsp:rsid wsp:val=&quot;002A786F&quot;/&gt;&lt;wsp:rsid wsp:val=&quot;002A7B38&quot;/&gt;&lt;wsp:rsid wsp:val=&quot;002A7DF7&quot;/&gt;&lt;wsp:rsid wsp:val=&quot;002A7E86&quot;/&gt;&lt;wsp:rsid wsp:val=&quot;002B00B2&quot;/&gt;&lt;wsp:rsid wsp:val=&quot;002B08DC&quot;/&gt;&lt;wsp:rsid wsp:val=&quot;002B0ADA&quot;/&gt;&lt;wsp:rsid wsp:val=&quot;002B0CF1&quot;/&gt;&lt;wsp:rsid wsp:val=&quot;002B0D98&quot;/&gt;&lt;wsp:rsid wsp:val=&quot;002B1043&quot;/&gt;&lt;wsp:rsid wsp:val=&quot;002B28CC&quot;/&gt;&lt;wsp:rsid wsp:val=&quot;002B2AB9&quot;/&gt;&lt;wsp:rsid wsp:val=&quot;002B2D8B&quot;/&gt;&lt;wsp:rsid wsp:val=&quot;002B2D92&quot;/&gt;&lt;wsp:rsid wsp:val=&quot;002B3076&quot;/&gt;&lt;wsp:rsid wsp:val=&quot;002B326A&quot;/&gt;&lt;wsp:rsid wsp:val=&quot;002B37B8&quot;/&gt;&lt;wsp:rsid wsp:val=&quot;002B39E9&quot;/&gt;&lt;wsp:rsid wsp:val=&quot;002B3E7A&quot;/&gt;&lt;wsp:rsid wsp:val=&quot;002B3F8E&quot;/&gt;&lt;wsp:rsid wsp:val=&quot;002B4464&quot;/&gt;&lt;wsp:rsid wsp:val=&quot;002B44ED&quot;/&gt;&lt;wsp:rsid wsp:val=&quot;002B45B6&quot;/&gt;&lt;wsp:rsid wsp:val=&quot;002B4FE2&quot;/&gt;&lt;wsp:rsid wsp:val=&quot;002B538D&quot;/&gt;&lt;wsp:rsid wsp:val=&quot;002B5D69&quot;/&gt;&lt;wsp:rsid wsp:val=&quot;002B5E2D&quot;/&gt;&lt;wsp:rsid wsp:val=&quot;002B61F3&quot;/&gt;&lt;wsp:rsid wsp:val=&quot;002B6250&quot;/&gt;&lt;wsp:rsid wsp:val=&quot;002B73C9&quot;/&gt;&lt;wsp:rsid wsp:val=&quot;002B76C9&quot;/&gt;&lt;wsp:rsid wsp:val=&quot;002C0543&quot;/&gt;&lt;wsp:rsid wsp:val=&quot;002C1928&quot;/&gt;&lt;wsp:rsid wsp:val=&quot;002C1A92&quot;/&gt;&lt;wsp:rsid wsp:val=&quot;002C1BD7&quot;/&gt;&lt;wsp:rsid wsp:val=&quot;002C1F95&quot;/&gt;&lt;wsp:rsid wsp:val=&quot;002C20A4&quot;/&gt;&lt;wsp:rsid wsp:val=&quot;002C28EA&quot;/&gt;&lt;wsp:rsid wsp:val=&quot;002C3173&quot;/&gt;&lt;wsp:rsid wsp:val=&quot;002C31C5&quot;/&gt;&lt;wsp:rsid wsp:val=&quot;002C32A0&quot;/&gt;&lt;wsp:rsid wsp:val=&quot;002C336C&quot;/&gt;&lt;wsp:rsid wsp:val=&quot;002C37F1&quot;/&gt;&lt;wsp:rsid wsp:val=&quot;002C4268&quot;/&gt;&lt;wsp:rsid wsp:val=&quot;002C4BDA&quot;/&gt;&lt;wsp:rsid wsp:val=&quot;002C507D&quot;/&gt;&lt;wsp:rsid wsp:val=&quot;002C56BA&quot;/&gt;&lt;wsp:rsid wsp:val=&quot;002C5B8C&quot;/&gt;&lt;wsp:rsid wsp:val=&quot;002C5EBB&quot;/&gt;&lt;wsp:rsid wsp:val=&quot;002C799B&quot;/&gt;&lt;wsp:rsid wsp:val=&quot;002D0888&quot;/&gt;&lt;wsp:rsid wsp:val=&quot;002D0E60&quot;/&gt;&lt;wsp:rsid wsp:val=&quot;002D1597&quot;/&gt;&lt;wsp:rsid wsp:val=&quot;002D1947&quot;/&gt;&lt;wsp:rsid wsp:val=&quot;002D2BCF&quot;/&gt;&lt;wsp:rsid wsp:val=&quot;002D3583&quot;/&gt;&lt;wsp:rsid wsp:val=&quot;002D37BC&quot;/&gt;&lt;wsp:rsid wsp:val=&quot;002D3AB8&quot;/&gt;&lt;wsp:rsid wsp:val=&quot;002D52E5&quot;/&gt;&lt;wsp:rsid wsp:val=&quot;002D5D0F&quot;/&gt;&lt;wsp:rsid wsp:val=&quot;002D69EE&quot;/&gt;&lt;wsp:rsid wsp:val=&quot;002D7D7C&quot;/&gt;&lt;wsp:rsid wsp:val=&quot;002D7FF6&quot;/&gt;&lt;wsp:rsid wsp:val=&quot;002E004A&quot;/&gt;&lt;wsp:rsid wsp:val=&quot;002E0393&quot;/&gt;&lt;wsp:rsid wsp:val=&quot;002E1046&quot;/&gt;&lt;wsp:rsid wsp:val=&quot;002E16C3&quot;/&gt;&lt;wsp:rsid wsp:val=&quot;002E22EF&quot;/&gt;&lt;wsp:rsid wsp:val=&quot;002E23B8&quot;/&gt;&lt;wsp:rsid wsp:val=&quot;002E2711&quot;/&gt;&lt;wsp:rsid wsp:val=&quot;002E2BB1&quot;/&gt;&lt;wsp:rsid wsp:val=&quot;002E35B6&quot;/&gt;&lt;wsp:rsid wsp:val=&quot;002E36CC&quot;/&gt;&lt;wsp:rsid wsp:val=&quot;002E4731&quot;/&gt;&lt;wsp:rsid wsp:val=&quot;002E4ED7&quot;/&gt;&lt;wsp:rsid wsp:val=&quot;002E4FB7&quot;/&gt;&lt;wsp:rsid wsp:val=&quot;002E5B64&quot;/&gt;&lt;wsp:rsid wsp:val=&quot;002E6F93&quot;/&gt;&lt;wsp:rsid wsp:val=&quot;002F041D&quot;/&gt;&lt;wsp:rsid wsp:val=&quot;002F0EA3&quot;/&gt;&lt;wsp:rsid wsp:val=&quot;002F1533&quot;/&gt;&lt;wsp:rsid wsp:val=&quot;002F1697&quot;/&gt;&lt;wsp:rsid wsp:val=&quot;002F16AA&quot;/&gt;&lt;wsp:rsid wsp:val=&quot;002F1AC6&quot;/&gt;&lt;wsp:rsid wsp:val=&quot;002F2140&quot;/&gt;&lt;wsp:rsid wsp:val=&quot;002F21A5&quot;/&gt;&lt;wsp:rsid wsp:val=&quot;002F383C&quot;/&gt;&lt;wsp:rsid wsp:val=&quot;002F40B0&quot;/&gt;&lt;wsp:rsid wsp:val=&quot;002F4625&quot;/&gt;&lt;wsp:rsid wsp:val=&quot;002F4632&quot;/&gt;&lt;wsp:rsid wsp:val=&quot;002F51CF&quot;/&gt;&lt;wsp:rsid wsp:val=&quot;002F56D6&quot;/&gt;&lt;wsp:rsid wsp:val=&quot;002F5D89&quot;/&gt;&lt;wsp:rsid wsp:val=&quot;002F5F1E&quot;/&gt;&lt;wsp:rsid wsp:val=&quot;002F5F6A&quot;/&gt;&lt;wsp:rsid wsp:val=&quot;002F6481&quot;/&gt;&lt;wsp:rsid wsp:val=&quot;002F6B3F&quot;/&gt;&lt;wsp:rsid wsp:val=&quot;002F7D45&quot;/&gt;&lt;wsp:rsid wsp:val=&quot;00300C95&quot;/&gt;&lt;wsp:rsid wsp:val=&quot;00301B3F&quot;/&gt;&lt;wsp:rsid wsp:val=&quot;0030214E&quot;/&gt;&lt;wsp:rsid wsp:val=&quot;00302371&quot;/&gt;&lt;wsp:rsid wsp:val=&quot;0030386B&quot;/&gt;&lt;wsp:rsid wsp:val=&quot;00303A11&quot;/&gt;&lt;wsp:rsid wsp:val=&quot;00303EC0&quot;/&gt;&lt;wsp:rsid wsp:val=&quot;003046DF&quot;/&gt;&lt;wsp:rsid wsp:val=&quot;003050FC&quot;/&gt;&lt;wsp:rsid wsp:val=&quot;003053B6&quot;/&gt;&lt;wsp:rsid wsp:val=&quot;0030565B&quot;/&gt;&lt;wsp:rsid wsp:val=&quot;00305C6C&quot;/&gt;&lt;wsp:rsid wsp:val=&quot;003067C5&quot;/&gt;&lt;wsp:rsid wsp:val=&quot;00307059&quot;/&gt;&lt;wsp:rsid wsp:val=&quot;0030779D&quot;/&gt;&lt;wsp:rsid wsp:val=&quot;00307C43&quot;/&gt;&lt;wsp:rsid wsp:val=&quot;003100AA&quot;/&gt;&lt;wsp:rsid wsp:val=&quot;003114E6&quot;/&gt;&lt;wsp:rsid wsp:val=&quot;00311C41&quot;/&gt;&lt;wsp:rsid wsp:val=&quot;00311D7D&quot;/&gt;&lt;wsp:rsid wsp:val=&quot;003120E8&quot;/&gt;&lt;wsp:rsid wsp:val=&quot;003124E4&quot;/&gt;&lt;wsp:rsid wsp:val=&quot;00312FE8&quot;/&gt;&lt;wsp:rsid wsp:val=&quot;00313078&quot;/&gt;&lt;wsp:rsid wsp:val=&quot;0031311B&quot;/&gt;&lt;wsp:rsid wsp:val=&quot;003135EF&quot;/&gt;&lt;wsp:rsid wsp:val=&quot;00313DC7&quot;/&gt;&lt;wsp:rsid wsp:val=&quot;0031423B&quot;/&gt;&lt;wsp:rsid wsp:val=&quot;00314917&quot;/&gt;&lt;wsp:rsid wsp:val=&quot;00315156&quot;/&gt;&lt;wsp:rsid wsp:val=&quot;0031545B&quot;/&gt;&lt;wsp:rsid wsp:val=&quot;00316973&quot;/&gt;&lt;wsp:rsid wsp:val=&quot;00320497&quot;/&gt;&lt;wsp:rsid wsp:val=&quot;00320BFA&quot;/&gt;&lt;wsp:rsid wsp:val=&quot;00320C86&quot;/&gt;&lt;wsp:rsid wsp:val=&quot;003217CA&quot;/&gt;&lt;wsp:rsid wsp:val=&quot;0032195A&quot;/&gt;&lt;wsp:rsid wsp:val=&quot;00321B5D&quot;/&gt;&lt;wsp:rsid wsp:val=&quot;003224F6&quot;/&gt;&lt;wsp:rsid wsp:val=&quot;00322D70&quot;/&gt;&lt;wsp:rsid wsp:val=&quot;00322F04&quot;/&gt;&lt;wsp:rsid wsp:val=&quot;00323342&quot;/&gt;&lt;wsp:rsid wsp:val=&quot;003235D7&quot;/&gt;&lt;wsp:rsid wsp:val=&quot;003237D1&quot;/&gt;&lt;wsp:rsid wsp:val=&quot;00323AEB&quot;/&gt;&lt;wsp:rsid wsp:val=&quot;00323B27&quot;/&gt;&lt;wsp:rsid wsp:val=&quot;00323CAC&quot;/&gt;&lt;wsp:rsid wsp:val=&quot;00324278&quot;/&gt;&lt;wsp:rsid wsp:val=&quot;0032482B&quot;/&gt;&lt;wsp:rsid wsp:val=&quot;00324F85&quot;/&gt;&lt;wsp:rsid wsp:val=&quot;003251EC&quot;/&gt;&lt;wsp:rsid wsp:val=&quot;003259EF&quot;/&gt;&lt;wsp:rsid wsp:val=&quot;003264E5&quot;/&gt;&lt;wsp:rsid wsp:val=&quot;00327177&quot;/&gt;&lt;wsp:rsid wsp:val=&quot;00327C6C&quot;/&gt;&lt;wsp:rsid wsp:val=&quot;00327F5C&quot;/&gt;&lt;wsp:rsid wsp:val=&quot;00330780&quot;/&gt;&lt;wsp:rsid wsp:val=&quot;00330D07&quot;/&gt;&lt;wsp:rsid wsp:val=&quot;00330F09&quot;/&gt;&lt;wsp:rsid wsp:val=&quot;0033124F&quot;/&gt;&lt;wsp:rsid wsp:val=&quot;00331484&quot;/&gt;&lt;wsp:rsid wsp:val=&quot;003319FB&quot;/&gt;&lt;wsp:rsid wsp:val=&quot;00331AA3&quot;/&gt;&lt;wsp:rsid wsp:val=&quot;00332B36&quot;/&gt;&lt;wsp:rsid wsp:val=&quot;0033333A&quot;/&gt;&lt;wsp:rsid wsp:val=&quot;00333A9C&quot;/&gt;&lt;wsp:rsid wsp:val=&quot;00333E29&quot;/&gt;&lt;wsp:rsid wsp:val=&quot;00334224&quot;/&gt;&lt;wsp:rsid wsp:val=&quot;00334ED7&quot;/&gt;&lt;wsp:rsid wsp:val=&quot;00335022&quot;/&gt;&lt;wsp:rsid wsp:val=&quot;00335897&quot;/&gt;&lt;wsp:rsid wsp:val=&quot;00335B4A&quot;/&gt;&lt;wsp:rsid wsp:val=&quot;00335DDF&quot;/&gt;&lt;wsp:rsid wsp:val=&quot;0033627B&quot;/&gt;&lt;wsp:rsid wsp:val=&quot;0033669F&quot;/&gt;&lt;wsp:rsid wsp:val=&quot;00336A9B&quot;/&gt;&lt;wsp:rsid wsp:val=&quot;003370CD&quot;/&gt;&lt;wsp:rsid wsp:val=&quot;00337559&quot;/&gt;&lt;wsp:rsid wsp:val=&quot;00337B09&quot;/&gt;&lt;wsp:rsid wsp:val=&quot;00337D80&quot;/&gt;&lt;wsp:rsid wsp:val=&quot;00337E7F&quot;/&gt;&lt;wsp:rsid wsp:val=&quot;00340A58&quot;/&gt;&lt;wsp:rsid wsp:val=&quot;00340BA2&quot;/&gt;&lt;wsp:rsid wsp:val=&quot;00340EFB&quot;/&gt;&lt;wsp:rsid wsp:val=&quot;00340FA5&quot;/&gt;&lt;wsp:rsid wsp:val=&quot;00341794&quot;/&gt;&lt;wsp:rsid wsp:val=&quot;00341E5A&quot;/&gt;&lt;wsp:rsid wsp:val=&quot;00341FDD&quot;/&gt;&lt;wsp:rsid wsp:val=&quot;0034203B&quot;/&gt;&lt;wsp:rsid wsp:val=&quot;003428A9&quot;/&gt;&lt;wsp:rsid wsp:val=&quot;0034311C&quot;/&gt;&lt;wsp:rsid wsp:val=&quot;003435CE&quot;/&gt;&lt;wsp:rsid wsp:val=&quot;003447FC&quot;/&gt;&lt;wsp:rsid wsp:val=&quot;003455AA&quot;/&gt;&lt;wsp:rsid wsp:val=&quot;00345CE7&quot;/&gt;&lt;wsp:rsid wsp:val=&quot;00346D87&quot;/&gt;&lt;wsp:rsid wsp:val=&quot;00346FF3&quot;/&gt;&lt;wsp:rsid wsp:val=&quot;0034717B&quot;/&gt;&lt;wsp:rsid wsp:val=&quot;003474A0&quot;/&gt;&lt;wsp:rsid wsp:val=&quot;003475F9&quot;/&gt;&lt;wsp:rsid wsp:val=&quot;0034791F&quot;/&gt;&lt;wsp:rsid wsp:val=&quot;00347FA2&quot;/&gt;&lt;wsp:rsid wsp:val=&quot;00350799&quot;/&gt;&lt;wsp:rsid wsp:val=&quot;00350D7E&quot;/&gt;&lt;wsp:rsid wsp:val=&quot;00350E68&quot;/&gt;&lt;wsp:rsid wsp:val=&quot;003511D0&quot;/&gt;&lt;wsp:rsid wsp:val=&quot;00351AD4&quot;/&gt;&lt;wsp:rsid wsp:val=&quot;00351DBC&quot;/&gt;&lt;wsp:rsid wsp:val=&quot;00352074&quot;/&gt;&lt;wsp:rsid wsp:val=&quot;00352308&quot;/&gt;&lt;wsp:rsid wsp:val=&quot;00352C79&quot;/&gt;&lt;wsp:rsid wsp:val=&quot;003545D6&quot;/&gt;&lt;wsp:rsid wsp:val=&quot;003549B4&quot;/&gt;&lt;wsp:rsid wsp:val=&quot;00354F32&quot;/&gt;&lt;wsp:rsid wsp:val=&quot;003550F5&quot;/&gt;&lt;wsp:rsid wsp:val=&quot;00355815&quot;/&gt;&lt;wsp:rsid wsp:val=&quot;00360366&quot;/&gt;&lt;wsp:rsid wsp:val=&quot;00360749&quot;/&gt;&lt;wsp:rsid wsp:val=&quot;00361466&quot;/&gt;&lt;wsp:rsid wsp:val=&quot;003615B4&quot;/&gt;&lt;wsp:rsid wsp:val=&quot;00361A2D&quot;/&gt;&lt;wsp:rsid wsp:val=&quot;00361DDF&quot;/&gt;&lt;wsp:rsid wsp:val=&quot;00361FD2&quot;/&gt;&lt;wsp:rsid wsp:val=&quot;00362A64&quot;/&gt;&lt;wsp:rsid wsp:val=&quot;00362DF5&quot;/&gt;&lt;wsp:rsid wsp:val=&quot;00363B7F&quot;/&gt;&lt;wsp:rsid wsp:val=&quot;00364D86&quot;/&gt;&lt;wsp:rsid wsp:val=&quot;003652A2&quot;/&gt;&lt;wsp:rsid wsp:val=&quot;00365519&quot;/&gt;&lt;wsp:rsid wsp:val=&quot;003658A2&quot;/&gt;&lt;wsp:rsid wsp:val=&quot;00365DC9&quot;/&gt;&lt;wsp:rsid wsp:val=&quot;00366529&quot;/&gt;&lt;wsp:rsid wsp:val=&quot;003669E0&quot;/&gt;&lt;wsp:rsid wsp:val=&quot;0037038A&quot;/&gt;&lt;wsp:rsid wsp:val=&quot;00370CF6&quot;/&gt;&lt;wsp:rsid wsp:val=&quot;003710CA&quot;/&gt;&lt;wsp:rsid wsp:val=&quot;0037134B&quot;/&gt;&lt;wsp:rsid wsp:val=&quot;003717F2&quot;/&gt;&lt;wsp:rsid wsp:val=&quot;0037274C&quot;/&gt;&lt;wsp:rsid wsp:val=&quot;0037294E&quot;/&gt;&lt;wsp:rsid wsp:val=&quot;0037320E&quot;/&gt;&lt;wsp:rsid wsp:val=&quot;003733B9&quot;/&gt;&lt;wsp:rsid wsp:val=&quot;003736D9&quot;/&gt;&lt;wsp:rsid wsp:val=&quot;003748DB&quot;/&gt;&lt;wsp:rsid wsp:val=&quot;00374F90&quot;/&gt;&lt;wsp:rsid wsp:val=&quot;0037534F&quot;/&gt;&lt;wsp:rsid wsp:val=&quot;00375D6A&quot;/&gt;&lt;wsp:rsid wsp:val=&quot;00375F5E&quot;/&gt;&lt;wsp:rsid wsp:val=&quot;00376BCD&quot;/&gt;&lt;wsp:rsid wsp:val=&quot;00376CAF&quot;/&gt;&lt;wsp:rsid wsp:val=&quot;0038034B&quot;/&gt;&lt;wsp:rsid wsp:val=&quot;0038251A&quot;/&gt;&lt;wsp:rsid wsp:val=&quot;00383817&quot;/&gt;&lt;wsp:rsid wsp:val=&quot;00384075&quot;/&gt;&lt;wsp:rsid wsp:val=&quot;003840EE&quot;/&gt;&lt;wsp:rsid wsp:val=&quot;00384215&quot;/&gt;&lt;wsp:rsid wsp:val=&quot;00385BD0&quot;/&gt;&lt;wsp:rsid wsp:val=&quot;003863DA&quot;/&gt;&lt;wsp:rsid wsp:val=&quot;00387049&quot;/&gt;&lt;wsp:rsid wsp:val=&quot;00387E92&quot;/&gt;&lt;wsp:rsid wsp:val=&quot;003902BB&quot;/&gt;&lt;wsp:rsid wsp:val=&quot;003902E0&quot;/&gt;&lt;wsp:rsid wsp:val=&quot;0039052D&quot;/&gt;&lt;wsp:rsid wsp:val=&quot;00390CA1&quot;/&gt;&lt;wsp:rsid wsp:val=&quot;003911AD&quot;/&gt;&lt;wsp:rsid wsp:val=&quot;003912DD&quot;/&gt;&lt;wsp:rsid wsp:val=&quot;00392136&quot;/&gt;&lt;wsp:rsid wsp:val=&quot;00392F78&quot;/&gt;&lt;wsp:rsid wsp:val=&quot;003933D9&quot;/&gt;&lt;wsp:rsid wsp:val=&quot;00393456&quot;/&gt;&lt;wsp:rsid wsp:val=&quot;0039378A&quot;/&gt;&lt;wsp:rsid wsp:val=&quot;00393AF8&quot;/&gt;&lt;wsp:rsid wsp:val=&quot;003942AE&quot;/&gt;&lt;wsp:rsid wsp:val=&quot;00394963&quot;/&gt;&lt;wsp:rsid wsp:val=&quot;00394B3C&quot;/&gt;&lt;wsp:rsid wsp:val=&quot;0039513B&quot;/&gt;&lt;wsp:rsid wsp:val=&quot;0039515B&quot;/&gt;&lt;wsp:rsid wsp:val=&quot;0039566C&quot;/&gt;&lt;wsp:rsid wsp:val=&quot;00395F03&quot;/&gt;&lt;wsp:rsid wsp:val=&quot;00396186&quot;/&gt;&lt;wsp:rsid wsp:val=&quot;00396487&quot;/&gt;&lt;wsp:rsid wsp:val=&quot;003967C9&quot;/&gt;&lt;wsp:rsid wsp:val=&quot;003970B8&quot;/&gt;&lt;wsp:rsid wsp:val=&quot;003972C3&quot;/&gt;&lt;wsp:rsid wsp:val=&quot;00397340&quot;/&gt;&lt;wsp:rsid wsp:val=&quot;00397547&quot;/&gt;&lt;wsp:rsid wsp:val=&quot;00397E57&quot;/&gt;&lt;wsp:rsid wsp:val=&quot;00397EE7&quot;/&gt;&lt;wsp:rsid wsp:val=&quot;003A037A&quot;/&gt;&lt;wsp:rsid wsp:val=&quot;003A07AC&quot;/&gt;&lt;wsp:rsid wsp:val=&quot;003A0E4E&quot;/&gt;&lt;wsp:rsid wsp:val=&quot;003A11F4&quot;/&gt;&lt;wsp:rsid wsp:val=&quot;003A16F7&quot;/&gt;&lt;wsp:rsid wsp:val=&quot;003A2953&quot;/&gt;&lt;wsp:rsid wsp:val=&quot;003A308A&quot;/&gt;&lt;wsp:rsid wsp:val=&quot;003A401B&quot;/&gt;&lt;wsp:rsid wsp:val=&quot;003A4FE1&quot;/&gt;&lt;wsp:rsid wsp:val=&quot;003A630E&quot;/&gt;&lt;wsp:rsid wsp:val=&quot;003A677D&quot;/&gt;&lt;wsp:rsid wsp:val=&quot;003A6911&quot;/&gt;&lt;wsp:rsid wsp:val=&quot;003A7399&quot;/&gt;&lt;wsp:rsid wsp:val=&quot;003A73C5&quot;/&gt;&lt;wsp:rsid wsp:val=&quot;003A78E0&quot;/&gt;&lt;wsp:rsid wsp:val=&quot;003A79B0&quot;/&gt;&lt;wsp:rsid wsp:val=&quot;003A7CC1&quot;/&gt;&lt;wsp:rsid wsp:val=&quot;003B004B&quot;/&gt;&lt;wsp:rsid wsp:val=&quot;003B010E&quot;/&gt;&lt;wsp:rsid wsp:val=&quot;003B0252&quot;/&gt;&lt;wsp:rsid wsp:val=&quot;003B052F&quot;/&gt;&lt;wsp:rsid wsp:val=&quot;003B0632&quot;/&gt;&lt;wsp:rsid wsp:val=&quot;003B07F1&quot;/&gt;&lt;wsp:rsid wsp:val=&quot;003B07F9&quot;/&gt;&lt;wsp:rsid wsp:val=&quot;003B0E13&quot;/&gt;&lt;wsp:rsid wsp:val=&quot;003B17DE&quot;/&gt;&lt;wsp:rsid wsp:val=&quot;003B1B60&quot;/&gt;&lt;wsp:rsid wsp:val=&quot;003B2525&quot;/&gt;&lt;wsp:rsid wsp:val=&quot;003B2AE9&quot;/&gt;&lt;wsp:rsid wsp:val=&quot;003B2CF0&quot;/&gt;&lt;wsp:rsid wsp:val=&quot;003B2FFF&quot;/&gt;&lt;wsp:rsid wsp:val=&quot;003B3545&quot;/&gt;&lt;wsp:rsid wsp:val=&quot;003B3B67&quot;/&gt;&lt;wsp:rsid wsp:val=&quot;003B46DD&quot;/&gt;&lt;wsp:rsid wsp:val=&quot;003B531D&quot;/&gt;&lt;wsp:rsid wsp:val=&quot;003B577D&quot;/&gt;&lt;wsp:rsid wsp:val=&quot;003B5CD0&quot;/&gt;&lt;wsp:rsid wsp:val=&quot;003B727D&quot;/&gt;&lt;wsp:rsid wsp:val=&quot;003B7562&quot;/&gt;&lt;wsp:rsid wsp:val=&quot;003B7DEE&quot;/&gt;&lt;wsp:rsid wsp:val=&quot;003C17F0&quot;/&gt;&lt;wsp:rsid wsp:val=&quot;003C1CDC&quot;/&gt;&lt;wsp:rsid wsp:val=&quot;003C1FE2&quot;/&gt;&lt;wsp:rsid wsp:val=&quot;003C3766&quot;/&gt;&lt;wsp:rsid wsp:val=&quot;003C39CE&quot;/&gt;&lt;wsp:rsid wsp:val=&quot;003C3B73&quot;/&gt;&lt;wsp:rsid wsp:val=&quot;003C3B93&quot;/&gt;&lt;wsp:rsid wsp:val=&quot;003C3BDE&quot;/&gt;&lt;wsp:rsid wsp:val=&quot;003C45CF&quot;/&gt;&lt;wsp:rsid wsp:val=&quot;003C55C4&quot;/&gt;&lt;wsp:rsid wsp:val=&quot;003C5E09&quot;/&gt;&lt;wsp:rsid wsp:val=&quot;003C6A4B&quot;/&gt;&lt;wsp:rsid wsp:val=&quot;003C6A9C&quot;/&gt;&lt;wsp:rsid wsp:val=&quot;003C6B11&quot;/&gt;&lt;wsp:rsid wsp:val=&quot;003C71F8&quot;/&gt;&lt;wsp:rsid wsp:val=&quot;003C7791&quot;/&gt;&lt;wsp:rsid wsp:val=&quot;003D025F&quot;/&gt;&lt;wsp:rsid wsp:val=&quot;003D0FCE&quot;/&gt;&lt;wsp:rsid wsp:val=&quot;003D1B3F&quot;/&gt;&lt;wsp:rsid wsp:val=&quot;003D1D21&quot;/&gt;&lt;wsp:rsid wsp:val=&quot;003D2D9D&quot;/&gt;&lt;wsp:rsid wsp:val=&quot;003D35FF&quot;/&gt;&lt;wsp:rsid wsp:val=&quot;003D3A1A&quot;/&gt;&lt;wsp:rsid wsp:val=&quot;003D3C37&quot;/&gt;&lt;wsp:rsid wsp:val=&quot;003D496C&quot;/&gt;&lt;wsp:rsid wsp:val=&quot;003D4A0B&quot;/&gt;&lt;wsp:rsid wsp:val=&quot;003D4C34&quot;/&gt;&lt;wsp:rsid wsp:val=&quot;003D74B0&quot;/&gt;&lt;wsp:rsid wsp:val=&quot;003D7C19&quot;/&gt;&lt;wsp:rsid wsp:val=&quot;003D7F16&quot;/&gt;&lt;wsp:rsid wsp:val=&quot;003E04A1&quot;/&gt;&lt;wsp:rsid wsp:val=&quot;003E0AD0&quot;/&gt;&lt;wsp:rsid wsp:val=&quot;003E1969&quot;/&gt;&lt;wsp:rsid wsp:val=&quot;003E42BF&quot;/&gt;&lt;wsp:rsid wsp:val=&quot;003E454B&quot;/&gt;&lt;wsp:rsid wsp:val=&quot;003E45C9&quot;/&gt;&lt;wsp:rsid wsp:val=&quot;003E4CAD&quot;/&gt;&lt;wsp:rsid wsp:val=&quot;003E4F3A&quot;/&gt;&lt;wsp:rsid wsp:val=&quot;003E577F&quot;/&gt;&lt;wsp:rsid wsp:val=&quot;003E5F70&quot;/&gt;&lt;wsp:rsid wsp:val=&quot;003E66D1&quot;/&gt;&lt;wsp:rsid wsp:val=&quot;003E6818&quot;/&gt;&lt;wsp:rsid wsp:val=&quot;003E6B91&quot;/&gt;&lt;wsp:rsid wsp:val=&quot;003E72D6&quot;/&gt;&lt;wsp:rsid wsp:val=&quot;003E7BF6&quot;/&gt;&lt;wsp:rsid wsp:val=&quot;003F0025&quot;/&gt;&lt;wsp:rsid wsp:val=&quot;003F0F38&quot;/&gt;&lt;wsp:rsid wsp:val=&quot;003F11F7&quot;/&gt;&lt;wsp:rsid wsp:val=&quot;003F1897&quot;/&gt;&lt;wsp:rsid wsp:val=&quot;003F18C6&quot;/&gt;&lt;wsp:rsid wsp:val=&quot;003F1A9F&quot;/&gt;&lt;wsp:rsid wsp:val=&quot;003F2CE6&quot;/&gt;&lt;wsp:rsid wsp:val=&quot;003F361D&quot;/&gt;&lt;wsp:rsid wsp:val=&quot;003F36A6&quot;/&gt;&lt;wsp:rsid wsp:val=&quot;003F38DB&quot;/&gt;&lt;wsp:rsid wsp:val=&quot;003F3B00&quot;/&gt;&lt;wsp:rsid wsp:val=&quot;003F3C97&quot;/&gt;&lt;wsp:rsid wsp:val=&quot;003F46CA&quot;/&gt;&lt;wsp:rsid wsp:val=&quot;003F4C47&quot;/&gt;&lt;wsp:rsid wsp:val=&quot;003F62DB&quot;/&gt;&lt;wsp:rsid wsp:val=&quot;003F69E1&quot;/&gt;&lt;wsp:rsid wsp:val=&quot;00400000&quot;/&gt;&lt;wsp:rsid wsp:val=&quot;0040191E&quot;/&gt;&lt;wsp:rsid wsp:val=&quot;00401BB0&quot;/&gt;&lt;wsp:rsid wsp:val=&quot;004022C4&quot;/&gt;&lt;wsp:rsid wsp:val=&quot;00402773&quot;/&gt;&lt;wsp:rsid wsp:val=&quot;004029A0&quot;/&gt;&lt;wsp:rsid wsp:val=&quot;00402A3E&quot;/&gt;&lt;wsp:rsid wsp:val=&quot;00403207&quot;/&gt;&lt;wsp:rsid wsp:val=&quot;0040339A&quot;/&gt;&lt;wsp:rsid wsp:val=&quot;004033C8&quot;/&gt;&lt;wsp:rsid wsp:val=&quot;004057C3&quot;/&gt;&lt;wsp:rsid wsp:val=&quot;0040618D&quot;/&gt;&lt;wsp:rsid wsp:val=&quot;004065EF&quot;/&gt;&lt;wsp:rsid wsp:val=&quot;00406D33&quot;/&gt;&lt;wsp:rsid wsp:val=&quot;0040700D&quot;/&gt;&lt;wsp:rsid wsp:val=&quot;0040707C&quot;/&gt;&lt;wsp:rsid wsp:val=&quot;00407381&quot;/&gt;&lt;wsp:rsid wsp:val=&quot;00407AF0&quot;/&gt;&lt;wsp:rsid wsp:val=&quot;00407BCE&quot;/&gt;&lt;wsp:rsid wsp:val=&quot;004108EA&quot;/&gt;&lt;wsp:rsid wsp:val=&quot;00410D0B&quot;/&gt;&lt;wsp:rsid wsp:val=&quot;00410F66&quot;/&gt;&lt;wsp:rsid wsp:val=&quot;0041131F&quot;/&gt;&lt;wsp:rsid wsp:val=&quot;00412002&quot;/&gt;&lt;wsp:rsid wsp:val=&quot;00412099&quot;/&gt;&lt;wsp:rsid wsp:val=&quot;004122C3&quot;/&gt;&lt;wsp:rsid wsp:val=&quot;004123B1&quot;/&gt;&lt;wsp:rsid wsp:val=&quot;004123EA&quot;/&gt;&lt;wsp:rsid wsp:val=&quot;004129F2&quot;/&gt;&lt;wsp:rsid wsp:val=&quot;00412DD6&quot;/&gt;&lt;wsp:rsid wsp:val=&quot;0041321F&quot;/&gt;&lt;wsp:rsid wsp:val=&quot;00413B54&quot;/&gt;&lt;wsp:rsid wsp:val=&quot;004147C8&quot;/&gt;&lt;wsp:rsid wsp:val=&quot;004150F0&quot;/&gt;&lt;wsp:rsid wsp:val=&quot;00415546&quot;/&gt;&lt;wsp:rsid wsp:val=&quot;00415A39&quot;/&gt;&lt;wsp:rsid wsp:val=&quot;0041694D&quot;/&gt;&lt;wsp:rsid wsp:val=&quot;00416B4F&quot;/&gt;&lt;wsp:rsid wsp:val=&quot;00416C4A&quot;/&gt;&lt;wsp:rsid wsp:val=&quot;00417D07&quot;/&gt;&lt;wsp:rsid wsp:val=&quot;00417DC0&quot;/&gt;&lt;wsp:rsid wsp:val=&quot;0042191F&quot;/&gt;&lt;wsp:rsid wsp:val=&quot;00421E1B&quot;/&gt;&lt;wsp:rsid wsp:val=&quot;00422454&quot;/&gt;&lt;wsp:rsid wsp:val=&quot;00422760&quot;/&gt;&lt;wsp:rsid wsp:val=&quot;004233C2&quot;/&gt;&lt;wsp:rsid wsp:val=&quot;00423A5C&quot;/&gt;&lt;wsp:rsid wsp:val=&quot;0042416D&quot;/&gt;&lt;wsp:rsid wsp:val=&quot;004244CD&quot;/&gt;&lt;wsp:rsid wsp:val=&quot;004246F8&quot;/&gt;&lt;wsp:rsid wsp:val=&quot;00424E79&quot;/&gt;&lt;wsp:rsid wsp:val=&quot;0042503D&quot;/&gt;&lt;wsp:rsid wsp:val=&quot;00425067&quot;/&gt;&lt;wsp:rsid wsp:val=&quot;00425A89&quot;/&gt;&lt;wsp:rsid wsp:val=&quot;00426A97&quot;/&gt;&lt;wsp:rsid wsp:val=&quot;00426AE3&quot;/&gt;&lt;wsp:rsid wsp:val=&quot;00426C80&quot;/&gt;&lt;wsp:rsid wsp:val=&quot;00427548&quot;/&gt;&lt;wsp:rsid wsp:val=&quot;00427986&quot;/&gt;&lt;wsp:rsid wsp:val=&quot;0043030F&quot;/&gt;&lt;wsp:rsid wsp:val=&quot;004304BD&quot;/&gt;&lt;wsp:rsid wsp:val=&quot;00430E2F&quot;/&gt;&lt;wsp:rsid wsp:val=&quot;00431C58&quot;/&gt;&lt;wsp:rsid wsp:val=&quot;004322B9&quot;/&gt;&lt;wsp:rsid wsp:val=&quot;0043283E&quot;/&gt;&lt;wsp:rsid wsp:val=&quot;00432B84&quot;/&gt;&lt;wsp:rsid wsp:val=&quot;00432E84&quot;/&gt;&lt;wsp:rsid wsp:val=&quot;00433012&quot;/&gt;&lt;wsp:rsid wsp:val=&quot;004334CE&quot;/&gt;&lt;wsp:rsid wsp:val=&quot;00433512&quot;/&gt;&lt;wsp:rsid wsp:val=&quot;004336C5&quot;/&gt;&lt;wsp:rsid wsp:val=&quot;00433CD8&quot;/&gt;&lt;wsp:rsid wsp:val=&quot;00434CCA&quot;/&gt;&lt;wsp:rsid wsp:val=&quot;00434E7B&quot;/&gt;&lt;wsp:rsid wsp:val=&quot;0043518F&quot;/&gt;&lt;wsp:rsid wsp:val=&quot;00435A5E&quot;/&gt;&lt;wsp:rsid wsp:val=&quot;0043612A&quot;/&gt;&lt;wsp:rsid wsp:val=&quot;00436C87&quot;/&gt;&lt;wsp:rsid wsp:val=&quot;00436C8A&quot;/&gt;&lt;wsp:rsid wsp:val=&quot;00437113&quot;/&gt;&lt;wsp:rsid wsp:val=&quot;0043755D&quot;/&gt;&lt;wsp:rsid wsp:val=&quot;00440094&quot;/&gt;&lt;wsp:rsid wsp:val=&quot;00440E55&quot;/&gt;&lt;wsp:rsid wsp:val=&quot;004411E0&quot;/&gt;&lt;wsp:rsid wsp:val=&quot;004417D6&quot;/&gt;&lt;wsp:rsid wsp:val=&quot;004418EF&quot;/&gt;&lt;wsp:rsid wsp:val=&quot;00441ADE&quot;/&gt;&lt;wsp:rsid wsp:val=&quot;00441D35&quot;/&gt;&lt;wsp:rsid wsp:val=&quot;00441EFF&quot;/&gt;&lt;wsp:rsid wsp:val=&quot;004423C8&quot;/&gt;&lt;wsp:rsid wsp:val=&quot;00442587&quot;/&gt;&lt;wsp:rsid wsp:val=&quot;004429CF&quot;/&gt;&lt;wsp:rsid wsp:val=&quot;00442A4B&quot;/&gt;&lt;wsp:rsid wsp:val=&quot;00443F0A&quot;/&gt;&lt;wsp:rsid wsp:val=&quot;004442D2&quot;/&gt;&lt;wsp:rsid wsp:val=&quot;00444793&quot;/&gt;&lt;wsp:rsid wsp:val=&quot;004449B0&quot;/&gt;&lt;wsp:rsid wsp:val=&quot;00444A33&quot;/&gt;&lt;wsp:rsid wsp:val=&quot;00444D4B&quot;/&gt;&lt;wsp:rsid wsp:val=&quot;00444E50&quot;/&gt;&lt;wsp:rsid wsp:val=&quot;00444ED1&quot;/&gt;&lt;wsp:rsid wsp:val=&quot;0044513E&quot;/&gt;&lt;wsp:rsid wsp:val=&quot;004454F4&quot;/&gt;&lt;wsp:rsid wsp:val=&quot;00445A1F&quot;/&gt;&lt;wsp:rsid wsp:val=&quot;0044622D&quot;/&gt;&lt;wsp:rsid wsp:val=&quot;00446736&quot;/&gt;&lt;wsp:rsid wsp:val=&quot;00446C38&quot;/&gt;&lt;wsp:rsid wsp:val=&quot;00446E3A&quot;/&gt;&lt;wsp:rsid wsp:val=&quot;00446E59&quot;/&gt;&lt;wsp:rsid wsp:val=&quot;00446FBF&quot;/&gt;&lt;wsp:rsid wsp:val=&quot;0044785A&quot;/&gt;&lt;wsp:rsid wsp:val=&quot;004478F0&quot;/&gt;&lt;wsp:rsid wsp:val=&quot;0045048A&quot;/&gt;&lt;wsp:rsid wsp:val=&quot;00450BD0&quot;/&gt;&lt;wsp:rsid wsp:val=&quot;00450E3C&quot;/&gt;&lt;wsp:rsid wsp:val=&quot;00450FD9&quot;/&gt;&lt;wsp:rsid wsp:val=&quot;00451CE9&quot;/&gt;&lt;wsp:rsid wsp:val=&quot;00451DCA&quot;/&gt;&lt;wsp:rsid wsp:val=&quot;00452274&quot;/&gt;&lt;wsp:rsid wsp:val=&quot;004529B6&quot;/&gt;&lt;wsp:rsid wsp:val=&quot;0045335D&quot;/&gt;&lt;wsp:rsid wsp:val=&quot;0045398E&quot;/&gt;&lt;wsp:rsid wsp:val=&quot;00454682&quot;/&gt;&lt;wsp:rsid wsp:val=&quot;00455647&quot;/&gt;&lt;wsp:rsid wsp:val=&quot;004557F7&quot;/&gt;&lt;wsp:rsid wsp:val=&quot;004559C9&quot;/&gt;&lt;wsp:rsid wsp:val=&quot;004559FE&quot;/&gt;&lt;wsp:rsid wsp:val=&quot;00455B78&quot;/&gt;&lt;wsp:rsid wsp:val=&quot;0045675E&quot;/&gt;&lt;wsp:rsid wsp:val=&quot;004567C6&quot;/&gt;&lt;wsp:rsid wsp:val=&quot;00456851&quot;/&gt;&lt;wsp:rsid wsp:val=&quot;00456B43&quot;/&gt;&lt;wsp:rsid wsp:val=&quot;00456F62&quot;/&gt;&lt;wsp:rsid wsp:val=&quot;00457DB4&quot;/&gt;&lt;wsp:rsid wsp:val=&quot;004602B4&quot;/&gt;&lt;wsp:rsid wsp:val=&quot;0046070B&quot;/&gt;&lt;wsp:rsid wsp:val=&quot;00460994&quot;/&gt;&lt;wsp:rsid wsp:val=&quot;00461226&quot;/&gt;&lt;wsp:rsid wsp:val=&quot;004618AC&quot;/&gt;&lt;wsp:rsid wsp:val=&quot;00461B20&quot;/&gt;&lt;wsp:rsid wsp:val=&quot;00461D20&quot;/&gt;&lt;wsp:rsid wsp:val=&quot;00462F06&quot;/&gt;&lt;wsp:rsid wsp:val=&quot;00463A7F&quot;/&gt;&lt;wsp:rsid wsp:val=&quot;00463BBF&quot;/&gt;&lt;wsp:rsid wsp:val=&quot;00463F23&quot;/&gt;&lt;wsp:rsid wsp:val=&quot;00465272&quot;/&gt;&lt;wsp:rsid wsp:val=&quot;00465C62&quot;/&gt;&lt;wsp:rsid wsp:val=&quot;00465DC5&quot;/&gt;&lt;wsp:rsid wsp:val=&quot;00465EC5&quot;/&gt;&lt;wsp:rsid wsp:val=&quot;004669A4&quot;/&gt;&lt;wsp:rsid wsp:val=&quot;0046726B&quot;/&gt;&lt;wsp:rsid wsp:val=&quot;00467FC5&quot;/&gt;&lt;wsp:rsid wsp:val=&quot;00470B79&quot;/&gt;&lt;wsp:rsid wsp:val=&quot;00470F20&quot;/&gt;&lt;wsp:rsid wsp:val=&quot;004713A4&quot;/&gt;&lt;wsp:rsid wsp:val=&quot;00471C09&quot;/&gt;&lt;wsp:rsid wsp:val=&quot;00471C8D&quot;/&gt;&lt;wsp:rsid wsp:val=&quot;004733B1&quot;/&gt;&lt;wsp:rsid wsp:val=&quot;004736C3&quot;/&gt;&lt;wsp:rsid wsp:val=&quot;004741AF&quot;/&gt;&lt;wsp:rsid wsp:val=&quot;00474C8E&quot;/&gt;&lt;wsp:rsid wsp:val=&quot;0047545E&quot;/&gt;&lt;wsp:rsid wsp:val=&quot;00475806&quot;/&gt;&lt;wsp:rsid wsp:val=&quot;00475D2A&quot;/&gt;&lt;wsp:rsid wsp:val=&quot;00475DC8&quot;/&gt;&lt;wsp:rsid wsp:val=&quot;004771E5&quot;/&gt;&lt;wsp:rsid wsp:val=&quot;0048028A&quot;/&gt;&lt;wsp:rsid wsp:val=&quot;0048043C&quot;/&gt;&lt;wsp:rsid wsp:val=&quot;00480AD6&quot;/&gt;&lt;wsp:rsid wsp:val=&quot;00480E6D&quot;/&gt;&lt;wsp:rsid wsp:val=&quot;00481816&quot;/&gt;&lt;wsp:rsid wsp:val=&quot;00481C43&quot;/&gt;&lt;wsp:rsid wsp:val=&quot;00481DBC&quot;/&gt;&lt;wsp:rsid wsp:val=&quot;00482AFC&quot;/&gt;&lt;wsp:rsid wsp:val=&quot;00483030&quot;/&gt;&lt;wsp:rsid wsp:val=&quot;00483B3D&quot;/&gt;&lt;wsp:rsid wsp:val=&quot;00484225&quot;/&gt;&lt;wsp:rsid wsp:val=&quot;0048468A&quot;/&gt;&lt;wsp:rsid wsp:val=&quot;00485200&quot;/&gt;&lt;wsp:rsid wsp:val=&quot;004858F0&quot;/&gt;&lt;wsp:rsid wsp:val=&quot;004859B8&quot;/&gt;&lt;wsp:rsid wsp:val=&quot;00485FCE&quot;/&gt;&lt;wsp:rsid wsp:val=&quot;00485FDF&quot;/&gt;&lt;wsp:rsid wsp:val=&quot;004868CB&quot;/&gt;&lt;wsp:rsid wsp:val=&quot;004873C7&quot;/&gt;&lt;wsp:rsid wsp:val=&quot;00490BC7&quot;/&gt;&lt;wsp:rsid wsp:val=&quot;00490D0B&quot;/&gt;&lt;wsp:rsid wsp:val=&quot;00491481&quot;/&gt;&lt;wsp:rsid wsp:val=&quot;004915A5&quot;/&gt;&lt;wsp:rsid wsp:val=&quot;004917EE&quot;/&gt;&lt;wsp:rsid wsp:val=&quot;00493AC4&quot;/&gt;&lt;wsp:rsid wsp:val=&quot;00493C58&quot;/&gt;&lt;wsp:rsid wsp:val=&quot;00494803&quot;/&gt;&lt;wsp:rsid wsp:val=&quot;00494B5F&quot;/&gt;&lt;wsp:rsid wsp:val=&quot;00494EE5&quot;/&gt;&lt;wsp:rsid wsp:val=&quot;00494F78&quot;/&gt;&lt;wsp:rsid wsp:val=&quot;00495306&quot;/&gt;&lt;wsp:rsid wsp:val=&quot;0049545C&quot;/&gt;&lt;wsp:rsid wsp:val=&quot;00495561&quot;/&gt;&lt;wsp:rsid wsp:val=&quot;00495ECD&quot;/&gt;&lt;wsp:rsid wsp:val=&quot;00496289&quot;/&gt;&lt;wsp:rsid wsp:val=&quot;00496F2D&quot;/&gt;&lt;wsp:rsid wsp:val=&quot;0049785D&quot;/&gt;&lt;wsp:rsid wsp:val=&quot;00497E35&quot;/&gt;&lt;wsp:rsid wsp:val=&quot;004A01F6&quot;/&gt;&lt;wsp:rsid wsp:val=&quot;004A0458&quot;/&gt;&lt;wsp:rsid wsp:val=&quot;004A05E9&quot;/&gt;&lt;wsp:rsid wsp:val=&quot;004A0844&quot;/&gt;&lt;wsp:rsid wsp:val=&quot;004A0D70&quot;/&gt;&lt;wsp:rsid wsp:val=&quot;004A0ED3&quot;/&gt;&lt;wsp:rsid wsp:val=&quot;004A119D&quot;/&gt;&lt;wsp:rsid wsp:val=&quot;004A1363&quot;/&gt;&lt;wsp:rsid wsp:val=&quot;004A1B33&quot;/&gt;&lt;wsp:rsid wsp:val=&quot;004A1EEF&quot;/&gt;&lt;wsp:rsid wsp:val=&quot;004A25F7&quot;/&gt;&lt;wsp:rsid wsp:val=&quot;004A29C9&quot;/&gt;&lt;wsp:rsid wsp:val=&quot;004A2B19&quot;/&gt;&lt;wsp:rsid wsp:val=&quot;004A2F33&quot;/&gt;&lt;wsp:rsid wsp:val=&quot;004A34DA&quot;/&gt;&lt;wsp:rsid wsp:val=&quot;004A3681&quot;/&gt;&lt;wsp:rsid wsp:val=&quot;004A41A9&quot;/&gt;&lt;wsp:rsid wsp:val=&quot;004A4636&quot;/&gt;&lt;wsp:rsid wsp:val=&quot;004A5A80&quot;/&gt;&lt;wsp:rsid wsp:val=&quot;004A62F6&quot;/&gt;&lt;wsp:rsid wsp:val=&quot;004A683A&quot;/&gt;&lt;wsp:rsid wsp:val=&quot;004A6863&quot;/&gt;&lt;wsp:rsid wsp:val=&quot;004A6F14&quot;/&gt;&lt;wsp:rsid wsp:val=&quot;004A766A&quot;/&gt;&lt;wsp:rsid wsp:val=&quot;004A7B38&quot;/&gt;&lt;wsp:rsid wsp:val=&quot;004B2332&quot;/&gt;&lt;wsp:rsid wsp:val=&quot;004B235A&quot;/&gt;&lt;wsp:rsid wsp:val=&quot;004B2BC4&quot;/&gt;&lt;wsp:rsid wsp:val=&quot;004B2C4C&quot;/&gt;&lt;wsp:rsid wsp:val=&quot;004B3BFA&quot;/&gt;&lt;wsp:rsid wsp:val=&quot;004B4232&quot;/&gt;&lt;wsp:rsid wsp:val=&quot;004B45DE&quot;/&gt;&lt;wsp:rsid wsp:val=&quot;004B49FC&quot;/&gt;&lt;wsp:rsid wsp:val=&quot;004B4B8F&quot;/&gt;&lt;wsp:rsid wsp:val=&quot;004B5131&quot;/&gt;&lt;wsp:rsid wsp:val=&quot;004B5AD6&quot;/&gt;&lt;wsp:rsid wsp:val=&quot;004B5EB5&quot;/&gt;&lt;wsp:rsid wsp:val=&quot;004B6562&quot;/&gt;&lt;wsp:rsid wsp:val=&quot;004B7C20&quot;/&gt;&lt;wsp:rsid wsp:val=&quot;004C13B0&quot;/&gt;&lt;wsp:rsid wsp:val=&quot;004C141E&quot;/&gt;&lt;wsp:rsid wsp:val=&quot;004C1A21&quot;/&gt;&lt;wsp:rsid wsp:val=&quot;004C1B55&quot;/&gt;&lt;wsp:rsid wsp:val=&quot;004C2834&quot;/&gt;&lt;wsp:rsid wsp:val=&quot;004C386B&quot;/&gt;&lt;wsp:rsid wsp:val=&quot;004C39C6&quot;/&gt;&lt;wsp:rsid wsp:val=&quot;004C4483&quot;/&gt;&lt;wsp:rsid wsp:val=&quot;004C481F&quot;/&gt;&lt;wsp:rsid wsp:val=&quot;004C4A70&quot;/&gt;&lt;wsp:rsid wsp:val=&quot;004C4D19&quot;/&gt;&lt;wsp:rsid wsp:val=&quot;004C64B0&quot;/&gt;&lt;wsp:rsid wsp:val=&quot;004C6DFA&quot;/&gt;&lt;wsp:rsid wsp:val=&quot;004C720A&quot;/&gt;&lt;wsp:rsid wsp:val=&quot;004C72F9&quot;/&gt;&lt;wsp:rsid wsp:val=&quot;004C77F8&quot;/&gt;&lt;wsp:rsid wsp:val=&quot;004C7AF8&quot;/&gt;&lt;wsp:rsid wsp:val=&quot;004C7B37&quot;/&gt;&lt;wsp:rsid wsp:val=&quot;004D006F&quot;/&gt;&lt;wsp:rsid wsp:val=&quot;004D0599&quot;/&gt;&lt;wsp:rsid wsp:val=&quot;004D091E&quot;/&gt;&lt;wsp:rsid wsp:val=&quot;004D0B8F&quot;/&gt;&lt;wsp:rsid wsp:val=&quot;004D0CAE&quot;/&gt;&lt;wsp:rsid wsp:val=&quot;004D161E&quot;/&gt;&lt;wsp:rsid wsp:val=&quot;004D2848&quot;/&gt;&lt;wsp:rsid wsp:val=&quot;004D2986&quot;/&gt;&lt;wsp:rsid wsp:val=&quot;004D29B7&quot;/&gt;&lt;wsp:rsid wsp:val=&quot;004D3202&quot;/&gt;&lt;wsp:rsid wsp:val=&quot;004D51BC&quot;/&gt;&lt;wsp:rsid wsp:val=&quot;004D53F5&quot;/&gt;&lt;wsp:rsid wsp:val=&quot;004D584B&quot;/&gt;&lt;wsp:rsid wsp:val=&quot;004D6444&quot;/&gt;&lt;wsp:rsid wsp:val=&quot;004D64FC&quot;/&gt;&lt;wsp:rsid wsp:val=&quot;004D68AB&quot;/&gt;&lt;wsp:rsid wsp:val=&quot;004D6B94&quot;/&gt;&lt;wsp:rsid wsp:val=&quot;004D6D69&quot;/&gt;&lt;wsp:rsid wsp:val=&quot;004D7F33&quot;/&gt;&lt;wsp:rsid wsp:val=&quot;004E0C3B&quot;/&gt;&lt;wsp:rsid wsp:val=&quot;004E26F2&quot;/&gt;&lt;wsp:rsid wsp:val=&quot;004E2C1B&quot;/&gt;&lt;wsp:rsid wsp:val=&quot;004E36AB&quot;/&gt;&lt;wsp:rsid wsp:val=&quot;004E4018&quot;/&gt;&lt;wsp:rsid wsp:val=&quot;004E414E&quot;/&gt;&lt;wsp:rsid wsp:val=&quot;004E4165&quot;/&gt;&lt;wsp:rsid wsp:val=&quot;004E59ED&quot;/&gt;&lt;wsp:rsid wsp:val=&quot;004E6B95&quot;/&gt;&lt;wsp:rsid wsp:val=&quot;004E71E8&quot;/&gt;&lt;wsp:rsid wsp:val=&quot;004E753B&quot;/&gt;&lt;wsp:rsid wsp:val=&quot;004E7F8B&quot;/&gt;&lt;wsp:rsid wsp:val=&quot;004F06F8&quot;/&gt;&lt;wsp:rsid wsp:val=&quot;004F0BC6&quot;/&gt;&lt;wsp:rsid wsp:val=&quot;004F0D8A&quot;/&gt;&lt;wsp:rsid wsp:val=&quot;004F135D&quot;/&gt;&lt;wsp:rsid wsp:val=&quot;004F1A4C&quot;/&gt;&lt;wsp:rsid wsp:val=&quot;004F2552&quot;/&gt;&lt;wsp:rsid wsp:val=&quot;004F260E&quot;/&gt;&lt;wsp:rsid wsp:val=&quot;004F28A2&quot;/&gt;&lt;wsp:rsid wsp:val=&quot;004F2C5D&quot;/&gt;&lt;wsp:rsid wsp:val=&quot;004F3340&quot;/&gt;&lt;wsp:rsid wsp:val=&quot;004F3478&quot;/&gt;&lt;wsp:rsid wsp:val=&quot;004F3D02&quot;/&gt;&lt;wsp:rsid wsp:val=&quot;004F499D&quot;/&gt;&lt;wsp:rsid wsp:val=&quot;004F546C&quot;/&gt;&lt;wsp:rsid wsp:val=&quot;004F5814&quot;/&gt;&lt;wsp:rsid wsp:val=&quot;004F5BEC&quot;/&gt;&lt;wsp:rsid wsp:val=&quot;004F6259&quot;/&gt;&lt;wsp:rsid wsp:val=&quot;004F6401&quot;/&gt;&lt;wsp:rsid wsp:val=&quot;004F6899&quot;/&gt;&lt;wsp:rsid wsp:val=&quot;004F6972&quot;/&gt;&lt;wsp:rsid wsp:val=&quot;004F6E99&quot;/&gt;&lt;wsp:rsid wsp:val=&quot;004F7A63&quot;/&gt;&lt;wsp:rsid wsp:val=&quot;00500159&quot;/&gt;&lt;wsp:rsid wsp:val=&quot;005013ED&quot;/&gt;&lt;wsp:rsid wsp:val=&quot;00502060&quot;/&gt;&lt;wsp:rsid wsp:val=&quot;005032C9&quot;/&gt;&lt;wsp:rsid wsp:val=&quot;00503939&quot;/&gt;&lt;wsp:rsid wsp:val=&quot;00503A77&quot;/&gt;&lt;wsp:rsid wsp:val=&quot;00504193&quot;/&gt;&lt;wsp:rsid wsp:val=&quot;005050F2&quot;/&gt;&lt;wsp:rsid wsp:val=&quot;00505FC5&quot;/&gt;&lt;wsp:rsid wsp:val=&quot;00506566&quot;/&gt;&lt;wsp:rsid wsp:val=&quot;005066D7&quot;/&gt;&lt;wsp:rsid wsp:val=&quot;00506B07&quot;/&gt;&lt;wsp:rsid wsp:val=&quot;0050728E&quot;/&gt;&lt;wsp:rsid wsp:val=&quot;005103A6&quot;/&gt;&lt;wsp:rsid wsp:val=&quot;00510584&quot;/&gt;&lt;wsp:rsid wsp:val=&quot;00510CA7&quot;/&gt;&lt;wsp:rsid wsp:val=&quot;00511392&quot;/&gt;&lt;wsp:rsid wsp:val=&quot;0051205B&quot;/&gt;&lt;wsp:rsid wsp:val=&quot;00512F78&quot;/&gt;&lt;wsp:rsid wsp:val=&quot;0051349E&quot;/&gt;&lt;wsp:rsid wsp:val=&quot;00513EE2&quot;/&gt;&lt;wsp:rsid wsp:val=&quot;00514083&quot;/&gt;&lt;wsp:rsid wsp:val=&quot;0051409A&quot;/&gt;&lt;wsp:rsid wsp:val=&quot;00514461&quot;/&gt;&lt;wsp:rsid wsp:val=&quot;005149D0&quot;/&gt;&lt;wsp:rsid wsp:val=&quot;00514C96&quot;/&gt;&lt;wsp:rsid wsp:val=&quot;0051532C&quot;/&gt;&lt;wsp:rsid wsp:val=&quot;00517415&quot;/&gt;&lt;wsp:rsid wsp:val=&quot;00517CAD&quot;/&gt;&lt;wsp:rsid wsp:val=&quot;00517F9B&quot;/&gt;&lt;wsp:rsid wsp:val=&quot;005200B3&quot;/&gt;&lt;wsp:rsid wsp:val=&quot;005207BD&quot;/&gt;&lt;wsp:rsid wsp:val=&quot;00521188&quot;/&gt;&lt;wsp:rsid wsp:val=&quot;0052190B&quot;/&gt;&lt;wsp:rsid wsp:val=&quot;0052221E&quot;/&gt;&lt;wsp:rsid wsp:val=&quot;00522A02&quot;/&gt;&lt;wsp:rsid wsp:val=&quot;00522C3F&quot;/&gt;&lt;wsp:rsid wsp:val=&quot;00523004&quot;/&gt;&lt;wsp:rsid wsp:val=&quot;00523CF2&quot;/&gt;&lt;wsp:rsid wsp:val=&quot;00524258&quot;/&gt;&lt;wsp:rsid wsp:val=&quot;00524486&quot;/&gt;&lt;wsp:rsid wsp:val=&quot;00524AB5&quot;/&gt;&lt;wsp:rsid wsp:val=&quot;005255B4&quot;/&gt;&lt;wsp:rsid wsp:val=&quot;00525913&quot;/&gt;&lt;wsp:rsid wsp:val=&quot;00525E68&quot;/&gt;&lt;wsp:rsid wsp:val=&quot;00525F4D&quot;/&gt;&lt;wsp:rsid wsp:val=&quot;00526D78&quot;/&gt;&lt;wsp:rsid wsp:val=&quot;005272B1&quot;/&gt;&lt;wsp:rsid wsp:val=&quot;005278ED&quot;/&gt;&lt;wsp:rsid wsp:val=&quot;00527AF1&quot;/&gt;&lt;wsp:rsid wsp:val=&quot;005300D6&quot;/&gt;&lt;wsp:rsid wsp:val=&quot;00530DCB&quot;/&gt;&lt;wsp:rsid wsp:val=&quot;00530EA9&quot;/&gt;&lt;wsp:rsid wsp:val=&quot;00530F6B&quot;/&gt;&lt;wsp:rsid wsp:val=&quot;005311AD&quot;/&gt;&lt;wsp:rsid wsp:val=&quot;005315C9&quot;/&gt;&lt;wsp:rsid wsp:val=&quot;0053161A&quot;/&gt;&lt;wsp:rsid wsp:val=&quot;00531F8A&quot;/&gt;&lt;wsp:rsid wsp:val=&quot;005333DD&quot;/&gt;&lt;wsp:rsid wsp:val=&quot;00534092&quot;/&gt;&lt;wsp:rsid wsp:val=&quot;00534191&quot;/&gt;&lt;wsp:rsid wsp:val=&quot;00534688&quot;/&gt;&lt;wsp:rsid wsp:val=&quot;0053587F&quot;/&gt;&lt;wsp:rsid wsp:val=&quot;005368F1&quot;/&gt;&lt;wsp:rsid wsp:val=&quot;005379F7&quot;/&gt;&lt;wsp:rsid wsp:val=&quot;00541074&quot;/&gt;&lt;wsp:rsid wsp:val=&quot;00541178&quot;/&gt;&lt;wsp:rsid wsp:val=&quot;005412B3&quot;/&gt;&lt;wsp:rsid wsp:val=&quot;005413C4&quot;/&gt;&lt;wsp:rsid wsp:val=&quot;005414E2&quot;/&gt;&lt;wsp:rsid wsp:val=&quot;00541AE3&quot;/&gt;&lt;wsp:rsid wsp:val=&quot;00541E64&quot;/&gt;&lt;wsp:rsid wsp:val=&quot;00542149&quot;/&gt;&lt;wsp:rsid wsp:val=&quot;0054313E&quot;/&gt;&lt;wsp:rsid wsp:val=&quot;005436EC&quot;/&gt;&lt;wsp:rsid wsp:val=&quot;0054399C&quot;/&gt;&lt;wsp:rsid wsp:val=&quot;00543A41&quot;/&gt;&lt;wsp:rsid wsp:val=&quot;00543C6B&quot;/&gt;&lt;wsp:rsid wsp:val=&quot;00543FFB&quot;/&gt;&lt;wsp:rsid wsp:val=&quot;00544C8F&quot;/&gt;&lt;wsp:rsid wsp:val=&quot;0054542A&quot;/&gt;&lt;wsp:rsid wsp:val=&quot;0054626B&quot;/&gt;&lt;wsp:rsid wsp:val=&quot;00547DC2&quot;/&gt;&lt;wsp:rsid wsp:val=&quot;0055012F&quot;/&gt;&lt;wsp:rsid wsp:val=&quot;00550823&quot;/&gt;&lt;wsp:rsid wsp:val=&quot;005510C1&quot;/&gt;&lt;wsp:rsid wsp:val=&quot;00551DD3&quot;/&gt;&lt;wsp:rsid wsp:val=&quot;0055220F&quot;/&gt;&lt;wsp:rsid wsp:val=&quot;0055258B&quot;/&gt;&lt;wsp:rsid wsp:val=&quot;00552C6A&quot;/&gt;&lt;wsp:rsid wsp:val=&quot;005537FD&quot;/&gt;&lt;wsp:rsid wsp:val=&quot;00553FD5&quot;/&gt;&lt;wsp:rsid wsp:val=&quot;00554071&quot;/&gt;&lt;wsp:rsid wsp:val=&quot;00554466&quot;/&gt;&lt;wsp:rsid wsp:val=&quot;00554A58&quot;/&gt;&lt;wsp:rsid wsp:val=&quot;00554BA0&quot;/&gt;&lt;wsp:rsid wsp:val=&quot;00555577&quot;/&gt;&lt;wsp:rsid wsp:val=&quot;005558B9&quot;/&gt;&lt;wsp:rsid wsp:val=&quot;005562E6&quot;/&gt;&lt;wsp:rsid wsp:val=&quot;00556422&quot;/&gt;&lt;wsp:rsid wsp:val=&quot;005573FE&quot;/&gt;&lt;wsp:rsid wsp:val=&quot;00557695&quot;/&gt;&lt;wsp:rsid wsp:val=&quot;00560098&quot;/&gt;&lt;wsp:rsid wsp:val=&quot;00560903&quot;/&gt;&lt;wsp:rsid wsp:val=&quot;005613AC&quot;/&gt;&lt;wsp:rsid wsp:val=&quot;005613BB&quot;/&gt;&lt;wsp:rsid wsp:val=&quot;005616D2&quot;/&gt;&lt;wsp:rsid wsp:val=&quot;00561802&quot;/&gt;&lt;wsp:rsid wsp:val=&quot;00561BF6&quot;/&gt;&lt;wsp:rsid wsp:val=&quot;0056250C&quot;/&gt;&lt;wsp:rsid wsp:val=&quot;00562ECA&quot;/&gt;&lt;wsp:rsid wsp:val=&quot;00562EDB&quot;/&gt;&lt;wsp:rsid wsp:val=&quot;00563734&quot;/&gt;&lt;wsp:rsid wsp:val=&quot;0056395F&quot;/&gt;&lt;wsp:rsid wsp:val=&quot;00565322&quot;/&gt;&lt;wsp:rsid wsp:val=&quot;0056608E&quot;/&gt;&lt;wsp:rsid wsp:val=&quot;005660ED&quot;/&gt;&lt;wsp:rsid wsp:val=&quot;005664F4&quot;/&gt;&lt;wsp:rsid wsp:val=&quot;005666F2&quot;/&gt;&lt;wsp:rsid wsp:val=&quot;005668EF&quot;/&gt;&lt;wsp:rsid wsp:val=&quot;00567612&quot;/&gt;&lt;wsp:rsid wsp:val=&quot;00570177&quot;/&gt;&lt;wsp:rsid wsp:val=&quot;00570486&quot;/&gt;&lt;wsp:rsid wsp:val=&quot;00570CB9&quot;/&gt;&lt;wsp:rsid wsp:val=&quot;005718EC&quot;/&gt;&lt;wsp:rsid wsp:val=&quot;00571B4A&quot;/&gt;&lt;wsp:rsid wsp:val=&quot;00571B82&quot;/&gt;&lt;wsp:rsid wsp:val=&quot;00571BC3&quot;/&gt;&lt;wsp:rsid wsp:val=&quot;00571C40&quot;/&gt;&lt;wsp:rsid wsp:val=&quot;00572002&quot;/&gt;&lt;wsp:rsid wsp:val=&quot;005720C7&quot;/&gt;&lt;wsp:rsid wsp:val=&quot;005728EE&quot;/&gt;&lt;wsp:rsid wsp:val=&quot;00572936&quot;/&gt;&lt;wsp:rsid wsp:val=&quot;00572E76&quot;/&gt;&lt;wsp:rsid wsp:val=&quot;005731A0&quot;/&gt;&lt;wsp:rsid wsp:val=&quot;005734BB&quot;/&gt;&lt;wsp:rsid wsp:val=&quot;00573EF9&quot;/&gt;&lt;wsp:rsid wsp:val=&quot;0057463E&quot;/&gt;&lt;wsp:rsid wsp:val=&quot;005746B8&quot;/&gt;&lt;wsp:rsid wsp:val=&quot;00574BE7&quot;/&gt;&lt;wsp:rsid wsp:val=&quot;005757F5&quot;/&gt;&lt;wsp:rsid wsp:val=&quot;0057591F&quot;/&gt;&lt;wsp:rsid wsp:val=&quot;00575B3E&quot;/&gt;&lt;wsp:rsid wsp:val=&quot;00576C06&quot;/&gt;&lt;wsp:rsid wsp:val=&quot;00576E6A&quot;/&gt;&lt;wsp:rsid wsp:val=&quot;00576FDE&quot;/&gt;&lt;wsp:rsid wsp:val=&quot;0057710C&quot;/&gt;&lt;wsp:rsid wsp:val=&quot;00577590&quot;/&gt;&lt;wsp:rsid wsp:val=&quot;00577A07&quot;/&gt;&lt;wsp:rsid wsp:val=&quot;00581598&quot;/&gt;&lt;wsp:rsid wsp:val=&quot;0058206D&quot;/&gt;&lt;wsp:rsid wsp:val=&quot;005827B4&quot;/&gt;&lt;wsp:rsid wsp:val=&quot;00583065&quot;/&gt;&lt;wsp:rsid wsp:val=&quot;00583239&quot;/&gt;&lt;wsp:rsid wsp:val=&quot;00585178&quot;/&gt;&lt;wsp:rsid wsp:val=&quot;00585704&quot;/&gt;&lt;wsp:rsid wsp:val=&quot;005858D1&quot;/&gt;&lt;wsp:rsid wsp:val=&quot;00585BDC&quot;/&gt;&lt;wsp:rsid wsp:val=&quot;005864B2&quot;/&gt;&lt;wsp:rsid wsp:val=&quot;00586759&quot;/&gt;&lt;wsp:rsid wsp:val=&quot;005867B7&quot;/&gt;&lt;wsp:rsid wsp:val=&quot;00587249&quot;/&gt;&lt;wsp:rsid wsp:val=&quot;00587826&quot;/&gt;&lt;wsp:rsid wsp:val=&quot;00587D62&quot;/&gt;&lt;wsp:rsid wsp:val=&quot;005901FE&quot;/&gt;&lt;wsp:rsid wsp:val=&quot;0059035E&quot;/&gt;&lt;wsp:rsid wsp:val=&quot;0059131C&quot;/&gt;&lt;wsp:rsid wsp:val=&quot;00591C65&quot;/&gt;&lt;wsp:rsid wsp:val=&quot;00591DF1&quot;/&gt;&lt;wsp:rsid wsp:val=&quot;005926A8&quot;/&gt;&lt;wsp:rsid wsp:val=&quot;00592CAF&quot;/&gt;&lt;wsp:rsid wsp:val=&quot;00592E64&quot;/&gt;&lt;wsp:rsid wsp:val=&quot;00593F1C&quot;/&gt;&lt;wsp:rsid wsp:val=&quot;0059477F&quot;/&gt;&lt;wsp:rsid wsp:val=&quot;005950C8&quot;/&gt;&lt;wsp:rsid wsp:val=&quot;005950D1&quot;/&gt;&lt;wsp:rsid wsp:val=&quot;005955ED&quot;/&gt;&lt;wsp:rsid wsp:val=&quot;00596596&quot;/&gt;&lt;wsp:rsid wsp:val=&quot;0059759C&quot;/&gt;&lt;wsp:rsid wsp:val=&quot;005A10B2&quot;/&gt;&lt;wsp:rsid wsp:val=&quot;005A1C1D&quot;/&gt;&lt;wsp:rsid wsp:val=&quot;005A24AA&quot;/&gt;&lt;wsp:rsid wsp:val=&quot;005A2A79&quot;/&gt;&lt;wsp:rsid wsp:val=&quot;005A2B29&quot;/&gt;&lt;wsp:rsid wsp:val=&quot;005A2F3B&quot;/&gt;&lt;wsp:rsid wsp:val=&quot;005A3649&quot;/&gt;&lt;wsp:rsid wsp:val=&quot;005A37D8&quot;/&gt;&lt;wsp:rsid wsp:val=&quot;005A38EC&quot;/&gt;&lt;wsp:rsid wsp:val=&quot;005A3968&quot;/&gt;&lt;wsp:rsid wsp:val=&quot;005A455B&quot;/&gt;&lt;wsp:rsid wsp:val=&quot;005A4D88&quot;/&gt;&lt;wsp:rsid wsp:val=&quot;005A53D4&quot;/&gt;&lt;wsp:rsid wsp:val=&quot;005A5510&quot;/&gt;&lt;wsp:rsid wsp:val=&quot;005A5B5B&quot;/&gt;&lt;wsp:rsid wsp:val=&quot;005A5E49&quot;/&gt;&lt;wsp:rsid wsp:val=&quot;005A5EAF&quot;/&gt;&lt;wsp:rsid wsp:val=&quot;005A62F5&quot;/&gt;&lt;wsp:rsid wsp:val=&quot;005A6FC2&quot;/&gt;&lt;wsp:rsid wsp:val=&quot;005A709C&quot;/&gt;&lt;wsp:rsid wsp:val=&quot;005A736F&quot;/&gt;&lt;wsp:rsid wsp:val=&quot;005A7E57&quot;/&gt;&lt;wsp:rsid wsp:val=&quot;005B0A0D&quot;/&gt;&lt;wsp:rsid wsp:val=&quot;005B1218&quot;/&gt;&lt;wsp:rsid wsp:val=&quot;005B16BA&quot;/&gt;&lt;wsp:rsid wsp:val=&quot;005B1C8F&quot;/&gt;&lt;wsp:rsid wsp:val=&quot;005B24C9&quot;/&gt;&lt;wsp:rsid wsp:val=&quot;005B26B0&quot;/&gt;&lt;wsp:rsid wsp:val=&quot;005B27BE&quot;/&gt;&lt;wsp:rsid wsp:val=&quot;005B306F&quot;/&gt;&lt;wsp:rsid wsp:val=&quot;005B3B2F&quot;/&gt;&lt;wsp:rsid wsp:val=&quot;005B3DE9&quot;/&gt;&lt;wsp:rsid wsp:val=&quot;005B4CAF&quot;/&gt;&lt;wsp:rsid wsp:val=&quot;005B51F5&quot;/&gt;&lt;wsp:rsid wsp:val=&quot;005B60F2&quot;/&gt;&lt;wsp:rsid wsp:val=&quot;005B6B6E&quot;/&gt;&lt;wsp:rsid wsp:val=&quot;005B70B5&quot;/&gt;&lt;wsp:rsid wsp:val=&quot;005B7639&quot;/&gt;&lt;wsp:rsid wsp:val=&quot;005B76F1&quot;/&gt;&lt;wsp:rsid wsp:val=&quot;005B7F56&quot;/&gt;&lt;wsp:rsid wsp:val=&quot;005B7FA8&quot;/&gt;&lt;wsp:rsid wsp:val=&quot;005C0085&quot;/&gt;&lt;wsp:rsid wsp:val=&quot;005C0204&quot;/&gt;&lt;wsp:rsid wsp:val=&quot;005C0398&quot;/&gt;&lt;wsp:rsid wsp:val=&quot;005C0DFC&quot;/&gt;&lt;wsp:rsid wsp:val=&quot;005C1526&quot;/&gt;&lt;wsp:rsid wsp:val=&quot;005C167E&quot;/&gt;&lt;wsp:rsid wsp:val=&quot;005C20DF&quot;/&gt;&lt;wsp:rsid wsp:val=&quot;005C2D4A&quot;/&gt;&lt;wsp:rsid wsp:val=&quot;005C3299&quot;/&gt;&lt;wsp:rsid wsp:val=&quot;005C3366&quot;/&gt;&lt;wsp:rsid wsp:val=&quot;005C3680&quot;/&gt;&lt;wsp:rsid wsp:val=&quot;005C3B3D&quot;/&gt;&lt;wsp:rsid wsp:val=&quot;005C570F&quot;/&gt;&lt;wsp:rsid wsp:val=&quot;005C5AF6&quot;/&gt;&lt;wsp:rsid wsp:val=&quot;005C6732&quot;/&gt;&lt;wsp:rsid wsp:val=&quot;005C6F53&quot;/&gt;&lt;wsp:rsid wsp:val=&quot;005C72A2&quot;/&gt;&lt;wsp:rsid wsp:val=&quot;005C74C5&quot;/&gt;&lt;wsp:rsid wsp:val=&quot;005C7615&quot;/&gt;&lt;wsp:rsid wsp:val=&quot;005C7EB9&quot;/&gt;&lt;wsp:rsid wsp:val=&quot;005D00AA&quot;/&gt;&lt;wsp:rsid wsp:val=&quot;005D017F&quot;/&gt;&lt;wsp:rsid wsp:val=&quot;005D01E2&quot;/&gt;&lt;wsp:rsid wsp:val=&quot;005D1E63&quot;/&gt;&lt;wsp:rsid wsp:val=&quot;005D1FD9&quot;/&gt;&lt;wsp:rsid wsp:val=&quot;005D2242&quot;/&gt;&lt;wsp:rsid wsp:val=&quot;005D244E&quot;/&gt;&lt;wsp:rsid wsp:val=&quot;005D2526&quot;/&gt;&lt;wsp:rsid wsp:val=&quot;005D2909&quot;/&gt;&lt;wsp:rsid wsp:val=&quot;005D297B&quot;/&gt;&lt;wsp:rsid wsp:val=&quot;005D3BE3&quot;/&gt;&lt;wsp:rsid wsp:val=&quot;005D3D99&quot;/&gt;&lt;wsp:rsid wsp:val=&quot;005D3E64&quot;/&gt;&lt;wsp:rsid wsp:val=&quot;005D414F&quot;/&gt;&lt;wsp:rsid wsp:val=&quot;005D458D&quot;/&gt;&lt;wsp:rsid wsp:val=&quot;005D4C9C&quot;/&gt;&lt;wsp:rsid wsp:val=&quot;005D5AC5&quot;/&gt;&lt;wsp:rsid wsp:val=&quot;005D5C6D&quot;/&gt;&lt;wsp:rsid wsp:val=&quot;005D5CA4&quot;/&gt;&lt;wsp:rsid wsp:val=&quot;005D5E9C&quot;/&gt;&lt;wsp:rsid wsp:val=&quot;005D61F6&quot;/&gt;&lt;wsp:rsid wsp:val=&quot;005D66E9&quot;/&gt;&lt;wsp:rsid wsp:val=&quot;005D6C21&quot;/&gt;&lt;wsp:rsid wsp:val=&quot;005D6C29&quot;/&gt;&lt;wsp:rsid wsp:val=&quot;005D7254&quot;/&gt;&lt;wsp:rsid wsp:val=&quot;005E135D&quot;/&gt;&lt;wsp:rsid wsp:val=&quot;005E329B&quot;/&gt;&lt;wsp:rsid wsp:val=&quot;005E32F5&quot;/&gt;&lt;wsp:rsid wsp:val=&quot;005E33DC&quot;/&gt;&lt;wsp:rsid wsp:val=&quot;005E49E1&quot;/&gt;&lt;wsp:rsid wsp:val=&quot;005E4E25&quot;/&gt;&lt;wsp:rsid wsp:val=&quot;005E4F58&quot;/&gt;&lt;wsp:rsid wsp:val=&quot;005E50AF&quot;/&gt;&lt;wsp:rsid wsp:val=&quot;005E526A&quot;/&gt;&lt;wsp:rsid wsp:val=&quot;005E5EA5&quot;/&gt;&lt;wsp:rsid wsp:val=&quot;005E6742&quot;/&gt;&lt;wsp:rsid wsp:val=&quot;005E6AAF&quot;/&gt;&lt;wsp:rsid wsp:val=&quot;005F0C8D&quot;/&gt;&lt;wsp:rsid wsp:val=&quot;005F1C3E&quot;/&gt;&lt;wsp:rsid wsp:val=&quot;005F27DF&quot;/&gt;&lt;wsp:rsid wsp:val=&quot;005F30BE&quot;/&gt;&lt;wsp:rsid wsp:val=&quot;005F4FC1&quot;/&gt;&lt;wsp:rsid wsp:val=&quot;005F53E5&quot;/&gt;&lt;wsp:rsid wsp:val=&quot;005F5AF7&quot;/&gt;&lt;wsp:rsid wsp:val=&quot;005F5C28&quot;/&gt;&lt;wsp:rsid wsp:val=&quot;005F5EC8&quot;/&gt;&lt;wsp:rsid wsp:val=&quot;005F68B1&quot;/&gt;&lt;wsp:rsid wsp:val=&quot;005F69EA&quot;/&gt;&lt;wsp:rsid wsp:val=&quot;005F69EE&quot;/&gt;&lt;wsp:rsid wsp:val=&quot;005F6E11&quot;/&gt;&lt;wsp:rsid wsp:val=&quot;005F74F5&quot;/&gt;&lt;wsp:rsid wsp:val=&quot;005F7612&quot;/&gt;&lt;wsp:rsid wsp:val=&quot;005F76E4&quot;/&gt;&lt;wsp:rsid wsp:val=&quot;00600FB9&quot;/&gt;&lt;wsp:rsid wsp:val=&quot;00601056&quot;/&gt;&lt;wsp:rsid wsp:val=&quot;00601132&quot;/&gt;&lt;wsp:rsid wsp:val=&quot;00601C47&quot;/&gt;&lt;wsp:rsid wsp:val=&quot;0060231D&quot;/&gt;&lt;wsp:rsid wsp:val=&quot;00603E58&quot;/&gt;&lt;wsp:rsid wsp:val=&quot;00604722&quot;/&gt;&lt;wsp:rsid wsp:val=&quot;00604915&quot;/&gt;&lt;wsp:rsid wsp:val=&quot;0060519D&quot;/&gt;&lt;wsp:rsid wsp:val=&quot;006063A0&quot;/&gt;&lt;wsp:rsid wsp:val=&quot;00606780&quot;/&gt;&lt;wsp:rsid wsp:val=&quot;00606B19&quot;/&gt;&lt;wsp:rsid wsp:val=&quot;00606E0E&quot;/&gt;&lt;wsp:rsid wsp:val=&quot;006078DA&quot;/&gt;&lt;wsp:rsid wsp:val=&quot;006078E3&quot;/&gt;&lt;wsp:rsid wsp:val=&quot;006102E4&quot;/&gt;&lt;wsp:rsid wsp:val=&quot;0061053C&quot;/&gt;&lt;wsp:rsid wsp:val=&quot;00610543&quot;/&gt;&lt;wsp:rsid wsp:val=&quot;00610701&quot;/&gt;&lt;wsp:rsid wsp:val=&quot;00610AC1&quot;/&gt;&lt;wsp:rsid wsp:val=&quot;00610F38&quot;/&gt;&lt;wsp:rsid wsp:val=&quot;00611258&quot;/&gt;&lt;wsp:rsid wsp:val=&quot;00611519&quot;/&gt;&lt;wsp:rsid wsp:val=&quot;006116F5&quot;/&gt;&lt;wsp:rsid wsp:val=&quot;006119A4&quot;/&gt;&lt;wsp:rsid wsp:val=&quot;006119BC&quot;/&gt;&lt;wsp:rsid wsp:val=&quot;00611C13&quot;/&gt;&lt;wsp:rsid wsp:val=&quot;00611D00&quot;/&gt;&lt;wsp:rsid wsp:val=&quot;006136CB&quot;/&gt;&lt;wsp:rsid wsp:val=&quot;00613D21&quot;/&gt;&lt;wsp:rsid wsp:val=&quot;00613F05&quot;/&gt;&lt;wsp:rsid wsp:val=&quot;006140C4&quot;/&gt;&lt;wsp:rsid wsp:val=&quot;006144C4&quot;/&gt;&lt;wsp:rsid wsp:val=&quot;00614E09&quot;/&gt;&lt;wsp:rsid wsp:val=&quot;00615064&quot;/&gt;&lt;wsp:rsid wsp:val=&quot;00615666&quot;/&gt;&lt;wsp:rsid wsp:val=&quot;00615AC3&quot;/&gt;&lt;wsp:rsid wsp:val=&quot;0061625E&quot;/&gt;&lt;wsp:rsid wsp:val=&quot;00616326&quot;/&gt;&lt;wsp:rsid wsp:val=&quot;00616477&quot;/&gt;&lt;wsp:rsid wsp:val=&quot;0061652D&quot;/&gt;&lt;wsp:rsid wsp:val=&quot;00616CAF&quot;/&gt;&lt;wsp:rsid wsp:val=&quot;00616DE4&quot;/&gt;&lt;wsp:rsid wsp:val=&quot;006171AC&quot;/&gt;&lt;wsp:rsid wsp:val=&quot;00617BF7&quot;/&gt;&lt;wsp:rsid wsp:val=&quot;00622556&quot;/&gt;&lt;wsp:rsid wsp:val=&quot;006239D9&quot;/&gt;&lt;wsp:rsid wsp:val=&quot;00623EDB&quot;/&gt;&lt;wsp:rsid wsp:val=&quot;0062407F&quot;/&gt;&lt;wsp:rsid wsp:val=&quot;00624A2B&quot;/&gt;&lt;wsp:rsid wsp:val=&quot;006251BB&quot;/&gt;&lt;wsp:rsid wsp:val=&quot;00625A38&quot;/&gt;&lt;wsp:rsid wsp:val=&quot;00626287&quot;/&gt;&lt;wsp:rsid wsp:val=&quot;00626F3F&quot;/&gt;&lt;wsp:rsid wsp:val=&quot;00626F77&quot;/&gt;&lt;wsp:rsid wsp:val=&quot;00627A23&quot;/&gt;&lt;wsp:rsid wsp:val=&quot;0063030D&quot;/&gt;&lt;wsp:rsid wsp:val=&quot;00630D63&quot;/&gt;&lt;wsp:rsid wsp:val=&quot;006312FB&quot;/&gt;&lt;wsp:rsid wsp:val=&quot;00631A1D&quot;/&gt;&lt;wsp:rsid wsp:val=&quot;00631E6D&quot;/&gt;&lt;wsp:rsid wsp:val=&quot;00632462&quot;/&gt;&lt;wsp:rsid wsp:val=&quot;00632A58&quot;/&gt;&lt;wsp:rsid wsp:val=&quot;00632F50&quot;/&gt;&lt;wsp:rsid wsp:val=&quot;00633FDD&quot;/&gt;&lt;wsp:rsid wsp:val=&quot;006341BA&quot;/&gt;&lt;wsp:rsid wsp:val=&quot;006344E3&quot;/&gt;&lt;wsp:rsid wsp:val=&quot;006344F5&quot;/&gt;&lt;wsp:rsid wsp:val=&quot;006360FD&quot;/&gt;&lt;wsp:rsid wsp:val=&quot;00636F38&quot;/&gt;&lt;wsp:rsid wsp:val=&quot;006376FF&quot;/&gt;&lt;wsp:rsid wsp:val=&quot;0063783C&quot;/&gt;&lt;wsp:rsid wsp:val=&quot;00637F69&quot;/&gt;&lt;wsp:rsid wsp:val=&quot;00637FB9&quot;/&gt;&lt;wsp:rsid wsp:val=&quot;006408F5&quot;/&gt;&lt;wsp:rsid wsp:val=&quot;00641100&quot;/&gt;&lt;wsp:rsid wsp:val=&quot;006418B5&quot;/&gt;&lt;wsp:rsid wsp:val=&quot;00642023&quot;/&gt;&lt;wsp:rsid wsp:val=&quot;00642838&quot;/&gt;&lt;wsp:rsid wsp:val=&quot;00642BD0&quot;/&gt;&lt;wsp:rsid wsp:val=&quot;006430B8&quot;/&gt;&lt;wsp:rsid wsp:val=&quot;0064316A&quot;/&gt;&lt;wsp:rsid wsp:val=&quot;0064325B&quot;/&gt;&lt;wsp:rsid wsp:val=&quot;00643479&quot;/&gt;&lt;wsp:rsid wsp:val=&quot;006434F5&quot;/&gt;&lt;wsp:rsid wsp:val=&quot;006435E9&quot;/&gt;&lt;wsp:rsid wsp:val=&quot;00643647&quot;/&gt;&lt;wsp:rsid wsp:val=&quot;00643808&quot;/&gt;&lt;wsp:rsid wsp:val=&quot;00643B4D&quot;/&gt;&lt;wsp:rsid wsp:val=&quot;00644269&quot;/&gt;&lt;wsp:rsid wsp:val=&quot;00644523&quot;/&gt;&lt;wsp:rsid wsp:val=&quot;00645133&quot;/&gt;&lt;wsp:rsid wsp:val=&quot;00645615&quot;/&gt;&lt;wsp:rsid wsp:val=&quot;006461D6&quot;/&gt;&lt;wsp:rsid wsp:val=&quot;00646213&quot;/&gt;&lt;wsp:rsid wsp:val=&quot;006467F9&quot;/&gt;&lt;wsp:rsid wsp:val=&quot;00646FA7&quot;/&gt;&lt;wsp:rsid wsp:val=&quot;00646FAB&quot;/&gt;&lt;wsp:rsid wsp:val=&quot;006474D4&quot;/&gt;&lt;wsp:rsid wsp:val=&quot;00647B74&quot;/&gt;&lt;wsp:rsid wsp:val=&quot;00650C50&quot;/&gt;&lt;wsp:rsid wsp:val=&quot;00651666&quot;/&gt;&lt;wsp:rsid wsp:val=&quot;0065231B&quot;/&gt;&lt;wsp:rsid wsp:val=&quot;0065386E&quot;/&gt;&lt;wsp:rsid wsp:val=&quot;00654569&quot;/&gt;&lt;wsp:rsid wsp:val=&quot;0065551E&quot;/&gt;&lt;wsp:rsid wsp:val=&quot;00655B57&quot;/&gt;&lt;wsp:rsid wsp:val=&quot;00655C2C&quot;/&gt;&lt;wsp:rsid wsp:val=&quot;00656F90&quot;/&gt;&lt;wsp:rsid wsp:val=&quot;006603A6&quot;/&gt;&lt;wsp:rsid wsp:val=&quot;00660756&quot;/&gt;&lt;wsp:rsid wsp:val=&quot;0066078E&quot;/&gt;&lt;wsp:rsid wsp:val=&quot;006607E1&quot;/&gt;&lt;wsp:rsid wsp:val=&quot;00660FC7&quot;/&gt;&lt;wsp:rsid wsp:val=&quot;00661176&quot;/&gt;&lt;wsp:rsid wsp:val=&quot;006612BD&quot;/&gt;&lt;wsp:rsid wsp:val=&quot;00661647&quot;/&gt;&lt;wsp:rsid wsp:val=&quot;0066191A&quot;/&gt;&lt;wsp:rsid wsp:val=&quot;00661939&quot;/&gt;&lt;wsp:rsid wsp:val=&quot;00661F60&quot;/&gt;&lt;wsp:rsid wsp:val=&quot;00662BC3&quot;/&gt;&lt;wsp:rsid wsp:val=&quot;00662DB1&quot;/&gt;&lt;wsp:rsid wsp:val=&quot;00664B10&quot;/&gt;&lt;wsp:rsid wsp:val=&quot;0066583F&quot;/&gt;&lt;wsp:rsid wsp:val=&quot;00665AD1&quot;/&gt;&lt;wsp:rsid wsp:val=&quot;006661A0&quot;/&gt;&lt;wsp:rsid wsp:val=&quot;006668A8&quot;/&gt;&lt;wsp:rsid wsp:val=&quot;00666997&quot;/&gt;&lt;wsp:rsid wsp:val=&quot;00667794&quot;/&gt;&lt;wsp:rsid wsp:val=&quot;0067028D&quot;/&gt;&lt;wsp:rsid wsp:val=&quot;006702EF&quot;/&gt;&lt;wsp:rsid wsp:val=&quot;00670C44&quot;/&gt;&lt;wsp:rsid wsp:val=&quot;00670F99&quot;/&gt;&lt;wsp:rsid wsp:val=&quot;0067196F&quot;/&gt;&lt;wsp:rsid wsp:val=&quot;00671C82&quot;/&gt;&lt;wsp:rsid wsp:val=&quot;006723F3&quot;/&gt;&lt;wsp:rsid wsp:val=&quot;00672790&quot;/&gt;&lt;wsp:rsid wsp:val=&quot;006738F5&quot;/&gt;&lt;wsp:rsid wsp:val=&quot;00673FB3&quot;/&gt;&lt;wsp:rsid wsp:val=&quot;00674769&quot;/&gt;&lt;wsp:rsid wsp:val=&quot;00674DB9&quot;/&gt;&lt;wsp:rsid wsp:val=&quot;00675685&quot;/&gt;&lt;wsp:rsid wsp:val=&quot;006768DE&quot;/&gt;&lt;wsp:rsid wsp:val=&quot;00676EA7&quot;/&gt;&lt;wsp:rsid wsp:val=&quot;0067714D&quot;/&gt;&lt;wsp:rsid wsp:val=&quot;0067718D&quot;/&gt;&lt;wsp:rsid wsp:val=&quot;006778DB&quot;/&gt;&lt;wsp:rsid wsp:val=&quot;00677EA4&quot;/&gt;&lt;wsp:rsid wsp:val=&quot;0068027E&quot;/&gt;&lt;wsp:rsid wsp:val=&quot;006805A6&quot;/&gt;&lt;wsp:rsid wsp:val=&quot;006809A3&quot;/&gt;&lt;wsp:rsid wsp:val=&quot;00680A0F&quot;/&gt;&lt;wsp:rsid wsp:val=&quot;006810D6&quot;/&gt;&lt;wsp:rsid wsp:val=&quot;0068269D&quot;/&gt;&lt;wsp:rsid wsp:val=&quot;00682AA9&quot;/&gt;&lt;wsp:rsid wsp:val=&quot;00682E59&quot;/&gt;&lt;wsp:rsid wsp:val=&quot;006834E6&quot;/&gt;&lt;wsp:rsid wsp:val=&quot;0068377B&quot;/&gt;&lt;wsp:rsid wsp:val=&quot;006839FA&quot;/&gt;&lt;wsp:rsid wsp:val=&quot;006840E5&quot;/&gt;&lt;wsp:rsid wsp:val=&quot;0068413A&quot;/&gt;&lt;wsp:rsid wsp:val=&quot;006844B4&quot;/&gt;&lt;wsp:rsid wsp:val=&quot;006844DE&quot;/&gt;&lt;wsp:rsid wsp:val=&quot;00685909&quot;/&gt;&lt;wsp:rsid wsp:val=&quot;0068620E&quot;/&gt;&lt;wsp:rsid wsp:val=&quot;00686277&quot;/&gt;&lt;wsp:rsid wsp:val=&quot;00687163&quot;/&gt;&lt;wsp:rsid wsp:val=&quot;00687389&quot;/&gt;&lt;wsp:rsid wsp:val=&quot;00691055&quot;/&gt;&lt;wsp:rsid wsp:val=&quot;00691062&quot;/&gt;&lt;wsp:rsid wsp:val=&quot;006914D3&quot;/&gt;&lt;wsp:rsid wsp:val=&quot;006916A7&quot;/&gt;&lt;wsp:rsid wsp:val=&quot;00691F7D&quot;/&gt;&lt;wsp:rsid wsp:val=&quot;006937DB&quot;/&gt;&lt;wsp:rsid wsp:val=&quot;0069394B&quot;/&gt;&lt;wsp:rsid wsp:val=&quot;00693C78&quot;/&gt;&lt;wsp:rsid wsp:val=&quot;006943E5&quot;/&gt;&lt;wsp:rsid wsp:val=&quot;0069471E&quot;/&gt;&lt;wsp:rsid wsp:val=&quot;00694C32&quot;/&gt;&lt;wsp:rsid wsp:val=&quot;00694C75&quot;/&gt;&lt;wsp:rsid wsp:val=&quot;00695679&quot;/&gt;&lt;wsp:rsid wsp:val=&quot;00695EA6&quot;/&gt;&lt;wsp:rsid wsp:val=&quot;00695F15&quot;/&gt;&lt;wsp:rsid wsp:val=&quot;00696427&quot;/&gt;&lt;wsp:rsid wsp:val=&quot;00696E46&quot;/&gt;&lt;wsp:rsid wsp:val=&quot;00696F56&quot;/&gt;&lt;wsp:rsid wsp:val=&quot;0069774D&quot;/&gt;&lt;wsp:rsid wsp:val=&quot;0069782E&quot;/&gt;&lt;wsp:rsid wsp:val=&quot;0069789E&quot;/&gt;&lt;wsp:rsid wsp:val=&quot;00697973&quot;/&gt;&lt;wsp:rsid wsp:val=&quot;00697B0D&quot;/&gt;&lt;wsp:rsid wsp:val=&quot;006A087A&quot;/&gt;&lt;wsp:rsid wsp:val=&quot;006A0C30&quot;/&gt;&lt;wsp:rsid wsp:val=&quot;006A11EE&quot;/&gt;&lt;wsp:rsid wsp:val=&quot;006A1700&quot;/&gt;&lt;wsp:rsid wsp:val=&quot;006A2976&quot;/&gt;&lt;wsp:rsid wsp:val=&quot;006A3415&quot;/&gt;&lt;wsp:rsid wsp:val=&quot;006A351C&quot;/&gt;&lt;wsp:rsid wsp:val=&quot;006A351F&quot;/&gt;&lt;wsp:rsid wsp:val=&quot;006A3797&quot;/&gt;&lt;wsp:rsid wsp:val=&quot;006A386D&quot;/&gt;&lt;wsp:rsid wsp:val=&quot;006A4293&quot;/&gt;&lt;wsp:rsid wsp:val=&quot;006A45C5&quot;/&gt;&lt;wsp:rsid wsp:val=&quot;006A4768&quot;/&gt;&lt;wsp:rsid wsp:val=&quot;006A5501&quot;/&gt;&lt;wsp:rsid wsp:val=&quot;006A5BFD&quot;/&gt;&lt;wsp:rsid wsp:val=&quot;006A5F26&quot;/&gt;&lt;wsp:rsid wsp:val=&quot;006A6DE8&quot;/&gt;&lt;wsp:rsid wsp:val=&quot;006A6F09&quot;/&gt;&lt;wsp:rsid wsp:val=&quot;006A70A1&quot;/&gt;&lt;wsp:rsid wsp:val=&quot;006A73D2&quot;/&gt;&lt;wsp:rsid wsp:val=&quot;006A7469&quot;/&gt;&lt;wsp:rsid wsp:val=&quot;006A7952&quot;/&gt;&lt;wsp:rsid wsp:val=&quot;006A79E1&quot;/&gt;&lt;wsp:rsid wsp:val=&quot;006A7C7E&quot;/&gt;&lt;wsp:rsid wsp:val=&quot;006B023F&quot;/&gt;&lt;wsp:rsid wsp:val=&quot;006B0BB4&quot;/&gt;&lt;wsp:rsid wsp:val=&quot;006B1046&quot;/&gt;&lt;wsp:rsid wsp:val=&quot;006B139F&quot;/&gt;&lt;wsp:rsid wsp:val=&quot;006B1963&quot;/&gt;&lt;wsp:rsid wsp:val=&quot;006B2A0C&quot;/&gt;&lt;wsp:rsid wsp:val=&quot;006B382C&quot;/&gt;&lt;wsp:rsid wsp:val=&quot;006B4E2D&quot;/&gt;&lt;wsp:rsid wsp:val=&quot;006B4F03&quot;/&gt;&lt;wsp:rsid wsp:val=&quot;006B576F&quot;/&gt;&lt;wsp:rsid wsp:val=&quot;006B5793&quot;/&gt;&lt;wsp:rsid wsp:val=&quot;006B5B7C&quot;/&gt;&lt;wsp:rsid wsp:val=&quot;006B5E5D&quot;/&gt;&lt;wsp:rsid wsp:val=&quot;006B7201&quot;/&gt;&lt;wsp:rsid wsp:val=&quot;006B7994&quot;/&gt;&lt;wsp:rsid wsp:val=&quot;006C00EE&quot;/&gt;&lt;wsp:rsid wsp:val=&quot;006C03EC&quot;/&gt;&lt;wsp:rsid wsp:val=&quot;006C06AA&quot;/&gt;&lt;wsp:rsid wsp:val=&quot;006C16C8&quot;/&gt;&lt;wsp:rsid wsp:val=&quot;006C20FF&quot;/&gt;&lt;wsp:rsid wsp:val=&quot;006C2350&quot;/&gt;&lt;wsp:rsid wsp:val=&quot;006C2408&quot;/&gt;&lt;wsp:rsid wsp:val=&quot;006C245E&quot;/&gt;&lt;wsp:rsid wsp:val=&quot;006C34E1&quot;/&gt;&lt;wsp:rsid wsp:val=&quot;006C3728&quot;/&gt;&lt;wsp:rsid wsp:val=&quot;006C3736&quot;/&gt;&lt;wsp:rsid wsp:val=&quot;006C3BA5&quot;/&gt;&lt;wsp:rsid wsp:val=&quot;006C4D93&quot;/&gt;&lt;wsp:rsid wsp:val=&quot;006C4F26&quot;/&gt;&lt;wsp:rsid wsp:val=&quot;006C526D&quot;/&gt;&lt;wsp:rsid wsp:val=&quot;006C5675&quot;/&gt;&lt;wsp:rsid wsp:val=&quot;006C59B1&quot;/&gt;&lt;wsp:rsid wsp:val=&quot;006C6160&quot;/&gt;&lt;wsp:rsid wsp:val=&quot;006D08FC&quot;/&gt;&lt;wsp:rsid wsp:val=&quot;006D0DA7&quot;/&gt;&lt;wsp:rsid wsp:val=&quot;006D1139&quot;/&gt;&lt;wsp:rsid wsp:val=&quot;006D171E&quot;/&gt;&lt;wsp:rsid wsp:val=&quot;006D1BC1&quot;/&gt;&lt;wsp:rsid wsp:val=&quot;006D1E16&quot;/&gt;&lt;wsp:rsid wsp:val=&quot;006D2F7E&quot;/&gt;&lt;wsp:rsid wsp:val=&quot;006D35BC&quot;/&gt;&lt;wsp:rsid wsp:val=&quot;006D3622&quot;/&gt;&lt;wsp:rsid wsp:val=&quot;006D3AD6&quot;/&gt;&lt;wsp:rsid wsp:val=&quot;006D3D03&quot;/&gt;&lt;wsp:rsid wsp:val=&quot;006D51A7&quot;/&gt;&lt;wsp:rsid wsp:val=&quot;006D66C1&quot;/&gt;&lt;wsp:rsid wsp:val=&quot;006D6740&quot;/&gt;&lt;wsp:rsid wsp:val=&quot;006D68FE&quot;/&gt;&lt;wsp:rsid wsp:val=&quot;006D6D31&quot;/&gt;&lt;wsp:rsid wsp:val=&quot;006D75F1&quot;/&gt;&lt;wsp:rsid wsp:val=&quot;006D7CD7&quot;/&gt;&lt;wsp:rsid wsp:val=&quot;006E0089&quot;/&gt;&lt;wsp:rsid wsp:val=&quot;006E083A&quot;/&gt;&lt;wsp:rsid wsp:val=&quot;006E17A0&quot;/&gt;&lt;wsp:rsid wsp:val=&quot;006E1917&quot;/&gt;&lt;wsp:rsid wsp:val=&quot;006E1F55&quot;/&gt;&lt;wsp:rsid wsp:val=&quot;006E20EE&quot;/&gt;&lt;wsp:rsid wsp:val=&quot;006E25F5&quot;/&gt;&lt;wsp:rsid wsp:val=&quot;006E2958&quot;/&gt;&lt;wsp:rsid wsp:val=&quot;006E2D82&quot;/&gt;&lt;wsp:rsid wsp:val=&quot;006E2E2D&quot;/&gt;&lt;wsp:rsid wsp:val=&quot;006E3177&quot;/&gt;&lt;wsp:rsid wsp:val=&quot;006E367F&quot;/&gt;&lt;wsp:rsid wsp:val=&quot;006E3A9A&quot;/&gt;&lt;wsp:rsid wsp:val=&quot;006E3AA4&quot;/&gt;&lt;wsp:rsid wsp:val=&quot;006E3B2B&quot;/&gt;&lt;wsp:rsid wsp:val=&quot;006E459A&quot;/&gt;&lt;wsp:rsid wsp:val=&quot;006E50E0&quot;/&gt;&lt;wsp:rsid wsp:val=&quot;006E5160&quot;/&gt;&lt;wsp:rsid wsp:val=&quot;006E5A5B&quot;/&gt;&lt;wsp:rsid wsp:val=&quot;006E5D62&quot;/&gt;&lt;wsp:rsid wsp:val=&quot;006E63B8&quot;/&gt;&lt;wsp:rsid wsp:val=&quot;006E6CCA&quot;/&gt;&lt;wsp:rsid wsp:val=&quot;006E73C4&quot;/&gt;&lt;wsp:rsid wsp:val=&quot;006E7616&quot;/&gt;&lt;wsp:rsid wsp:val=&quot;006E7A50&quot;/&gt;&lt;wsp:rsid wsp:val=&quot;006F106A&quot;/&gt;&lt;wsp:rsid wsp:val=&quot;006F1595&quot;/&gt;&lt;wsp:rsid wsp:val=&quot;006F17C3&quot;/&gt;&lt;wsp:rsid wsp:val=&quot;006F2627&quot;/&gt;&lt;wsp:rsid wsp:val=&quot;006F2C9C&quot;/&gt;&lt;wsp:rsid wsp:val=&quot;006F401B&quot;/&gt;&lt;wsp:rsid wsp:val=&quot;006F412C&quot;/&gt;&lt;wsp:rsid wsp:val=&quot;006F53FB&quot;/&gt;&lt;wsp:rsid wsp:val=&quot;006F6D94&quot;/&gt;&lt;wsp:rsid wsp:val=&quot;006F6E51&quot;/&gt;&lt;wsp:rsid wsp:val=&quot;006F6F65&quot;/&gt;&lt;wsp:rsid wsp:val=&quot;007004BD&quot;/&gt;&lt;wsp:rsid wsp:val=&quot;00700574&quot;/&gt;&lt;wsp:rsid wsp:val=&quot;007006FB&quot;/&gt;&lt;wsp:rsid wsp:val=&quot;007008B2&quot;/&gt;&lt;wsp:rsid wsp:val=&quot;00700AC0&quot;/&gt;&lt;wsp:rsid wsp:val=&quot;00700D6F&quot;/&gt;&lt;wsp:rsid wsp:val=&quot;00701324&quot;/&gt;&lt;wsp:rsid wsp:val=&quot;0070167F&quot;/&gt;&lt;wsp:rsid wsp:val=&quot;007023D0&quot;/&gt;&lt;wsp:rsid wsp:val=&quot;00702EFE&quot;/&gt;&lt;wsp:rsid wsp:val=&quot;00704916&quot;/&gt;&lt;wsp:rsid wsp:val=&quot;00704DEF&quot;/&gt;&lt;wsp:rsid wsp:val=&quot;007056CF&quot;/&gt;&lt;wsp:rsid wsp:val=&quot;0070598B&quot;/&gt;&lt;wsp:rsid wsp:val=&quot;00705BFF&quot;/&gt;&lt;wsp:rsid wsp:val=&quot;00705FFD&quot;/&gt;&lt;wsp:rsid wsp:val=&quot;00706B22&quot;/&gt;&lt;wsp:rsid wsp:val=&quot;00706B97&quot;/&gt;&lt;wsp:rsid wsp:val=&quot;0070788D&quot;/&gt;&lt;wsp:rsid wsp:val=&quot;00710878&quot;/&gt;&lt;wsp:rsid wsp:val=&quot;00710B4A&quot;/&gt;&lt;wsp:rsid wsp:val=&quot;00710C1C&quot;/&gt;&lt;wsp:rsid wsp:val=&quot;00710C1F&quot;/&gt;&lt;wsp:rsid wsp:val=&quot;00710D40&quot;/&gt;&lt;wsp:rsid wsp:val=&quot;00710FB3&quot;/&gt;&lt;wsp:rsid wsp:val=&quot;00711046&quot;/&gt;&lt;wsp:rsid wsp:val=&quot;0071161B&quot;/&gt;&lt;wsp:rsid wsp:val=&quot;00712B61&quot;/&gt;&lt;wsp:rsid wsp:val=&quot;00712EE4&quot;/&gt;&lt;wsp:rsid wsp:val=&quot;00713B52&quot;/&gt;&lt;wsp:rsid wsp:val=&quot;0071451E&quot;/&gt;&lt;wsp:rsid wsp:val=&quot;007147D4&quot;/&gt;&lt;wsp:rsid wsp:val=&quot;00714C7C&quot;/&gt;&lt;wsp:rsid wsp:val=&quot;00714FAF&quot;/&gt;&lt;wsp:rsid wsp:val=&quot;007153D7&quot;/&gt;&lt;wsp:rsid wsp:val=&quot;00715499&quot;/&gt;&lt;wsp:rsid wsp:val=&quot;00715B36&quot;/&gt;&lt;wsp:rsid wsp:val=&quot;007166BC&quot;/&gt;&lt;wsp:rsid wsp:val=&quot;007171ED&quot;/&gt;&lt;wsp:rsid wsp:val=&quot;007212CB&quot;/&gt;&lt;wsp:rsid wsp:val=&quot;00721A41&quot;/&gt;&lt;wsp:rsid wsp:val=&quot;007225B6&quot;/&gt;&lt;wsp:rsid wsp:val=&quot;007229EF&quot;/&gt;&lt;wsp:rsid wsp:val=&quot;0072319D&quot;/&gt;&lt;wsp:rsid wsp:val=&quot;00723E81&quot;/&gt;&lt;wsp:rsid wsp:val=&quot;00723F00&quot;/&gt;&lt;wsp:rsid wsp:val=&quot;00724A9E&quot;/&gt;&lt;wsp:rsid wsp:val=&quot;00724C03&quot;/&gt;&lt;wsp:rsid wsp:val=&quot;00725DAC&quot;/&gt;&lt;wsp:rsid wsp:val=&quot;00726602&quot;/&gt;&lt;wsp:rsid wsp:val=&quot;00726D51&quot;/&gt;&lt;wsp:rsid wsp:val=&quot;00727083&quot;/&gt;&lt;wsp:rsid wsp:val=&quot;00727F0D&quot;/&gt;&lt;wsp:rsid wsp:val=&quot;00730D8B&quot;/&gt;&lt;wsp:rsid wsp:val=&quot;00731014&quot;/&gt;&lt;wsp:rsid wsp:val=&quot;007313C6&quot;/&gt;&lt;wsp:rsid wsp:val=&quot;007323EE&quot;/&gt;&lt;wsp:rsid wsp:val=&quot;007324D7&quot;/&gt;&lt;wsp:rsid wsp:val=&quot;007325F4&quot;/&gt;&lt;wsp:rsid wsp:val=&quot;00732938&quot;/&gt;&lt;wsp:rsid wsp:val=&quot;00732A46&quot;/&gt;&lt;wsp:rsid wsp:val=&quot;00732A5C&quot;/&gt;&lt;wsp:rsid wsp:val=&quot;007338D8&quot;/&gt;&lt;wsp:rsid wsp:val=&quot;00734034&quot;/&gt;&lt;wsp:rsid wsp:val=&quot;0073486E&quot;/&gt;&lt;wsp:rsid wsp:val=&quot;00734921&quot;/&gt;&lt;wsp:rsid wsp:val=&quot;00734D07&quot;/&gt;&lt;wsp:rsid wsp:val=&quot;00735C62&quot;/&gt;&lt;wsp:rsid wsp:val=&quot;00735F50&quot;/&gt;&lt;wsp:rsid wsp:val=&quot;00736A53&quot;/&gt;&lt;wsp:rsid wsp:val=&quot;007374A8&quot;/&gt;&lt;wsp:rsid wsp:val=&quot;007375EB&quot;/&gt;&lt;wsp:rsid wsp:val=&quot;007400E5&quot;/&gt;&lt;wsp:rsid wsp:val=&quot;00740642&quot;/&gt;&lt;wsp:rsid wsp:val=&quot;00740F82&quot;/&gt;&lt;wsp:rsid wsp:val=&quot;0074122A&quot;/&gt;&lt;wsp:rsid wsp:val=&quot;007415FE&quot;/&gt;&lt;wsp:rsid wsp:val=&quot;0074193E&quot;/&gt;&lt;wsp:rsid wsp:val=&quot;00741D46&quot;/&gt;&lt;wsp:rsid wsp:val=&quot;007423B9&quot;/&gt;&lt;wsp:rsid wsp:val=&quot;00743B6D&quot;/&gt;&lt;wsp:rsid wsp:val=&quot;00743C96&quot;/&gt;&lt;wsp:rsid wsp:val=&quot;007441E7&quot;/&gt;&lt;wsp:rsid wsp:val=&quot;007444AC&quot;/&gt;&lt;wsp:rsid wsp:val=&quot;00744BD5&quot;/&gt;&lt;wsp:rsid wsp:val=&quot;00744F32&quot;/&gt;&lt;wsp:rsid wsp:val=&quot;00746023&quot;/&gt;&lt;wsp:rsid wsp:val=&quot;00746858&quot;/&gt;&lt;wsp:rsid wsp:val=&quot;0074695F&quot;/&gt;&lt;wsp:rsid wsp:val=&quot;00746C3F&quot;/&gt;&lt;wsp:rsid wsp:val=&quot;00746EA0&quot;/&gt;&lt;wsp:rsid wsp:val=&quot;00746EBD&quot;/&gt;&lt;wsp:rsid wsp:val=&quot;00746F6B&quot;/&gt;&lt;wsp:rsid wsp:val=&quot;00747079&quot;/&gt;&lt;wsp:rsid wsp:val=&quot;0074734B&quot;/&gt;&lt;wsp:rsid wsp:val=&quot;007475C2&quot;/&gt;&lt;wsp:rsid wsp:val=&quot;00747AA3&quot;/&gt;&lt;wsp:rsid wsp:val=&quot;00747ED8&quot;/&gt;&lt;wsp:rsid wsp:val=&quot;00750F43&quot;/&gt;&lt;wsp:rsid wsp:val=&quot;007517AD&quot;/&gt;&lt;wsp:rsid wsp:val=&quot;007519CB&quot;/&gt;&lt;wsp:rsid wsp:val=&quot;007522B9&quot;/&gt;&lt;wsp:rsid wsp:val=&quot;00752A83&quot;/&gt;&lt;wsp:rsid wsp:val=&quot;00752B41&quot;/&gt;&lt;wsp:rsid wsp:val=&quot;00752F9D&quot;/&gt;&lt;wsp:rsid wsp:val=&quot;007530A3&quot;/&gt;&lt;wsp:rsid wsp:val=&quot;00753951&quot;/&gt;&lt;wsp:rsid wsp:val=&quot;00753D87&quot;/&gt;&lt;wsp:rsid wsp:val=&quot;00754169&quot;/&gt;&lt;wsp:rsid wsp:val=&quot;00755032&quot;/&gt;&lt;wsp:rsid wsp:val=&quot;00755153&quot;/&gt;&lt;wsp:rsid wsp:val=&quot;007555A4&quot;/&gt;&lt;wsp:rsid wsp:val=&quot;00755CA1&quot;/&gt;&lt;wsp:rsid wsp:val=&quot;00756485&quot;/&gt;&lt;wsp:rsid wsp:val=&quot;007569E3&quot;/&gt;&lt;wsp:rsid wsp:val=&quot;00756E17&quot;/&gt;&lt;wsp:rsid wsp:val=&quot;007570BB&quot;/&gt;&lt;wsp:rsid wsp:val=&quot;00757B0D&quot;/&gt;&lt;wsp:rsid wsp:val=&quot;0076032D&quot;/&gt;&lt;wsp:rsid wsp:val=&quot;00760500&quot;/&gt;&lt;wsp:rsid wsp:val=&quot;00760B02&quot;/&gt;&lt;wsp:rsid wsp:val=&quot;00760B08&quot;/&gt;&lt;wsp:rsid wsp:val=&quot;00760BF7&quot;/&gt;&lt;wsp:rsid wsp:val=&quot;00762B23&quot;/&gt;&lt;wsp:rsid wsp:val=&quot;00762B73&quot;/&gt;&lt;wsp:rsid wsp:val=&quot;00762BF2&quot;/&gt;&lt;wsp:rsid wsp:val=&quot;007637DC&quot;/&gt;&lt;wsp:rsid wsp:val=&quot;007649BA&quot;/&gt;&lt;wsp:rsid wsp:val=&quot;007654F7&quot;/&gt;&lt;wsp:rsid wsp:val=&quot;00765BA8&quot;/&gt;&lt;wsp:rsid wsp:val=&quot;0076650E&quot;/&gt;&lt;wsp:rsid wsp:val=&quot;007668A3&quot;/&gt;&lt;wsp:rsid wsp:val=&quot;007669BA&quot;/&gt;&lt;wsp:rsid wsp:val=&quot;00767160&quot;/&gt;&lt;wsp:rsid wsp:val=&quot;00767846&quot;/&gt;&lt;wsp:rsid wsp:val=&quot;00767D15&quot;/&gt;&lt;wsp:rsid wsp:val=&quot;00767F56&quot;/&gt;&lt;wsp:rsid wsp:val=&quot;007702B0&quot;/&gt;&lt;wsp:rsid wsp:val=&quot;0077048D&quot;/&gt;&lt;wsp:rsid wsp:val=&quot;007708E8&quot;/&gt;&lt;wsp:rsid wsp:val=&quot;00770B95&quot;/&gt;&lt;wsp:rsid wsp:val=&quot;007715C8&quot;/&gt;&lt;wsp:rsid wsp:val=&quot;007719E8&quot;/&gt;&lt;wsp:rsid wsp:val=&quot;00771D1D&quot;/&gt;&lt;wsp:rsid wsp:val=&quot;007727C1&quot;/&gt;&lt;wsp:rsid wsp:val=&quot;007727F0&quot;/&gt;&lt;wsp:rsid wsp:val=&quot;00773256&quot;/&gt;&lt;wsp:rsid wsp:val=&quot;00773487&quot;/&gt;&lt;wsp:rsid wsp:val=&quot;00774F78&quot;/&gt;&lt;wsp:rsid wsp:val=&quot;0077541B&quot;/&gt;&lt;wsp:rsid wsp:val=&quot;00776383&quot;/&gt;&lt;wsp:rsid wsp:val=&quot;00780047&quot;/&gt;&lt;wsp:rsid wsp:val=&quot;00780CEE&quot;/&gt;&lt;wsp:rsid wsp:val=&quot;0078156D&quot;/&gt;&lt;wsp:rsid wsp:val=&quot;00781787&quot;/&gt;&lt;wsp:rsid wsp:val=&quot;00781DB1&quot;/&gt;&lt;wsp:rsid wsp:val=&quot;00781F60&quot;/&gt;&lt;wsp:rsid wsp:val=&quot;00782779&quot;/&gt;&lt;wsp:rsid wsp:val=&quot;00782E8A&quot;/&gt;&lt;wsp:rsid wsp:val=&quot;00784BD9&quot;/&gt;&lt;wsp:rsid wsp:val=&quot;00784F4B&quot;/&gt;&lt;wsp:rsid wsp:val=&quot;00784FB7&quot;/&gt;&lt;wsp:rsid wsp:val=&quot;007854B5&quot;/&gt;&lt;wsp:rsid wsp:val=&quot;00786636&quot;/&gt;&lt;wsp:rsid wsp:val=&quot;00786888&quot;/&gt;&lt;wsp:rsid wsp:val=&quot;00786B6B&quot;/&gt;&lt;wsp:rsid wsp:val=&quot;00786CA5&quot;/&gt;&lt;wsp:rsid wsp:val=&quot;00786EDC&quot;/&gt;&lt;wsp:rsid wsp:val=&quot;00787534&quot;/&gt;&lt;wsp:rsid wsp:val=&quot;00790B06&quot;/&gt;&lt;wsp:rsid wsp:val=&quot;00791612&quot;/&gt;&lt;wsp:rsid wsp:val=&quot;00791DFD&quot;/&gt;&lt;wsp:rsid wsp:val=&quot;007923AB&quot;/&gt;&lt;wsp:rsid wsp:val=&quot;007925A5&quot;/&gt;&lt;wsp:rsid wsp:val=&quot;00792C16&quot;/&gt;&lt;wsp:rsid wsp:val=&quot;00792D50&quot;/&gt;&lt;wsp:rsid wsp:val=&quot;00792F6D&quot;/&gt;&lt;wsp:rsid wsp:val=&quot;00793258&quot;/&gt;&lt;wsp:rsid wsp:val=&quot;007937E1&quot;/&gt;&lt;wsp:rsid wsp:val=&quot;007939B1&quot;/&gt;&lt;wsp:rsid wsp:val=&quot;00793D93&quot;/&gt;&lt;wsp:rsid wsp:val=&quot;007940B5&quot;/&gt;&lt;wsp:rsid wsp:val=&quot;00794958&quot;/&gt;&lt;wsp:rsid wsp:val=&quot;00794AB6&quot;/&gt;&lt;wsp:rsid wsp:val=&quot;00794F86&quot;/&gt;&lt;wsp:rsid wsp:val=&quot;007953F5&quot;/&gt;&lt;wsp:rsid wsp:val=&quot;0079608E&quot;/&gt;&lt;wsp:rsid wsp:val=&quot;00796576&quot;/&gt;&lt;wsp:rsid wsp:val=&quot;0079679B&quot;/&gt;&lt;wsp:rsid wsp:val=&quot;0079774C&quot;/&gt;&lt;wsp:rsid wsp:val=&quot;00797971&quot;/&gt;&lt;wsp:rsid wsp:val=&quot;00797C3F&quot;/&gt;&lt;wsp:rsid wsp:val=&quot;00797DF2&quot;/&gt;&lt;wsp:rsid wsp:val=&quot;007A008E&quot;/&gt;&lt;wsp:rsid wsp:val=&quot;007A081D&quot;/&gt;&lt;wsp:rsid wsp:val=&quot;007A0DEB&quot;/&gt;&lt;wsp:rsid wsp:val=&quot;007A1234&quot;/&gt;&lt;wsp:rsid wsp:val=&quot;007A172B&quot;/&gt;&lt;wsp:rsid wsp:val=&quot;007A1D3E&quot;/&gt;&lt;wsp:rsid wsp:val=&quot;007A20E5&quot;/&gt;&lt;wsp:rsid wsp:val=&quot;007A227C&quot;/&gt;&lt;wsp:rsid wsp:val=&quot;007A290A&quot;/&gt;&lt;wsp:rsid wsp:val=&quot;007A300F&quot;/&gt;&lt;wsp:rsid wsp:val=&quot;007A34D2&quot;/&gt;&lt;wsp:rsid wsp:val=&quot;007A37CA&quot;/&gt;&lt;wsp:rsid wsp:val=&quot;007A37FA&quot;/&gt;&lt;wsp:rsid wsp:val=&quot;007A3BB4&quot;/&gt;&lt;wsp:rsid wsp:val=&quot;007A5489&quot;/&gt;&lt;wsp:rsid wsp:val=&quot;007A604F&quot;/&gt;&lt;wsp:rsid wsp:val=&quot;007A6E9C&quot;/&gt;&lt;wsp:rsid wsp:val=&quot;007A6EA6&quot;/&gt;&lt;wsp:rsid wsp:val=&quot;007A76F5&quot;/&gt;&lt;wsp:rsid wsp:val=&quot;007A7D79&quot;/&gt;&lt;wsp:rsid wsp:val=&quot;007B1B1E&quot;/&gt;&lt;wsp:rsid wsp:val=&quot;007B1D72&quot;/&gt;&lt;wsp:rsid wsp:val=&quot;007B22E6&quot;/&gt;&lt;wsp:rsid wsp:val=&quot;007B2674&quot;/&gt;&lt;wsp:rsid wsp:val=&quot;007B2B2A&quot;/&gt;&lt;wsp:rsid wsp:val=&quot;007B2BE9&quot;/&gt;&lt;wsp:rsid wsp:val=&quot;007B40E2&quot;/&gt;&lt;wsp:rsid wsp:val=&quot;007B4824&quot;/&gt;&lt;wsp:rsid wsp:val=&quot;007B619A&quot;/&gt;&lt;wsp:rsid wsp:val=&quot;007B6BBD&quot;/&gt;&lt;wsp:rsid wsp:val=&quot;007B74FE&quot;/&gt;&lt;wsp:rsid wsp:val=&quot;007C09C4&quot;/&gt;&lt;wsp:rsid wsp:val=&quot;007C0F6D&quot;/&gt;&lt;wsp:rsid wsp:val=&quot;007C1287&quot;/&gt;&lt;wsp:rsid wsp:val=&quot;007C1563&quot;/&gt;&lt;wsp:rsid wsp:val=&quot;007C2372&quot;/&gt;&lt;wsp:rsid wsp:val=&quot;007C2BE3&quot;/&gt;&lt;wsp:rsid wsp:val=&quot;007C3D1C&quot;/&gt;&lt;wsp:rsid wsp:val=&quot;007C4BCF&quot;/&gt;&lt;wsp:rsid wsp:val=&quot;007C4CF6&quot;/&gt;&lt;wsp:rsid wsp:val=&quot;007C4E09&quot;/&gt;&lt;wsp:rsid wsp:val=&quot;007C539D&quot;/&gt;&lt;wsp:rsid wsp:val=&quot;007C54A7&quot;/&gt;&lt;wsp:rsid wsp:val=&quot;007C5C2F&quot;/&gt;&lt;wsp:rsid wsp:val=&quot;007C63F1&quot;/&gt;&lt;wsp:rsid wsp:val=&quot;007C6C07&quot;/&gt;&lt;wsp:rsid wsp:val=&quot;007C75E1&quot;/&gt;&lt;wsp:rsid wsp:val=&quot;007C7E9E&quot;/&gt;&lt;wsp:rsid wsp:val=&quot;007D0231&quot;/&gt;&lt;wsp:rsid wsp:val=&quot;007D0911&quot;/&gt;&lt;wsp:rsid wsp:val=&quot;007D1345&quot;/&gt;&lt;wsp:rsid wsp:val=&quot;007D1BD0&quot;/&gt;&lt;wsp:rsid wsp:val=&quot;007D1E9E&quot;/&gt;&lt;wsp:rsid wsp:val=&quot;007D2031&quot;/&gt;&lt;wsp:rsid wsp:val=&quot;007D25F4&quot;/&gt;&lt;wsp:rsid wsp:val=&quot;007D2B42&quot;/&gt;&lt;wsp:rsid wsp:val=&quot;007D2D4B&quot;/&gt;&lt;wsp:rsid wsp:val=&quot;007D3053&quot;/&gt;&lt;wsp:rsid wsp:val=&quot;007D3277&quot;/&gt;&lt;wsp:rsid wsp:val=&quot;007D3980&quot;/&gt;&lt;wsp:rsid wsp:val=&quot;007D3987&quot;/&gt;&lt;wsp:rsid wsp:val=&quot;007D39DA&quot;/&gt;&lt;wsp:rsid wsp:val=&quot;007D4C2B&quot;/&gt;&lt;wsp:rsid wsp:val=&quot;007D4DE9&quot;/&gt;&lt;wsp:rsid wsp:val=&quot;007D4E91&quot;/&gt;&lt;wsp:rsid wsp:val=&quot;007D4EC2&quot;/&gt;&lt;wsp:rsid wsp:val=&quot;007D5875&quot;/&gt;&lt;wsp:rsid wsp:val=&quot;007D5A59&quot;/&gt;&lt;wsp:rsid wsp:val=&quot;007D5E81&quot;/&gt;&lt;wsp:rsid wsp:val=&quot;007D64F2&quot;/&gt;&lt;wsp:rsid wsp:val=&quot;007D694E&quot;/&gt;&lt;wsp:rsid wsp:val=&quot;007D6F1D&quot;/&gt;&lt;wsp:rsid wsp:val=&quot;007D79B3&quot;/&gt;&lt;wsp:rsid wsp:val=&quot;007D7B69&quot;/&gt;&lt;wsp:rsid wsp:val=&quot;007E0FA8&quot;/&gt;&lt;wsp:rsid wsp:val=&quot;007E13D2&quot;/&gt;&lt;wsp:rsid wsp:val=&quot;007E1B19&quot;/&gt;&lt;wsp:rsid wsp:val=&quot;007E1E1C&quot;/&gt;&lt;wsp:rsid wsp:val=&quot;007E1EBE&quot;/&gt;&lt;wsp:rsid wsp:val=&quot;007E2019&quot;/&gt;&lt;wsp:rsid wsp:val=&quot;007E289B&quot;/&gt;&lt;wsp:rsid wsp:val=&quot;007E294F&quot;/&gt;&lt;wsp:rsid wsp:val=&quot;007E2D58&quot;/&gt;&lt;wsp:rsid wsp:val=&quot;007E3297&quot;/&gt;&lt;wsp:rsid wsp:val=&quot;007E38FF&quot;/&gt;&lt;wsp:rsid wsp:val=&quot;007E39B5&quot;/&gt;&lt;wsp:rsid wsp:val=&quot;007E4302&quot;/&gt;&lt;wsp:rsid wsp:val=&quot;007E49A2&quot;/&gt;&lt;wsp:rsid wsp:val=&quot;007E4D89&quot;/&gt;&lt;wsp:rsid wsp:val=&quot;007E4E60&quot;/&gt;&lt;wsp:rsid wsp:val=&quot;007E53D9&quot;/&gt;&lt;wsp:rsid wsp:val=&quot;007E5CC7&quot;/&gt;&lt;wsp:rsid wsp:val=&quot;007E5E81&quot;/&gt;&lt;wsp:rsid wsp:val=&quot;007E5F84&quot;/&gt;&lt;wsp:rsid wsp:val=&quot;007E623D&quot;/&gt;&lt;wsp:rsid wsp:val=&quot;007E6384&quot;/&gt;&lt;wsp:rsid wsp:val=&quot;007E65E2&quot;/&gt;&lt;wsp:rsid wsp:val=&quot;007E6BE4&quot;/&gt;&lt;wsp:rsid wsp:val=&quot;007E7686&quot;/&gt;&lt;wsp:rsid wsp:val=&quot;007E7C74&quot;/&gt;&lt;wsp:rsid wsp:val=&quot;007E7CB2&quot;/&gt;&lt;wsp:rsid wsp:val=&quot;007E7D14&quot;/&gt;&lt;wsp:rsid wsp:val=&quot;007F0C20&quot;/&gt;&lt;wsp:rsid wsp:val=&quot;007F0D4A&quot;/&gt;&lt;wsp:rsid wsp:val=&quot;007F1813&quot;/&gt;&lt;wsp:rsid wsp:val=&quot;007F1F02&quot;/&gt;&lt;wsp:rsid wsp:val=&quot;007F2380&quot;/&gt;&lt;wsp:rsid wsp:val=&quot;007F2BF4&quot;/&gt;&lt;wsp:rsid wsp:val=&quot;007F3301&quot;/&gt;&lt;wsp:rsid wsp:val=&quot;007F4181&quot;/&gt;&lt;wsp:rsid wsp:val=&quot;007F4933&quot;/&gt;&lt;wsp:rsid wsp:val=&quot;007F514B&quot;/&gt;&lt;wsp:rsid wsp:val=&quot;007F6187&quot;/&gt;&lt;wsp:rsid wsp:val=&quot;007F6DB3&quot;/&gt;&lt;wsp:rsid wsp:val=&quot;007F7A1B&quot;/&gt;&lt;wsp:rsid wsp:val=&quot;00800026&quot;/&gt;&lt;wsp:rsid wsp:val=&quot;0080033D&quot;/&gt;&lt;wsp:rsid wsp:val=&quot;00800628&quot;/&gt;&lt;wsp:rsid wsp:val=&quot;008011CF&quot;/&gt;&lt;wsp:rsid wsp:val=&quot;0080181F&quot;/&gt;&lt;wsp:rsid wsp:val=&quot;00801B96&quot;/&gt;&lt;wsp:rsid wsp:val=&quot;00802073&quot;/&gt;&lt;wsp:rsid wsp:val=&quot;008027F2&quot;/&gt;&lt;wsp:rsid wsp:val=&quot;008036FE&quot;/&gt;&lt;wsp:rsid wsp:val=&quot;00803D2B&quot;/&gt;&lt;wsp:rsid wsp:val=&quot;0080437C&quot;/&gt;&lt;wsp:rsid wsp:val=&quot;00804444&quot;/&gt;&lt;wsp:rsid wsp:val=&quot;00804B60&quot;/&gt;&lt;wsp:rsid wsp:val=&quot;008053A8&quot;/&gt;&lt;wsp:rsid wsp:val=&quot;0080594C&quot;/&gt;&lt;wsp:rsid wsp:val=&quot;00805A27&quot;/&gt;&lt;wsp:rsid wsp:val=&quot;00806267&quot;/&gt;&lt;wsp:rsid wsp:val=&quot;0080661F&quot;/&gt;&lt;wsp:rsid wsp:val=&quot;00806C39&quot;/&gt;&lt;wsp:rsid wsp:val=&quot;00807D4E&quot;/&gt;&lt;wsp:rsid wsp:val=&quot;00810F47&quot;/&gt;&lt;wsp:rsid wsp:val=&quot;008113D5&quot;/&gt;&lt;wsp:rsid wsp:val=&quot;00811EB3&quot;/&gt;&lt;wsp:rsid wsp:val=&quot;0081258E&quot;/&gt;&lt;wsp:rsid wsp:val=&quot;00812609&quot;/&gt;&lt;wsp:rsid wsp:val=&quot;00812FD0&quot;/&gt;&lt;wsp:rsid wsp:val=&quot;00813011&quot;/&gt;&lt;wsp:rsid wsp:val=&quot;00813024&quot;/&gt;&lt;wsp:rsid wsp:val=&quot;00813430&quot;/&gt;&lt;wsp:rsid wsp:val=&quot;00813E78&quot;/&gt;&lt;wsp:rsid wsp:val=&quot;008141B6&quot;/&gt;&lt;wsp:rsid wsp:val=&quot;0081472B&quot;/&gt;&lt;wsp:rsid wsp:val=&quot;008159B8&quot;/&gt;&lt;wsp:rsid wsp:val=&quot;00816ED7&quot;/&gt;&lt;wsp:rsid wsp:val=&quot;00817112&quot;/&gt;&lt;wsp:rsid wsp:val=&quot;00817AC2&quot;/&gt;&lt;wsp:rsid wsp:val=&quot;0082063B&quot;/&gt;&lt;wsp:rsid wsp:val=&quot;00820965&quot;/&gt;&lt;wsp:rsid wsp:val=&quot;00820BF7&quot;/&gt;&lt;wsp:rsid wsp:val=&quot;0082130C&quot;/&gt;&lt;wsp:rsid wsp:val=&quot;00821AEE&quot;/&gt;&lt;wsp:rsid wsp:val=&quot;008223CB&quot;/&gt;&lt;wsp:rsid wsp:val=&quot;0082436B&quot;/&gt;&lt;wsp:rsid wsp:val=&quot;00825993&quot;/&gt;&lt;wsp:rsid wsp:val=&quot;008259C1&quot;/&gt;&lt;wsp:rsid wsp:val=&quot;00825CAA&quot;/&gt;&lt;wsp:rsid wsp:val=&quot;008262EB&quot;/&gt;&lt;wsp:rsid wsp:val=&quot;008270D8&quot;/&gt;&lt;wsp:rsid wsp:val=&quot;008272EB&quot;/&gt;&lt;wsp:rsid wsp:val=&quot;00827611&quot;/&gt;&lt;wsp:rsid wsp:val=&quot;00827DF9&quot;/&gt;&lt;wsp:rsid wsp:val=&quot;00827F6E&quot;/&gt;&lt;wsp:rsid wsp:val=&quot;008304D3&quot;/&gt;&lt;wsp:rsid wsp:val=&quot;00830BD3&quot;/&gt;&lt;wsp:rsid wsp:val=&quot;0083183E&quot;/&gt;&lt;wsp:rsid wsp:val=&quot;00831D79&quot;/&gt;&lt;wsp:rsid wsp:val=&quot;008325E7&quot;/&gt;&lt;wsp:rsid wsp:val=&quot;0083287C&quot;/&gt;&lt;wsp:rsid wsp:val=&quot;00832BB3&quot;/&gt;&lt;wsp:rsid wsp:val=&quot;00832BDA&quot;/&gt;&lt;wsp:rsid wsp:val=&quot;00833364&quot;/&gt;&lt;wsp:rsid wsp:val=&quot;00833950&quot;/&gt;&lt;wsp:rsid wsp:val=&quot;00833A6F&quot;/&gt;&lt;wsp:rsid wsp:val=&quot;00833B2D&quot;/&gt;&lt;wsp:rsid wsp:val=&quot;0083413F&quot;/&gt;&lt;wsp:rsid wsp:val=&quot;00835911&quot;/&gt;&lt;wsp:rsid wsp:val=&quot;00835E4E&quot;/&gt;&lt;wsp:rsid wsp:val=&quot;00836DB2&quot;/&gt;&lt;wsp:rsid wsp:val=&quot;00837966&quot;/&gt;&lt;wsp:rsid wsp:val=&quot;00837C00&quot;/&gt;&lt;wsp:rsid wsp:val=&quot;0084031A&quot;/&gt;&lt;wsp:rsid wsp:val=&quot;0084041A&quot;/&gt;&lt;wsp:rsid wsp:val=&quot;00840A5D&quot;/&gt;&lt;wsp:rsid wsp:val=&quot;00840E10&quot;/&gt;&lt;wsp:rsid wsp:val=&quot;00840E8A&quot;/&gt;&lt;wsp:rsid wsp:val=&quot;0084112F&quot;/&gt;&lt;wsp:rsid wsp:val=&quot;008412E0&quot;/&gt;&lt;wsp:rsid wsp:val=&quot;00841A97&quot;/&gt;&lt;wsp:rsid wsp:val=&quot;00842121&quot;/&gt;&lt;wsp:rsid wsp:val=&quot;0084220A&quot;/&gt;&lt;wsp:rsid wsp:val=&quot;00842BDF&quot;/&gt;&lt;wsp:rsid wsp:val=&quot;008436BA&quot;/&gt;&lt;wsp:rsid wsp:val=&quot;00843A80&quot;/&gt;&lt;wsp:rsid wsp:val=&quot;00843DFC&quot;/&gt;&lt;wsp:rsid wsp:val=&quot;00844A6E&quot;/&gt;&lt;wsp:rsid wsp:val=&quot;0084517C&quot;/&gt;&lt;wsp:rsid wsp:val=&quot;00845493&quot;/&gt;&lt;wsp:rsid wsp:val=&quot;00845C94&quot;/&gt;&lt;wsp:rsid wsp:val=&quot;00845E49&quot;/&gt;&lt;wsp:rsid wsp:val=&quot;00845EAC&quot;/&gt;&lt;wsp:rsid wsp:val=&quot;00846336&quot;/&gt;&lt;wsp:rsid wsp:val=&quot;008466E0&quot;/&gt;&lt;wsp:rsid wsp:val=&quot;00846A52&quot;/&gt;&lt;wsp:rsid wsp:val=&quot;008475BC&quot;/&gt;&lt;wsp:rsid wsp:val=&quot;00847B46&quot;/&gt;&lt;wsp:rsid wsp:val=&quot;00847B7E&quot;/&gt;&lt;wsp:rsid wsp:val=&quot;008507C6&quot;/&gt;&lt;wsp:rsid wsp:val=&quot;00851B08&quot;/&gt;&lt;wsp:rsid wsp:val=&quot;00851C62&quot;/&gt;&lt;wsp:rsid wsp:val=&quot;008531E0&quot;/&gt;&lt;wsp:rsid wsp:val=&quot;008536A2&quot;/&gt;&lt;wsp:rsid wsp:val=&quot;00853A46&quot;/&gt;&lt;wsp:rsid wsp:val=&quot;00855CA8&quot;/&gt;&lt;wsp:rsid wsp:val=&quot;00855D9D&quot;/&gt;&lt;wsp:rsid wsp:val=&quot;00855EC1&quot;/&gt;&lt;wsp:rsid wsp:val=&quot;00856180&quot;/&gt;&lt;wsp:rsid wsp:val=&quot;00856B4B&quot;/&gt;&lt;wsp:rsid wsp:val=&quot;00856C0F&quot;/&gt;&lt;wsp:rsid wsp:val=&quot;008601C0&quot;/&gt;&lt;wsp:rsid wsp:val=&quot;00860457&quot;/&gt;&lt;wsp:rsid wsp:val=&quot;0086093C&quot;/&gt;&lt;wsp:rsid wsp:val=&quot;00860B67&quot;/&gt;&lt;wsp:rsid wsp:val=&quot;008612B4&quot;/&gt;&lt;wsp:rsid wsp:val=&quot;00861364&quot;/&gt;&lt;wsp:rsid wsp:val=&quot;00861891&quot;/&gt;&lt;wsp:rsid wsp:val=&quot;0086273F&quot;/&gt;&lt;wsp:rsid wsp:val=&quot;00862C70&quot;/&gt;&lt;wsp:rsid wsp:val=&quot;00862CA3&quot;/&gt;&lt;wsp:rsid wsp:val=&quot;00862CDE&quot;/&gt;&lt;wsp:rsid wsp:val=&quot;00862E70&quot;/&gt;&lt;wsp:rsid wsp:val=&quot;00863912&quot;/&gt;&lt;wsp:rsid wsp:val=&quot;00864360&quot;/&gt;&lt;wsp:rsid wsp:val=&quot;00864F9C&quot;/&gt;&lt;wsp:rsid wsp:val=&quot;00865BC2&quot;/&gt;&lt;wsp:rsid wsp:val=&quot;00866B8D&quot;/&gt;&lt;wsp:rsid wsp:val=&quot;00866CC1&quot;/&gt;&lt;wsp:rsid wsp:val=&quot;00867700&quot;/&gt;&lt;wsp:rsid wsp:val=&quot;00870238&quot;/&gt;&lt;wsp:rsid wsp:val=&quot;0087044A&quot;/&gt;&lt;wsp:rsid wsp:val=&quot;0087095C&quot;/&gt;&lt;wsp:rsid wsp:val=&quot;00871220&quot;/&gt;&lt;wsp:rsid wsp:val=&quot;008719E1&quot;/&gt;&lt;wsp:rsid wsp:val=&quot;008721A9&quot;/&gt;&lt;wsp:rsid wsp:val=&quot;0087258D&quot;/&gt;&lt;wsp:rsid wsp:val=&quot;00872E5D&quot;/&gt;&lt;wsp:rsid wsp:val=&quot;00873DA2&quot;/&gt;&lt;wsp:rsid wsp:val=&quot;008748A9&quot;/&gt;&lt;wsp:rsid wsp:val=&quot;00874A45&quot;/&gt;&lt;wsp:rsid wsp:val=&quot;00874C46&quot;/&gt;&lt;wsp:rsid wsp:val=&quot;0087504F&quot;/&gt;&lt;wsp:rsid wsp:val=&quot;0087538D&quot;/&gt;&lt;wsp:rsid wsp:val=&quot;0087553F&quot;/&gt;&lt;wsp:rsid wsp:val=&quot;00876A70&quot;/&gt;&lt;wsp:rsid wsp:val=&quot;00876B43&quot;/&gt;&lt;wsp:rsid wsp:val=&quot;008800D5&quot;/&gt;&lt;wsp:rsid wsp:val=&quot;008803C1&quot;/&gt;&lt;wsp:rsid wsp:val=&quot;0088135A&quot;/&gt;&lt;wsp:rsid wsp:val=&quot;00881445&quot;/&gt;&lt;wsp:rsid wsp:val=&quot;00881AE8&quot;/&gt;&lt;wsp:rsid wsp:val=&quot;00882413&quot;/&gt;&lt;wsp:rsid wsp:val=&quot;008825C3&quot;/&gt;&lt;wsp:rsid wsp:val=&quot;00882C40&quot;/&gt;&lt;wsp:rsid wsp:val=&quot;00882E62&quot;/&gt;&lt;wsp:rsid wsp:val=&quot;00883112&quot;/&gt;&lt;wsp:rsid wsp:val=&quot;008841B8&quot;/&gt;&lt;wsp:rsid wsp:val=&quot;0088453F&quot;/&gt;&lt;wsp:rsid wsp:val=&quot;00884ABD&quot;/&gt;&lt;wsp:rsid wsp:val=&quot;00885668&quot;/&gt;&lt;wsp:rsid wsp:val=&quot;00885E6B&quot;/&gt;&lt;wsp:rsid wsp:val=&quot;008867C9&quot;/&gt;&lt;wsp:rsid wsp:val=&quot;0088791B&quot;/&gt;&lt;wsp:rsid wsp:val=&quot;00890AB1&quot;/&gt;&lt;wsp:rsid wsp:val=&quot;00890DEF&quot;/&gt;&lt;wsp:rsid wsp:val=&quot;00892108&quot;/&gt;&lt;wsp:rsid wsp:val=&quot;008921FC&quot;/&gt;&lt;wsp:rsid wsp:val=&quot;00893513&quot;/&gt;&lt;wsp:rsid wsp:val=&quot;00893AFB&quot;/&gt;&lt;wsp:rsid wsp:val=&quot;0089429E&quot;/&gt;&lt;wsp:rsid wsp:val=&quot;00894FB4&quot;/&gt;&lt;wsp:rsid wsp:val=&quot;00895259&quot;/&gt;&lt;wsp:rsid wsp:val=&quot;0089540B&quot;/&gt;&lt;wsp:rsid wsp:val=&quot;00895657&quot;/&gt;&lt;wsp:rsid wsp:val=&quot;00895A0C&quot;/&gt;&lt;wsp:rsid wsp:val=&quot;00895FB1&quot;/&gt;&lt;wsp:rsid wsp:val=&quot;00896718&quot;/&gt;&lt;wsp:rsid wsp:val=&quot;00896EB2&quot;/&gt;&lt;wsp:rsid wsp:val=&quot;008976D1&quot;/&gt;&lt;wsp:rsid wsp:val=&quot;00897D4A&quot;/&gt;&lt;wsp:rsid wsp:val=&quot;008A0284&quot;/&gt;&lt;wsp:rsid wsp:val=&quot;008A0661&quot;/&gt;&lt;wsp:rsid wsp:val=&quot;008A0AD0&quot;/&gt;&lt;wsp:rsid wsp:val=&quot;008A0C5C&quot;/&gt;&lt;wsp:rsid wsp:val=&quot;008A0FF3&quot;/&gt;&lt;wsp:rsid wsp:val=&quot;008A154B&quot;/&gt;&lt;wsp:rsid wsp:val=&quot;008A1DE7&quot;/&gt;&lt;wsp:rsid wsp:val=&quot;008A21EE&quot;/&gt;&lt;wsp:rsid wsp:val=&quot;008A24EA&quot;/&gt;&lt;wsp:rsid wsp:val=&quot;008A3B4D&quot;/&gt;&lt;wsp:rsid wsp:val=&quot;008A3D7D&quot;/&gt;&lt;wsp:rsid wsp:val=&quot;008A3E07&quot;/&gt;&lt;wsp:rsid wsp:val=&quot;008A3F77&quot;/&gt;&lt;wsp:rsid wsp:val=&quot;008A410D&quot;/&gt;&lt;wsp:rsid wsp:val=&quot;008A4296&quot;/&gt;&lt;wsp:rsid wsp:val=&quot;008A4BA3&quot;/&gt;&lt;wsp:rsid wsp:val=&quot;008A4C88&quot;/&gt;&lt;wsp:rsid wsp:val=&quot;008A4CE6&quot;/&gt;&lt;wsp:rsid wsp:val=&quot;008A5334&quot;/&gt;&lt;wsp:rsid wsp:val=&quot;008A5654&quot;/&gt;&lt;wsp:rsid wsp:val=&quot;008A5FE7&quot;/&gt;&lt;wsp:rsid wsp:val=&quot;008A6577&quot;/&gt;&lt;wsp:rsid wsp:val=&quot;008A6A5E&quot;/&gt;&lt;wsp:rsid wsp:val=&quot;008A6AE6&quot;/&gt;&lt;wsp:rsid wsp:val=&quot;008A7989&quot;/&gt;&lt;wsp:rsid wsp:val=&quot;008A7A6E&quot;/&gt;&lt;wsp:rsid wsp:val=&quot;008B077F&quot;/&gt;&lt;wsp:rsid wsp:val=&quot;008B0DF0&quot;/&gt;&lt;wsp:rsid wsp:val=&quot;008B0EC6&quot;/&gt;&lt;wsp:rsid wsp:val=&quot;008B14E4&quot;/&gt;&lt;wsp:rsid wsp:val=&quot;008B26FD&quot;/&gt;&lt;wsp:rsid wsp:val=&quot;008B275A&quot;/&gt;&lt;wsp:rsid wsp:val=&quot;008B2839&quot;/&gt;&lt;wsp:rsid wsp:val=&quot;008B29D2&quot;/&gt;&lt;wsp:rsid wsp:val=&quot;008B2B01&quot;/&gt;&lt;wsp:rsid wsp:val=&quot;008B2DC4&quot;/&gt;&lt;wsp:rsid wsp:val=&quot;008B2EC8&quot;/&gt;&lt;wsp:rsid wsp:val=&quot;008B3865&quot;/&gt;&lt;wsp:rsid wsp:val=&quot;008B387B&quot;/&gt;&lt;wsp:rsid wsp:val=&quot;008B3967&quot;/&gt;&lt;wsp:rsid wsp:val=&quot;008B3E24&quot;/&gt;&lt;wsp:rsid wsp:val=&quot;008B4860&quot;/&gt;&lt;wsp:rsid wsp:val=&quot;008B4894&quot;/&gt;&lt;wsp:rsid wsp:val=&quot;008B5537&quot;/&gt;&lt;wsp:rsid wsp:val=&quot;008B5727&quot;/&gt;&lt;wsp:rsid wsp:val=&quot;008B651C&quot;/&gt;&lt;wsp:rsid wsp:val=&quot;008B68D5&quot;/&gt;&lt;wsp:rsid wsp:val=&quot;008B6B27&quot;/&gt;&lt;wsp:rsid wsp:val=&quot;008B6B8F&quot;/&gt;&lt;wsp:rsid wsp:val=&quot;008B6C84&quot;/&gt;&lt;wsp:rsid wsp:val=&quot;008B7413&quot;/&gt;&lt;wsp:rsid wsp:val=&quot;008B747C&quot;/&gt;&lt;wsp:rsid wsp:val=&quot;008B7FE7&quot;/&gt;&lt;wsp:rsid wsp:val=&quot;008C0437&quot;/&gt;&lt;wsp:rsid wsp:val=&quot;008C101E&quot;/&gt;&lt;wsp:rsid wsp:val=&quot;008C1338&quot;/&gt;&lt;wsp:rsid wsp:val=&quot;008C1D36&quot;/&gt;&lt;wsp:rsid wsp:val=&quot;008C1EC9&quot;/&gt;&lt;wsp:rsid wsp:val=&quot;008C29B7&quot;/&gt;&lt;wsp:rsid wsp:val=&quot;008C2AAB&quot;/&gt;&lt;wsp:rsid wsp:val=&quot;008C2AD8&quot;/&gt;&lt;wsp:rsid wsp:val=&quot;008C2B0E&quot;/&gt;&lt;wsp:rsid wsp:val=&quot;008C2D15&quot;/&gt;&lt;wsp:rsid wsp:val=&quot;008C2E6D&quot;/&gt;&lt;wsp:rsid wsp:val=&quot;008C3755&quot;/&gt;&lt;wsp:rsid wsp:val=&quot;008C3B78&quot;/&gt;&lt;wsp:rsid wsp:val=&quot;008C4053&quot;/&gt;&lt;wsp:rsid wsp:val=&quot;008C4932&quot;/&gt;&lt;wsp:rsid wsp:val=&quot;008C4A60&quot;/&gt;&lt;wsp:rsid wsp:val=&quot;008C4AF1&quot;/&gt;&lt;wsp:rsid wsp:val=&quot;008C6C4F&quot;/&gt;&lt;wsp:rsid wsp:val=&quot;008C72E1&quot;/&gt;&lt;wsp:rsid wsp:val=&quot;008C7D95&quot;/&gt;&lt;wsp:rsid wsp:val=&quot;008D08AB&quot;/&gt;&lt;wsp:rsid wsp:val=&quot;008D0AA1&quot;/&gt;&lt;wsp:rsid wsp:val=&quot;008D0BBC&quot;/&gt;&lt;wsp:rsid wsp:val=&quot;008D0CF5&quot;/&gt;&lt;wsp:rsid wsp:val=&quot;008D0FFA&quot;/&gt;&lt;wsp:rsid wsp:val=&quot;008D15C4&quot;/&gt;&lt;wsp:rsid wsp:val=&quot;008D1820&quot;/&gt;&lt;wsp:rsid wsp:val=&quot;008D1D70&quot;/&gt;&lt;wsp:rsid wsp:val=&quot;008D1FDA&quot;/&gt;&lt;wsp:rsid wsp:val=&quot;008D230E&quot;/&gt;&lt;wsp:rsid wsp:val=&quot;008D2452&quot;/&gt;&lt;wsp:rsid wsp:val=&quot;008D357A&quot;/&gt;&lt;wsp:rsid wsp:val=&quot;008D4A25&quot;/&gt;&lt;wsp:rsid wsp:val=&quot;008D4BAD&quot;/&gt;&lt;wsp:rsid wsp:val=&quot;008D4C8D&quot;/&gt;&lt;wsp:rsid wsp:val=&quot;008D4EC5&quot;/&gt;&lt;wsp:rsid wsp:val=&quot;008D4F57&quot;/&gt;&lt;wsp:rsid wsp:val=&quot;008D50D2&quot;/&gt;&lt;wsp:rsid wsp:val=&quot;008D5FBC&quot;/&gt;&lt;wsp:rsid wsp:val=&quot;008D63CD&quot;/&gt;&lt;wsp:rsid wsp:val=&quot;008D6880&quot;/&gt;&lt;wsp:rsid wsp:val=&quot;008D7E2C&quot;/&gt;&lt;wsp:rsid wsp:val=&quot;008E0A2C&quot;/&gt;&lt;wsp:rsid wsp:val=&quot;008E0E02&quot;/&gt;&lt;wsp:rsid wsp:val=&quot;008E1D73&quot;/&gt;&lt;wsp:rsid wsp:val=&quot;008E2DFF&quot;/&gt;&lt;wsp:rsid wsp:val=&quot;008E3BCA&quot;/&gt;&lt;wsp:rsid wsp:val=&quot;008E3EDA&quot;/&gt;&lt;wsp:rsid wsp:val=&quot;008E4853&quot;/&gt;&lt;wsp:rsid wsp:val=&quot;008E5BE9&quot;/&gt;&lt;wsp:rsid wsp:val=&quot;008E5CE8&quot;/&gt;&lt;wsp:rsid wsp:val=&quot;008E5EE3&quot;/&gt;&lt;wsp:rsid wsp:val=&quot;008E660C&quot;/&gt;&lt;wsp:rsid wsp:val=&quot;008E703B&quot;/&gt;&lt;wsp:rsid wsp:val=&quot;008E7A09&quot;/&gt;&lt;wsp:rsid wsp:val=&quot;008E7C4F&quot;/&gt;&lt;wsp:rsid wsp:val=&quot;008F0485&quot;/&gt;&lt;wsp:rsid wsp:val=&quot;008F0793&quot;/&gt;&lt;wsp:rsid wsp:val=&quot;008F0FDC&quot;/&gt;&lt;wsp:rsid wsp:val=&quot;008F3812&quot;/&gt;&lt;wsp:rsid wsp:val=&quot;008F48EB&quot;/&gt;&lt;wsp:rsid wsp:val=&quot;008F66E6&quot;/&gt;&lt;wsp:rsid wsp:val=&quot;008F6889&quot;/&gt;&lt;wsp:rsid wsp:val=&quot;008F6A40&quot;/&gt;&lt;wsp:rsid wsp:val=&quot;008F6F6A&quot;/&gt;&lt;wsp:rsid wsp:val=&quot;008F7612&quot;/&gt;&lt;wsp:rsid wsp:val=&quot;008F7776&quot;/&gt;&lt;wsp:rsid wsp:val=&quot;008F7952&quot;/&gt;&lt;wsp:rsid wsp:val=&quot;008F7A99&quot;/&gt;&lt;wsp:rsid wsp:val=&quot;008F7C95&quot;/&gt;&lt;wsp:rsid wsp:val=&quot;008F7FEC&quot;/&gt;&lt;wsp:rsid wsp:val=&quot;009001CC&quot;/&gt;&lt;wsp:rsid wsp:val=&quot;009006D8&quot;/&gt;&lt;wsp:rsid wsp:val=&quot;009007AC&quot;/&gt;&lt;wsp:rsid wsp:val=&quot;009010A4&quot;/&gt;&lt;wsp:rsid wsp:val=&quot;00901288&quot;/&gt;&lt;wsp:rsid wsp:val=&quot;00901C9F&quot;/&gt;&lt;wsp:rsid wsp:val=&quot;00901D0C&quot;/&gt;&lt;wsp:rsid wsp:val=&quot;0090215E&quot;/&gt;&lt;wsp:rsid wsp:val=&quot;00902416&quot;/&gt;&lt;wsp:rsid wsp:val=&quot;00902578&quot;/&gt;&lt;wsp:rsid wsp:val=&quot;009028D1&quot;/&gt;&lt;wsp:rsid wsp:val=&quot;00903146&quot;/&gt;&lt;wsp:rsid wsp:val=&quot;009040CF&quot;/&gt;&lt;wsp:rsid wsp:val=&quot;0090432C&quot;/&gt;&lt;wsp:rsid wsp:val=&quot;0090443E&quot;/&gt;&lt;wsp:rsid wsp:val=&quot;0090473B&quot;/&gt;&lt;wsp:rsid wsp:val=&quot;009049C4&quot;/&gt;&lt;wsp:rsid wsp:val=&quot;009054D8&quot;/&gt;&lt;wsp:rsid wsp:val=&quot;00906995&quot;/&gt;&lt;wsp:rsid wsp:val=&quot;00906A6D&quot;/&gt;&lt;wsp:rsid wsp:val=&quot;00907275&quot;/&gt;&lt;wsp:rsid wsp:val=&quot;00907DA8&quot;/&gt;&lt;wsp:rsid wsp:val=&quot;00907E00&quot;/&gt;&lt;wsp:rsid wsp:val=&quot;009105AB&quot;/&gt;&lt;wsp:rsid wsp:val=&quot;009106C1&quot;/&gt;&lt;wsp:rsid wsp:val=&quot;00910BF2&quot;/&gt;&lt;wsp:rsid wsp:val=&quot;00910EF4&quot;/&gt;&lt;wsp:rsid wsp:val=&quot;00911CDA&quot;/&gt;&lt;wsp:rsid wsp:val=&quot;009120CE&quot;/&gt;&lt;wsp:rsid wsp:val=&quot;009122B3&quot;/&gt;&lt;wsp:rsid wsp:val=&quot;00912716&quot;/&gt;&lt;wsp:rsid wsp:val=&quot;00912989&quot;/&gt;&lt;wsp:rsid wsp:val=&quot;009131DA&quot;/&gt;&lt;wsp:rsid wsp:val=&quot;00913217&quot;/&gt;&lt;wsp:rsid wsp:val=&quot;00913350&quot;/&gt;&lt;wsp:rsid wsp:val=&quot;00913A18&quot;/&gt;&lt;wsp:rsid wsp:val=&quot;00913CE1&quot;/&gt;&lt;wsp:rsid wsp:val=&quot;00913D92&quot;/&gt;&lt;wsp:rsid wsp:val=&quot;00914021&quot;/&gt;&lt;wsp:rsid wsp:val=&quot;00914493&quot;/&gt;&lt;wsp:rsid wsp:val=&quot;009145D9&quot;/&gt;&lt;wsp:rsid wsp:val=&quot;00914B2F&quot;/&gt;&lt;wsp:rsid wsp:val=&quot;00914EE5&quot;/&gt;&lt;wsp:rsid wsp:val=&quot;009164E8&quot;/&gt;&lt;wsp:rsid wsp:val=&quot;0091714E&quot;/&gt;&lt;wsp:rsid wsp:val=&quot;00917A74&quot;/&gt;&lt;wsp:rsid wsp:val=&quot;0092018E&quot;/&gt;&lt;wsp:rsid wsp:val=&quot;00920987&quot;/&gt;&lt;wsp:rsid wsp:val=&quot;00921D30&quot;/&gt;&lt;wsp:rsid wsp:val=&quot;00922123&quot;/&gt;&lt;wsp:rsid wsp:val=&quot;00922629&quot;/&gt;&lt;wsp:rsid wsp:val=&quot;00922985&quot;/&gt;&lt;wsp:rsid wsp:val=&quot;00922BED&quot;/&gt;&lt;wsp:rsid wsp:val=&quot;00922D28&quot;/&gt;&lt;wsp:rsid wsp:val=&quot;0092386D&quot;/&gt;&lt;wsp:rsid wsp:val=&quot;00924400&quot;/&gt;&lt;wsp:rsid wsp:val=&quot;00924788&quot;/&gt;&lt;wsp:rsid wsp:val=&quot;0092478B&quot;/&gt;&lt;wsp:rsid wsp:val=&quot;00924934&quot;/&gt;&lt;wsp:rsid wsp:val=&quot;009250B2&quot;/&gt;&lt;wsp:rsid wsp:val=&quot;00925D34&quot;/&gt;&lt;wsp:rsid wsp:val=&quot;00927552&quot;/&gt;&lt;wsp:rsid wsp:val=&quot;00927AE1&quot;/&gt;&lt;wsp:rsid wsp:val=&quot;00927B6F&quot;/&gt;&lt;wsp:rsid wsp:val=&quot;00927DAA&quot;/&gt;&lt;wsp:rsid wsp:val=&quot;00927F02&quot;/&gt;&lt;wsp:rsid wsp:val=&quot;009303AE&quot;/&gt;&lt;wsp:rsid wsp:val=&quot;009307E8&quot;/&gt;&lt;wsp:rsid wsp:val=&quot;00930A92&quot;/&gt;&lt;wsp:rsid wsp:val=&quot;00930FE3&quot;/&gt;&lt;wsp:rsid wsp:val=&quot;009315D1&quot;/&gt;&lt;wsp:rsid wsp:val=&quot;00931878&quot;/&gt;&lt;wsp:rsid wsp:val=&quot;00931A91&quot;/&gt;&lt;wsp:rsid wsp:val=&quot;00931AFF&quot;/&gt;&lt;wsp:rsid wsp:val=&quot;0093204C&quot;/&gt;&lt;wsp:rsid wsp:val=&quot;0093402B&quot;/&gt;&lt;wsp:rsid wsp:val=&quot;00934286&quot;/&gt;&lt;wsp:rsid wsp:val=&quot;0093429B&quot;/&gt;&lt;wsp:rsid wsp:val=&quot;00934BA0&quot;/&gt;&lt;wsp:rsid wsp:val=&quot;00934BF1&quot;/&gt;&lt;wsp:rsid wsp:val=&quot;00935431&quot;/&gt;&lt;wsp:rsid wsp:val=&quot;00935E33&quot;/&gt;&lt;wsp:rsid wsp:val=&quot;00936291&quot;/&gt;&lt;wsp:rsid wsp:val=&quot;009369EB&quot;/&gt;&lt;wsp:rsid wsp:val=&quot;0093719F&quot;/&gt;&lt;wsp:rsid wsp:val=&quot;009375AD&quot;/&gt;&lt;wsp:rsid wsp:val=&quot;009375E6&quot;/&gt;&lt;wsp:rsid wsp:val=&quot;00937B2E&quot;/&gt;&lt;wsp:rsid wsp:val=&quot;0094184E&quot;/&gt;&lt;wsp:rsid wsp:val=&quot;009430C0&quot;/&gt;&lt;wsp:rsid wsp:val=&quot;0094321B&quot;/&gt;&lt;wsp:rsid wsp:val=&quot;00943421&quot;/&gt;&lt;wsp:rsid wsp:val=&quot;00944F62&quot;/&gt;&lt;wsp:rsid wsp:val=&quot;00944FB0&quot;/&gt;&lt;wsp:rsid wsp:val=&quot;009454B1&quot;/&gt;&lt;wsp:rsid wsp:val=&quot;00945F07&quot;/&gt;&lt;wsp:rsid wsp:val=&quot;00947985&quot;/&gt;&lt;wsp:rsid wsp:val=&quot;00947B16&quot;/&gt;&lt;wsp:rsid wsp:val=&quot;00947CC1&quot;/&gt;&lt;wsp:rsid wsp:val=&quot;00947DCC&quot;/&gt;&lt;wsp:rsid wsp:val=&quot;009501AB&quot;/&gt;&lt;wsp:rsid wsp:val=&quot;0095049A&quot;/&gt;&lt;wsp:rsid wsp:val=&quot;009509B3&quot;/&gt;&lt;wsp:rsid wsp:val=&quot;0095182B&quot;/&gt;&lt;wsp:rsid wsp:val=&quot;00951C9A&quot;/&gt;&lt;wsp:rsid wsp:val=&quot;00951E0F&quot;/&gt;&lt;wsp:rsid wsp:val=&quot;00952770&quot;/&gt;&lt;wsp:rsid wsp:val=&quot;0095373B&quot;/&gt;&lt;wsp:rsid wsp:val=&quot;00953B0A&quot;/&gt;&lt;wsp:rsid wsp:val=&quot;00953BA5&quot;/&gt;&lt;wsp:rsid wsp:val=&quot;00953D35&quot;/&gt;&lt;wsp:rsid wsp:val=&quot;00954622&quot;/&gt;&lt;wsp:rsid wsp:val=&quot;00955ACF&quot;/&gt;&lt;wsp:rsid wsp:val=&quot;00955D11&quot;/&gt;&lt;wsp:rsid wsp:val=&quot;00956104&quot;/&gt;&lt;wsp:rsid wsp:val=&quot;00957DA8&quot;/&gt;&lt;wsp:rsid wsp:val=&quot;00957E09&quot;/&gt;&lt;wsp:rsid wsp:val=&quot;00960432&quot;/&gt;&lt;wsp:rsid wsp:val=&quot;00960FA3&quot;/&gt;&lt;wsp:rsid wsp:val=&quot;00962618&quot;/&gt;&lt;wsp:rsid wsp:val=&quot;009636E5&quot;/&gt;&lt;wsp:rsid wsp:val=&quot;00963AE9&quot;/&gt;&lt;wsp:rsid wsp:val=&quot;00963BA6&quot;/&gt;&lt;wsp:rsid wsp:val=&quot;00963FF8&quot;/&gt;&lt;wsp:rsid wsp:val=&quot;009641B4&quot;/&gt;&lt;wsp:rsid wsp:val=&quot;009642E8&quot;/&gt;&lt;wsp:rsid wsp:val=&quot;00965012&quot;/&gt;&lt;wsp:rsid wsp:val=&quot;009658CC&quot;/&gt;&lt;wsp:rsid wsp:val=&quot;00966372&quot;/&gt;&lt;wsp:rsid wsp:val=&quot;00967AF7&quot;/&gt;&lt;wsp:rsid wsp:val=&quot;00970C16&quot;/&gt;&lt;wsp:rsid wsp:val=&quot;00970F09&quot;/&gt;&lt;wsp:rsid wsp:val=&quot;0097136B&quot;/&gt;&lt;wsp:rsid wsp:val=&quot;00972522&quot;/&gt;&lt;wsp:rsid wsp:val=&quot;009739C0&quot;/&gt;&lt;wsp:rsid wsp:val=&quot;00973C2A&quot;/&gt;&lt;wsp:rsid wsp:val=&quot;00974557&quot;/&gt;&lt;wsp:rsid wsp:val=&quot;00974954&quot;/&gt;&lt;wsp:rsid wsp:val=&quot;009759BC&quot;/&gt;&lt;wsp:rsid wsp:val=&quot;00975E95&quot;/&gt;&lt;wsp:rsid wsp:val=&quot;00976D3B&quot;/&gt;&lt;wsp:rsid wsp:val=&quot;00977327&quot;/&gt;&lt;wsp:rsid wsp:val=&quot;00977DEA&quot;/&gt;&lt;wsp:rsid wsp:val=&quot;009815D4&quot;/&gt;&lt;wsp:rsid wsp:val=&quot;009819EB&quot;/&gt;&lt;wsp:rsid wsp:val=&quot;00981FD8&quot;/&gt;&lt;wsp:rsid wsp:val=&quot;0098239B&quot;/&gt;&lt;wsp:rsid wsp:val=&quot;009830F9&quot;/&gt;&lt;wsp:rsid wsp:val=&quot;0098370D&quot;/&gt;&lt;wsp:rsid wsp:val=&quot;00983A7A&quot;/&gt;&lt;wsp:rsid wsp:val=&quot;00983E39&quot;/&gt;&lt;wsp:rsid wsp:val=&quot;00984149&quot;/&gt;&lt;wsp:rsid wsp:val=&quot;00984222&quot;/&gt;&lt;wsp:rsid wsp:val=&quot;0098453D&quot;/&gt;&lt;wsp:rsid wsp:val=&quot;009845E0&quot;/&gt;&lt;wsp:rsid wsp:val=&quot;00984A19&quot;/&gt;&lt;wsp:rsid wsp:val=&quot;009861B6&quot;/&gt;&lt;wsp:rsid wsp:val=&quot;009863E9&quot;/&gt;&lt;wsp:rsid wsp:val=&quot;00986420&quot;/&gt;&lt;wsp:rsid wsp:val=&quot;009868CB&quot;/&gt;&lt;wsp:rsid wsp:val=&quot;00986F5E&quot;/&gt;&lt;wsp:rsid wsp:val=&quot;00987174&quot;/&gt;&lt;wsp:rsid wsp:val=&quot;00987238&quot;/&gt;&lt;wsp:rsid wsp:val=&quot;00987946&quot;/&gt;&lt;wsp:rsid wsp:val=&quot;009900E5&quot;/&gt;&lt;wsp:rsid wsp:val=&quot;0099058B&quot;/&gt;&lt;wsp:rsid wsp:val=&quot;00992C96&quot;/&gt;&lt;wsp:rsid wsp:val=&quot;009930C2&quot;/&gt;&lt;wsp:rsid wsp:val=&quot;00993254&quot;/&gt;&lt;wsp:rsid wsp:val=&quot;00993C21&quot;/&gt;&lt;wsp:rsid wsp:val=&quot;009946FD&quot;/&gt;&lt;wsp:rsid wsp:val=&quot;00996E86&quot;/&gt;&lt;wsp:rsid wsp:val=&quot;0099789C&quot;/&gt;&lt;wsp:rsid wsp:val=&quot;00997BD8&quot;/&gt;&lt;wsp:rsid wsp:val=&quot;009A0194&quot;/&gt;&lt;wsp:rsid wsp:val=&quot;009A0452&quot;/&gt;&lt;wsp:rsid wsp:val=&quot;009A05A6&quot;/&gt;&lt;wsp:rsid wsp:val=&quot;009A10FC&quot;/&gt;&lt;wsp:rsid wsp:val=&quot;009A13C3&quot;/&gt;&lt;wsp:rsid wsp:val=&quot;009A1559&quot;/&gt;&lt;wsp:rsid wsp:val=&quot;009A1592&quot;/&gt;&lt;wsp:rsid wsp:val=&quot;009A1AA7&quot;/&gt;&lt;wsp:rsid wsp:val=&quot;009A1D58&quot;/&gt;&lt;wsp:rsid wsp:val=&quot;009A2804&quot;/&gt;&lt;wsp:rsid wsp:val=&quot;009A2B43&quot;/&gt;&lt;wsp:rsid wsp:val=&quot;009A346E&quot;/&gt;&lt;wsp:rsid wsp:val=&quot;009A3B1D&quot;/&gt;&lt;wsp:rsid wsp:val=&quot;009A3DE3&quot;/&gt;&lt;wsp:rsid wsp:val=&quot;009A414F&quot;/&gt;&lt;wsp:rsid wsp:val=&quot;009A43C7&quot;/&gt;&lt;wsp:rsid wsp:val=&quot;009A46DE&quot;/&gt;&lt;wsp:rsid wsp:val=&quot;009A7AEE&quot;/&gt;&lt;wsp:rsid wsp:val=&quot;009B01FF&quot;/&gt;&lt;wsp:rsid wsp:val=&quot;009B0327&quot;/&gt;&lt;wsp:rsid wsp:val=&quot;009B1183&quot;/&gt;&lt;wsp:rsid wsp:val=&quot;009B1195&quot;/&gt;&lt;wsp:rsid wsp:val=&quot;009B14A1&quot;/&gt;&lt;wsp:rsid wsp:val=&quot;009B159B&quot;/&gt;&lt;wsp:rsid wsp:val=&quot;009B258B&quot;/&gt;&lt;wsp:rsid wsp:val=&quot;009B301F&quot;/&gt;&lt;wsp:rsid wsp:val=&quot;009B3325&quot;/&gt;&lt;wsp:rsid wsp:val=&quot;009B3BE9&quot;/&gt;&lt;wsp:rsid wsp:val=&quot;009B3D50&quot;/&gt;&lt;wsp:rsid wsp:val=&quot;009B4533&quot;/&gt;&lt;wsp:rsid wsp:val=&quot;009B4D49&quot;/&gt;&lt;wsp:rsid wsp:val=&quot;009B4F6A&quot;/&gt;&lt;wsp:rsid wsp:val=&quot;009B534A&quot;/&gt;&lt;wsp:rsid wsp:val=&quot;009B54D8&quot;/&gt;&lt;wsp:rsid wsp:val=&quot;009B60EE&quot;/&gt;&lt;wsp:rsid wsp:val=&quot;009B6481&quot;/&gt;&lt;wsp:rsid wsp:val=&quot;009B65E0&quot;/&gt;&lt;wsp:rsid wsp:val=&quot;009B69AD&quot;/&gt;&lt;wsp:rsid wsp:val=&quot;009B6EF1&quot;/&gt;&lt;wsp:rsid wsp:val=&quot;009B7628&quot;/&gt;&lt;wsp:rsid wsp:val=&quot;009B79BF&quot;/&gt;&lt;wsp:rsid wsp:val=&quot;009C0A31&quot;/&gt;&lt;wsp:rsid wsp:val=&quot;009C110C&quot;/&gt;&lt;wsp:rsid wsp:val=&quot;009C131B&quot;/&gt;&lt;wsp:rsid wsp:val=&quot;009C31E2&quot;/&gt;&lt;wsp:rsid wsp:val=&quot;009C3253&quot;/&gt;&lt;wsp:rsid wsp:val=&quot;009C3441&quot;/&gt;&lt;wsp:rsid wsp:val=&quot;009C3865&quot;/&gt;&lt;wsp:rsid wsp:val=&quot;009C3EA5&quot;/&gt;&lt;wsp:rsid wsp:val=&quot;009C4F2B&quot;/&gt;&lt;wsp:rsid wsp:val=&quot;009C4F41&quot;/&gt;&lt;wsp:rsid wsp:val=&quot;009C58A2&quot;/&gt;&lt;wsp:rsid wsp:val=&quot;009C5A26&quot;/&gt;&lt;wsp:rsid wsp:val=&quot;009C5AED&quot;/&gt;&lt;wsp:rsid wsp:val=&quot;009C5C0E&quot;/&gt;&lt;wsp:rsid wsp:val=&quot;009C5DA5&quot;/&gt;&lt;wsp:rsid wsp:val=&quot;009C68A6&quot;/&gt;&lt;wsp:rsid wsp:val=&quot;009C7030&quot;/&gt;&lt;wsp:rsid wsp:val=&quot;009C7814&quot;/&gt;&lt;wsp:rsid wsp:val=&quot;009C79CC&quot;/&gt;&lt;wsp:rsid wsp:val=&quot;009D064C&quot;/&gt;&lt;wsp:rsid wsp:val=&quot;009D0680&quot;/&gt;&lt;wsp:rsid wsp:val=&quot;009D06B0&quot;/&gt;&lt;wsp:rsid wsp:val=&quot;009D0CCE&quot;/&gt;&lt;wsp:rsid wsp:val=&quot;009D1331&quot;/&gt;&lt;wsp:rsid wsp:val=&quot;009D149D&quot;/&gt;&lt;wsp:rsid wsp:val=&quot;009D2130&quot;/&gt;&lt;wsp:rsid wsp:val=&quot;009D22EA&quot;/&gt;&lt;wsp:rsid wsp:val=&quot;009D2819&quot;/&gt;&lt;wsp:rsid wsp:val=&quot;009D29D3&quot;/&gt;&lt;wsp:rsid wsp:val=&quot;009D2E18&quot;/&gt;&lt;wsp:rsid wsp:val=&quot;009D2F5F&quot;/&gt;&lt;wsp:rsid wsp:val=&quot;009D3159&quot;/&gt;&lt;wsp:rsid wsp:val=&quot;009D345C&quot;/&gt;&lt;wsp:rsid wsp:val=&quot;009D35A0&quot;/&gt;&lt;wsp:rsid wsp:val=&quot;009D3665&quot;/&gt;&lt;wsp:rsid wsp:val=&quot;009D3839&quot;/&gt;&lt;wsp:rsid wsp:val=&quot;009D3ACB&quot;/&gt;&lt;wsp:rsid wsp:val=&quot;009D3E4F&quot;/&gt;&lt;wsp:rsid wsp:val=&quot;009D405C&quot;/&gt;&lt;wsp:rsid wsp:val=&quot;009D4800&quot;/&gt;&lt;wsp:rsid wsp:val=&quot;009D59D9&quot;/&gt;&lt;wsp:rsid wsp:val=&quot;009D5A51&quot;/&gt;&lt;wsp:rsid wsp:val=&quot;009D6718&quot;/&gt;&lt;wsp:rsid wsp:val=&quot;009D68CE&quot;/&gt;&lt;wsp:rsid wsp:val=&quot;009D6974&quot;/&gt;&lt;wsp:rsid wsp:val=&quot;009D74A2&quot;/&gt;&lt;wsp:rsid wsp:val=&quot;009E0FE6&quot;/&gt;&lt;wsp:rsid wsp:val=&quot;009E1E0E&quot;/&gt;&lt;wsp:rsid wsp:val=&quot;009E200C&quot;/&gt;&lt;wsp:rsid wsp:val=&quot;009E23B5&quot;/&gt;&lt;wsp:rsid wsp:val=&quot;009E287C&quot;/&gt;&lt;wsp:rsid wsp:val=&quot;009E3028&quot;/&gt;&lt;wsp:rsid wsp:val=&quot;009E32D4&quot;/&gt;&lt;wsp:rsid wsp:val=&quot;009E3BB5&quot;/&gt;&lt;wsp:rsid wsp:val=&quot;009E3CF8&quot;/&gt;&lt;wsp:rsid wsp:val=&quot;009E526D&quot;/&gt;&lt;wsp:rsid wsp:val=&quot;009E5CC6&quot;/&gt;&lt;wsp:rsid wsp:val=&quot;009E6376&quot;/&gt;&lt;wsp:rsid wsp:val=&quot;009E6522&quot;/&gt;&lt;wsp:rsid wsp:val=&quot;009E6873&quot;/&gt;&lt;wsp:rsid wsp:val=&quot;009E7EBB&quot;/&gt;&lt;wsp:rsid wsp:val=&quot;009E7EFB&quot;/&gt;&lt;wsp:rsid wsp:val=&quot;009F0292&quot;/&gt;&lt;wsp:rsid wsp:val=&quot;009F0F91&quot;/&gt;&lt;wsp:rsid wsp:val=&quot;009F13D0&quot;/&gt;&lt;wsp:rsid wsp:val=&quot;009F3D4E&quot;/&gt;&lt;wsp:rsid wsp:val=&quot;009F4019&quot;/&gt;&lt;wsp:rsid wsp:val=&quot;009F42CF&quot;/&gt;&lt;wsp:rsid wsp:val=&quot;009F49BA&quot;/&gt;&lt;wsp:rsid wsp:val=&quot;009F4AF9&quot;/&gt;&lt;wsp:rsid wsp:val=&quot;009F4E00&quot;/&gt;&lt;wsp:rsid wsp:val=&quot;009F4E12&quot;/&gt;&lt;wsp:rsid wsp:val=&quot;009F4F08&quot;/&gt;&lt;wsp:rsid wsp:val=&quot;009F53AF&quot;/&gt;&lt;wsp:rsid wsp:val=&quot;009F53C8&quot;/&gt;&lt;wsp:rsid wsp:val=&quot;009F57C3&quot;/&gt;&lt;wsp:rsid wsp:val=&quot;009F6D90&quot;/&gt;&lt;wsp:rsid wsp:val=&quot;009F6DAA&quot;/&gt;&lt;wsp:rsid wsp:val=&quot;009F7134&quot;/&gt;&lt;wsp:rsid wsp:val=&quot;009F7C39&quot;/&gt;&lt;wsp:rsid wsp:val=&quot;009F7F4E&quot;/&gt;&lt;wsp:rsid wsp:val=&quot;00A008AA&quot;/&gt;&lt;wsp:rsid wsp:val=&quot;00A011B8&quot;/&gt;&lt;wsp:rsid wsp:val=&quot;00A01380&quot;/&gt;&lt;wsp:rsid wsp:val=&quot;00A01875&quot;/&gt;&lt;wsp:rsid wsp:val=&quot;00A02225&quot;/&gt;&lt;wsp:rsid wsp:val=&quot;00A027F6&quot;/&gt;&lt;wsp:rsid wsp:val=&quot;00A02818&quot;/&gt;&lt;wsp:rsid wsp:val=&quot;00A03D67&quot;/&gt;&lt;wsp:rsid wsp:val=&quot;00A05FBD&quot;/&gt;&lt;wsp:rsid wsp:val=&quot;00A0631E&quot;/&gt;&lt;wsp:rsid wsp:val=&quot;00A063CA&quot;/&gt;&lt;wsp:rsid wsp:val=&quot;00A0652A&quot;/&gt;&lt;wsp:rsid wsp:val=&quot;00A06A63&quot;/&gt;&lt;wsp:rsid wsp:val=&quot;00A072AE&quot;/&gt;&lt;wsp:rsid wsp:val=&quot;00A07D3E&quot;/&gt;&lt;wsp:rsid wsp:val=&quot;00A10493&quot;/&gt;&lt;wsp:rsid wsp:val=&quot;00A105AC&quot;/&gt;&lt;wsp:rsid wsp:val=&quot;00A10605&quot;/&gt;&lt;wsp:rsid wsp:val=&quot;00A1071B&quot;/&gt;&lt;wsp:rsid wsp:val=&quot;00A115EA&quot;/&gt;&lt;wsp:rsid wsp:val=&quot;00A116E3&quot;/&gt;&lt;wsp:rsid wsp:val=&quot;00A120BA&quot;/&gt;&lt;wsp:rsid wsp:val=&quot;00A128D2&quot;/&gt;&lt;wsp:rsid wsp:val=&quot;00A12B9C&quot;/&gt;&lt;wsp:rsid wsp:val=&quot;00A1342C&quot;/&gt;&lt;wsp:rsid wsp:val=&quot;00A136F9&quot;/&gt;&lt;wsp:rsid wsp:val=&quot;00A13B36&quot;/&gt;&lt;wsp:rsid wsp:val=&quot;00A13B3B&quot;/&gt;&lt;wsp:rsid wsp:val=&quot;00A13B82&quot;/&gt;&lt;wsp:rsid wsp:val=&quot;00A15439&quot;/&gt;&lt;wsp:rsid wsp:val=&quot;00A15829&quot;/&gt;&lt;wsp:rsid wsp:val=&quot;00A166FE&quot;/&gt;&lt;wsp:rsid wsp:val=&quot;00A16CFD&quot;/&gt;&lt;wsp:rsid wsp:val=&quot;00A16F01&quot;/&gt;&lt;wsp:rsid wsp:val=&quot;00A16F02&quot;/&gt;&lt;wsp:rsid wsp:val=&quot;00A16F8A&quot;/&gt;&lt;wsp:rsid wsp:val=&quot;00A17881&quot;/&gt;&lt;wsp:rsid wsp:val=&quot;00A179CF&quot;/&gt;&lt;wsp:rsid wsp:val=&quot;00A17A39&quot;/&gt;&lt;wsp:rsid wsp:val=&quot;00A201F5&quot;/&gt;&lt;wsp:rsid wsp:val=&quot;00A202EE&quot;/&gt;&lt;wsp:rsid wsp:val=&quot;00A20473&quot;/&gt;&lt;wsp:rsid wsp:val=&quot;00A20844&quot;/&gt;&lt;wsp:rsid wsp:val=&quot;00A213FE&quot;/&gt;&lt;wsp:rsid wsp:val=&quot;00A216B1&quot;/&gt;&lt;wsp:rsid wsp:val=&quot;00A2192B&quot;/&gt;&lt;wsp:rsid wsp:val=&quot;00A21AB2&quot;/&gt;&lt;wsp:rsid wsp:val=&quot;00A2213C&quot;/&gt;&lt;wsp:rsid wsp:val=&quot;00A227C5&quot;/&gt;&lt;wsp:rsid wsp:val=&quot;00A22EEA&quot;/&gt;&lt;wsp:rsid wsp:val=&quot;00A23DB8&quot;/&gt;&lt;wsp:rsid wsp:val=&quot;00A23DF8&quot;/&gt;&lt;wsp:rsid wsp:val=&quot;00A241A3&quot;/&gt;&lt;wsp:rsid wsp:val=&quot;00A24301&quot;/&gt;&lt;wsp:rsid wsp:val=&quot;00A2574C&quot;/&gt;&lt;wsp:rsid wsp:val=&quot;00A26E86&quot;/&gt;&lt;wsp:rsid wsp:val=&quot;00A27BB1&quot;/&gt;&lt;wsp:rsid wsp:val=&quot;00A27E4B&quot;/&gt;&lt;wsp:rsid wsp:val=&quot;00A309F8&quot;/&gt;&lt;wsp:rsid wsp:val=&quot;00A30ABE&quot;/&gt;&lt;wsp:rsid wsp:val=&quot;00A30E93&quot;/&gt;&lt;wsp:rsid wsp:val=&quot;00A3160C&quot;/&gt;&lt;wsp:rsid wsp:val=&quot;00A318B5&quot;/&gt;&lt;wsp:rsid wsp:val=&quot;00A31A8E&quot;/&gt;&lt;wsp:rsid wsp:val=&quot;00A32C65&quot;/&gt;&lt;wsp:rsid wsp:val=&quot;00A338AE&quot;/&gt;&lt;wsp:rsid wsp:val=&quot;00A33D0A&quot;/&gt;&lt;wsp:rsid wsp:val=&quot;00A341DE&quot;/&gt;&lt;wsp:rsid wsp:val=&quot;00A34362&quot;/&gt;&lt;wsp:rsid wsp:val=&quot;00A348E9&quot;/&gt;&lt;wsp:rsid wsp:val=&quot;00A349AC&quot;/&gt;&lt;wsp:rsid wsp:val=&quot;00A34EEC&quot;/&gt;&lt;wsp:rsid wsp:val=&quot;00A35109&quot;/&gt;&lt;wsp:rsid wsp:val=&quot;00A35437&quot;/&gt;&lt;wsp:rsid wsp:val=&quot;00A35553&quot;/&gt;&lt;wsp:rsid wsp:val=&quot;00A359DB&quot;/&gt;&lt;wsp:rsid wsp:val=&quot;00A35A40&quot;/&gt;&lt;wsp:rsid wsp:val=&quot;00A368EC&quot;/&gt;&lt;wsp:rsid wsp:val=&quot;00A36B5F&quot;/&gt;&lt;wsp:rsid wsp:val=&quot;00A373BF&quot;/&gt;&lt;wsp:rsid wsp:val=&quot;00A37AC4&quot;/&gt;&lt;wsp:rsid wsp:val=&quot;00A40E1C&quot;/&gt;&lt;wsp:rsid wsp:val=&quot;00A40E28&quot;/&gt;&lt;wsp:rsid wsp:val=&quot;00A40EDF&quot;/&gt;&lt;wsp:rsid wsp:val=&quot;00A41031&quot;/&gt;&lt;wsp:rsid wsp:val=&quot;00A422BE&quot;/&gt;&lt;wsp:rsid wsp:val=&quot;00A42A9D&quot;/&gt;&lt;wsp:rsid wsp:val=&quot;00A4401A&quot;/&gt;&lt;wsp:rsid wsp:val=&quot;00A456CE&quot;/&gt;&lt;wsp:rsid wsp:val=&quot;00A45ECE&quot;/&gt;&lt;wsp:rsid wsp:val=&quot;00A462A1&quot;/&gt;&lt;wsp:rsid wsp:val=&quot;00A469EC&quot;/&gt;&lt;wsp:rsid wsp:val=&quot;00A47AD2&quot;/&gt;&lt;wsp:rsid wsp:val=&quot;00A47FF6&quot;/&gt;&lt;wsp:rsid wsp:val=&quot;00A500F3&quot;/&gt;&lt;wsp:rsid wsp:val=&quot;00A509A5&quot;/&gt;&lt;wsp:rsid wsp:val=&quot;00A50FB0&quot;/&gt;&lt;wsp:rsid wsp:val=&quot;00A51874&quot;/&gt;&lt;wsp:rsid wsp:val=&quot;00A5191D&quot;/&gt;&lt;wsp:rsid wsp:val=&quot;00A51952&quot;/&gt;&lt;wsp:rsid wsp:val=&quot;00A51D58&quot;/&gt;&lt;wsp:rsid wsp:val=&quot;00A522A1&quot;/&gt;&lt;wsp:rsid wsp:val=&quot;00A52499&quot;/&gt;&lt;wsp:rsid wsp:val=&quot;00A52623&quot;/&gt;&lt;wsp:rsid wsp:val=&quot;00A53466&quot;/&gt;&lt;wsp:rsid wsp:val=&quot;00A5357F&quot;/&gt;&lt;wsp:rsid wsp:val=&quot;00A537B8&quot;/&gt;&lt;wsp:rsid wsp:val=&quot;00A53ADD&quot;/&gt;&lt;wsp:rsid wsp:val=&quot;00A53D12&quot;/&gt;&lt;wsp:rsid wsp:val=&quot;00A54D2A&quot;/&gt;&lt;wsp:rsid wsp:val=&quot;00A55221&quot;/&gt;&lt;wsp:rsid wsp:val=&quot;00A559C0&quot;/&gt;&lt;wsp:rsid wsp:val=&quot;00A56166&quot;/&gt;&lt;wsp:rsid wsp:val=&quot;00A56DEE&quot;/&gt;&lt;wsp:rsid wsp:val=&quot;00A57008&quot;/&gt;&lt;wsp:rsid wsp:val=&quot;00A57080&quot;/&gt;&lt;wsp:rsid wsp:val=&quot;00A5751E&quot;/&gt;&lt;wsp:rsid wsp:val=&quot;00A57D11&quot;/&gt;&lt;wsp:rsid wsp:val=&quot;00A57FD3&quot;/&gt;&lt;wsp:rsid wsp:val=&quot;00A60343&quot;/&gt;&lt;wsp:rsid wsp:val=&quot;00A61B3A&quot;/&gt;&lt;wsp:rsid wsp:val=&quot;00A61BEC&quot;/&gt;&lt;wsp:rsid wsp:val=&quot;00A61F51&quot;/&gt;&lt;wsp:rsid wsp:val=&quot;00A621B5&quot;/&gt;&lt;wsp:rsid wsp:val=&quot;00A63895&quot;/&gt;&lt;wsp:rsid wsp:val=&quot;00A64C87&quot;/&gt;&lt;wsp:rsid wsp:val=&quot;00A652A5&quot;/&gt;&lt;wsp:rsid wsp:val=&quot;00A65AF6&quot;/&gt;&lt;wsp:rsid wsp:val=&quot;00A65B0E&quot;/&gt;&lt;wsp:rsid wsp:val=&quot;00A66252&quot;/&gt;&lt;wsp:rsid wsp:val=&quot;00A668A9&quot;/&gt;&lt;wsp:rsid wsp:val=&quot;00A6694B&quot;/&gt;&lt;wsp:rsid wsp:val=&quot;00A66A82&quot;/&gt;&lt;wsp:rsid wsp:val=&quot;00A66C14&quot;/&gt;&lt;wsp:rsid wsp:val=&quot;00A66C3D&quot;/&gt;&lt;wsp:rsid wsp:val=&quot;00A67292&quot;/&gt;&lt;wsp:rsid wsp:val=&quot;00A6756A&quot;/&gt;&lt;wsp:rsid wsp:val=&quot;00A67902&quot;/&gt;&lt;wsp:rsid wsp:val=&quot;00A70090&quot;/&gt;&lt;wsp:rsid wsp:val=&quot;00A70C54&quot;/&gt;&lt;wsp:rsid wsp:val=&quot;00A70CEC&quot;/&gt;&lt;wsp:rsid wsp:val=&quot;00A70FEE&quot;/&gt;&lt;wsp:rsid wsp:val=&quot;00A7114E&quot;/&gt;&lt;wsp:rsid wsp:val=&quot;00A713D0&quot;/&gt;&lt;wsp:rsid wsp:val=&quot;00A7154D&quot;/&gt;&lt;wsp:rsid wsp:val=&quot;00A722D4&quot;/&gt;&lt;wsp:rsid wsp:val=&quot;00A7327B&quot;/&gt;&lt;wsp:rsid wsp:val=&quot;00A73C58&quot;/&gt;&lt;wsp:rsid wsp:val=&quot;00A74187&quot;/&gt;&lt;wsp:rsid wsp:val=&quot;00A7461C&quot;/&gt;&lt;wsp:rsid wsp:val=&quot;00A746EA&quot;/&gt;&lt;wsp:rsid wsp:val=&quot;00A75302&quot;/&gt;&lt;wsp:rsid wsp:val=&quot;00A7532F&quot;/&gt;&lt;wsp:rsid wsp:val=&quot;00A758E4&quot;/&gt;&lt;wsp:rsid wsp:val=&quot;00A759E0&quot;/&gt;&lt;wsp:rsid wsp:val=&quot;00A760CB&quot;/&gt;&lt;wsp:rsid wsp:val=&quot;00A76B0E&quot;/&gt;&lt;wsp:rsid wsp:val=&quot;00A76D6F&quot;/&gt;&lt;wsp:rsid wsp:val=&quot;00A76FE3&quot;/&gt;&lt;wsp:rsid wsp:val=&quot;00A771E7&quot;/&gt;&lt;wsp:rsid wsp:val=&quot;00A774FB&quot;/&gt;&lt;wsp:rsid wsp:val=&quot;00A776B4&quot;/&gt;&lt;wsp:rsid wsp:val=&quot;00A77782&quot;/&gt;&lt;wsp:rsid wsp:val=&quot;00A77F65&quot;/&gt;&lt;wsp:rsid wsp:val=&quot;00A81B57&quot;/&gt;&lt;wsp:rsid wsp:val=&quot;00A82D79&quot;/&gt;&lt;wsp:rsid wsp:val=&quot;00A82EE4&quot;/&gt;&lt;wsp:rsid wsp:val=&quot;00A830E4&quot;/&gt;&lt;wsp:rsid wsp:val=&quot;00A8389D&quot;/&gt;&lt;wsp:rsid wsp:val=&quot;00A845A0&quot;/&gt;&lt;wsp:rsid wsp:val=&quot;00A84DE4&quot;/&gt;&lt;wsp:rsid wsp:val=&quot;00A854D4&quot;/&gt;&lt;wsp:rsid wsp:val=&quot;00A85F72&quot;/&gt;&lt;wsp:rsid wsp:val=&quot;00A861E3&quot;/&gt;&lt;wsp:rsid wsp:val=&quot;00A87B5B&quot;/&gt;&lt;wsp:rsid wsp:val=&quot;00A87BB9&quot;/&gt;&lt;wsp:rsid wsp:val=&quot;00A87D9E&quot;/&gt;&lt;wsp:rsid wsp:val=&quot;00A9049B&quot;/&gt;&lt;wsp:rsid wsp:val=&quot;00A904C7&quot;/&gt;&lt;wsp:rsid wsp:val=&quot;00A90B22&quot;/&gt;&lt;wsp:rsid wsp:val=&quot;00A92060&quot;/&gt;&lt;wsp:rsid wsp:val=&quot;00A9216F&quot;/&gt;&lt;wsp:rsid wsp:val=&quot;00A92CF2&quot;/&gt;&lt;wsp:rsid wsp:val=&quot;00A9312C&quot;/&gt;&lt;wsp:rsid wsp:val=&quot;00A93553&quot;/&gt;&lt;wsp:rsid wsp:val=&quot;00A93E34&quot;/&gt;&lt;wsp:rsid wsp:val=&quot;00A952B3&quot;/&gt;&lt;wsp:rsid wsp:val=&quot;00A95322&quot;/&gt;&lt;wsp:rsid wsp:val=&quot;00A95AEF&quot;/&gt;&lt;wsp:rsid wsp:val=&quot;00A960C6&quot;/&gt;&lt;wsp:rsid wsp:val=&quot;00A9641F&quot;/&gt;&lt;wsp:rsid wsp:val=&quot;00A9680C&quot;/&gt;&lt;wsp:rsid wsp:val=&quot;00A97A41&quot;/&gt;&lt;wsp:rsid wsp:val=&quot;00A97DD9&quot;/&gt;&lt;wsp:rsid wsp:val=&quot;00AA0E63&quot;/&gt;&lt;wsp:rsid wsp:val=&quot;00AA1783&quot;/&gt;&lt;wsp:rsid wsp:val=&quot;00AA17D3&quot;/&gt;&lt;wsp:rsid wsp:val=&quot;00AA1B1D&quot;/&gt;&lt;wsp:rsid wsp:val=&quot;00AA1C43&quot;/&gt;&lt;wsp:rsid wsp:val=&quot;00AA209F&quot;/&gt;&lt;wsp:rsid wsp:val=&quot;00AA2998&quot;/&gt;&lt;wsp:rsid wsp:val=&quot;00AA2D82&quot;/&gt;&lt;wsp:rsid wsp:val=&quot;00AA3D66&quot;/&gt;&lt;wsp:rsid wsp:val=&quot;00AA3E6C&quot;/&gt;&lt;wsp:rsid wsp:val=&quot;00AA3EFB&quot;/&gt;&lt;wsp:rsid wsp:val=&quot;00AA416B&quot;/&gt;&lt;wsp:rsid wsp:val=&quot;00AA5033&quot;/&gt;&lt;wsp:rsid wsp:val=&quot;00AA515E&quot;/&gt;&lt;wsp:rsid wsp:val=&quot;00AA52ED&quot;/&gt;&lt;wsp:rsid wsp:val=&quot;00AA5BF9&quot;/&gt;&lt;wsp:rsid wsp:val=&quot;00AA640E&quot;/&gt;&lt;wsp:rsid wsp:val=&quot;00AA6A3F&quot;/&gt;&lt;wsp:rsid wsp:val=&quot;00AA6AA4&quot;/&gt;&lt;wsp:rsid wsp:val=&quot;00AA7FD3&quot;/&gt;&lt;wsp:rsid wsp:val=&quot;00AB0223&quot;/&gt;&lt;wsp:rsid wsp:val=&quot;00AB02F0&quot;/&gt;&lt;wsp:rsid wsp:val=&quot;00AB0328&quot;/&gt;&lt;wsp:rsid wsp:val=&quot;00AB05E8&quot;/&gt;&lt;wsp:rsid wsp:val=&quot;00AB0D8A&quot;/&gt;&lt;wsp:rsid wsp:val=&quot;00AB101A&quot;/&gt;&lt;wsp:rsid wsp:val=&quot;00AB174A&quot;/&gt;&lt;wsp:rsid wsp:val=&quot;00AB22DA&quot;/&gt;&lt;wsp:rsid wsp:val=&quot;00AB2476&quot;/&gt;&lt;wsp:rsid wsp:val=&quot;00AB3690&quot;/&gt;&lt;wsp:rsid wsp:val=&quot;00AB3DDF&quot;/&gt;&lt;wsp:rsid wsp:val=&quot;00AB4081&quot;/&gt;&lt;wsp:rsid wsp:val=&quot;00AB4618&quot;/&gt;&lt;wsp:rsid wsp:val=&quot;00AB49DC&quot;/&gt;&lt;wsp:rsid wsp:val=&quot;00AB55D3&quot;/&gt;&lt;wsp:rsid wsp:val=&quot;00AB6B13&quot;/&gt;&lt;wsp:rsid wsp:val=&quot;00AB709F&quot;/&gt;&lt;wsp:rsid wsp:val=&quot;00AB76AF&quot;/&gt;&lt;wsp:rsid wsp:val=&quot;00AB7877&quot;/&gt;&lt;wsp:rsid wsp:val=&quot;00AC048B&quot;/&gt;&lt;wsp:rsid wsp:val=&quot;00AC0A39&quot;/&gt;&lt;wsp:rsid wsp:val=&quot;00AC0FC3&quot;/&gt;&lt;wsp:rsid wsp:val=&quot;00AC10E5&quot;/&gt;&lt;wsp:rsid wsp:val=&quot;00AC16D5&quot;/&gt;&lt;wsp:rsid wsp:val=&quot;00AC2A96&quot;/&gt;&lt;wsp:rsid wsp:val=&quot;00AC2D1E&quot;/&gt;&lt;wsp:rsid wsp:val=&quot;00AC39FF&quot;/&gt;&lt;wsp:rsid wsp:val=&quot;00AC3A3B&quot;/&gt;&lt;wsp:rsid wsp:val=&quot;00AC3FEB&quot;/&gt;&lt;wsp:rsid wsp:val=&quot;00AC4A7F&quot;/&gt;&lt;wsp:rsid wsp:val=&quot;00AC500F&quot;/&gt;&lt;wsp:rsid wsp:val=&quot;00AC5232&quot;/&gt;&lt;wsp:rsid wsp:val=&quot;00AC5246&quot;/&gt;&lt;wsp:rsid wsp:val=&quot;00AC56EB&quot;/&gt;&lt;wsp:rsid wsp:val=&quot;00AC5707&quot;/&gt;&lt;wsp:rsid wsp:val=&quot;00AC6085&quot;/&gt;&lt;wsp:rsid wsp:val=&quot;00AC67D5&quot;/&gt;&lt;wsp:rsid wsp:val=&quot;00AC67E9&quot;/&gt;&lt;wsp:rsid wsp:val=&quot;00AC6C0A&quot;/&gt;&lt;wsp:rsid wsp:val=&quot;00AC70BE&quot;/&gt;&lt;wsp:rsid wsp:val=&quot;00AC7226&quot;/&gt;&lt;wsp:rsid wsp:val=&quot;00AC7256&quot;/&gt;&lt;wsp:rsid wsp:val=&quot;00AC74FF&quot;/&gt;&lt;wsp:rsid wsp:val=&quot;00AC7F02&quot;/&gt;&lt;wsp:rsid wsp:val=&quot;00AC7F6B&quot;/&gt;&lt;wsp:rsid wsp:val=&quot;00AD0A1B&quot;/&gt;&lt;wsp:rsid wsp:val=&quot;00AD0F9F&quot;/&gt;&lt;wsp:rsid wsp:val=&quot;00AD1BF3&quot;/&gt;&lt;wsp:rsid wsp:val=&quot;00AD1FC2&quot;/&gt;&lt;wsp:rsid wsp:val=&quot;00AD2182&quot;/&gt;&lt;wsp:rsid wsp:val=&quot;00AD2A3F&quot;/&gt;&lt;wsp:rsid wsp:val=&quot;00AD2FAD&quot;/&gt;&lt;wsp:rsid wsp:val=&quot;00AD2FCA&quot;/&gt;&lt;wsp:rsid wsp:val=&quot;00AD363A&quot;/&gt;&lt;wsp:rsid wsp:val=&quot;00AD38AD&quot;/&gt;&lt;wsp:rsid wsp:val=&quot;00AD4244&quot;/&gt;&lt;wsp:rsid wsp:val=&quot;00AD4304&quot;/&gt;&lt;wsp:rsid wsp:val=&quot;00AD52D2&quot;/&gt;&lt;wsp:rsid wsp:val=&quot;00AD5EE7&quot;/&gt;&lt;wsp:rsid wsp:val=&quot;00AD604B&quot;/&gt;&lt;wsp:rsid wsp:val=&quot;00AD6451&quot;/&gt;&lt;wsp:rsid wsp:val=&quot;00AD6BA0&quot;/&gt;&lt;wsp:rsid wsp:val=&quot;00AD79A2&quot;/&gt;&lt;wsp:rsid wsp:val=&quot;00AD7BF0&quot;/&gt;&lt;wsp:rsid wsp:val=&quot;00AD7F04&quot;/&gt;&lt;wsp:rsid wsp:val=&quot;00AE0464&quot;/&gt;&lt;wsp:rsid wsp:val=&quot;00AE049F&quot;/&gt;&lt;wsp:rsid wsp:val=&quot;00AE04F6&quot;/&gt;&lt;wsp:rsid wsp:val=&quot;00AE12AA&quot;/&gt;&lt;wsp:rsid wsp:val=&quot;00AE16AA&quot;/&gt;&lt;wsp:rsid wsp:val=&quot;00AE17C1&quot;/&gt;&lt;wsp:rsid wsp:val=&quot;00AE20DA&quot;/&gt;&lt;wsp:rsid wsp:val=&quot;00AE2DBF&quot;/&gt;&lt;wsp:rsid wsp:val=&quot;00AE2ED9&quot;/&gt;&lt;wsp:rsid wsp:val=&quot;00AE310D&quot;/&gt;&lt;wsp:rsid wsp:val=&quot;00AE3A14&quot;/&gt;&lt;wsp:rsid wsp:val=&quot;00AE3CA6&quot;/&gt;&lt;wsp:rsid wsp:val=&quot;00AE3DBF&quot;/&gt;&lt;wsp:rsid wsp:val=&quot;00AE3F3F&quot;/&gt;&lt;wsp:rsid wsp:val=&quot;00AE4244&quot;/&gt;&lt;wsp:rsid wsp:val=&quot;00AE4814&quot;/&gt;&lt;wsp:rsid wsp:val=&quot;00AE492A&quot;/&gt;&lt;wsp:rsid wsp:val=&quot;00AE4BBD&quot;/&gt;&lt;wsp:rsid wsp:val=&quot;00AE57B5&quot;/&gt;&lt;wsp:rsid wsp:val=&quot;00AE7703&quot;/&gt;&lt;wsp:rsid wsp:val=&quot;00AE7ADB&quot;/&gt;&lt;wsp:rsid wsp:val=&quot;00AE7EFC&quot;/&gt;&lt;wsp:rsid wsp:val=&quot;00AF0021&quot;/&gt;&lt;wsp:rsid wsp:val=&quot;00AF0026&quot;/&gt;&lt;wsp:rsid wsp:val=&quot;00AF08B0&quot;/&gt;&lt;wsp:rsid wsp:val=&quot;00AF1723&quot;/&gt;&lt;wsp:rsid wsp:val=&quot;00AF1C24&quot;/&gt;&lt;wsp:rsid wsp:val=&quot;00AF1E9C&quot;/&gt;&lt;wsp:rsid wsp:val=&quot;00AF1F0F&quot;/&gt;&lt;wsp:rsid wsp:val=&quot;00AF1F5F&quot;/&gt;&lt;wsp:rsid wsp:val=&quot;00AF2680&quot;/&gt;&lt;wsp:rsid wsp:val=&quot;00AF2EA2&quot;/&gt;&lt;wsp:rsid wsp:val=&quot;00AF2F9B&quot;/&gt;&lt;wsp:rsid wsp:val=&quot;00AF34B4&quot;/&gt;&lt;wsp:rsid wsp:val=&quot;00AF3EE1&quot;/&gt;&lt;wsp:rsid wsp:val=&quot;00AF3F54&quot;/&gt;&lt;wsp:rsid wsp:val=&quot;00AF4504&quot;/&gt;&lt;wsp:rsid wsp:val=&quot;00AF50BA&quot;/&gt;&lt;wsp:rsid wsp:val=&quot;00AF5562&quot;/&gt;&lt;wsp:rsid wsp:val=&quot;00AF5C73&quot;/&gt;&lt;wsp:rsid wsp:val=&quot;00AF5E4F&quot;/&gt;&lt;wsp:rsid wsp:val=&quot;00AF5E65&quot;/&gt;&lt;wsp:rsid wsp:val=&quot;00AF5F24&quot;/&gt;&lt;wsp:rsid wsp:val=&quot;00AF5FDD&quot;/&gt;&lt;wsp:rsid wsp:val=&quot;00AF66A3&quot;/&gt;&lt;wsp:rsid wsp:val=&quot;00AF6B39&quot;/&gt;&lt;wsp:rsid wsp:val=&quot;00AF6DDB&quot;/&gt;&lt;wsp:rsid wsp:val=&quot;00AF6DF7&quot;/&gt;&lt;wsp:rsid wsp:val=&quot;00B00B82&quot;/&gt;&lt;wsp:rsid wsp:val=&quot;00B00E57&quot;/&gt;&lt;wsp:rsid wsp:val=&quot;00B01110&quot;/&gt;&lt;wsp:rsid wsp:val=&quot;00B019A9&quot;/&gt;&lt;wsp:rsid wsp:val=&quot;00B01BB8&quot;/&gt;&lt;wsp:rsid wsp:val=&quot;00B01E61&quot;/&gt;&lt;wsp:rsid wsp:val=&quot;00B01F1B&quot;/&gt;&lt;wsp:rsid wsp:val=&quot;00B02419&quot;/&gt;&lt;wsp:rsid wsp:val=&quot;00B024CA&quot;/&gt;&lt;wsp:rsid wsp:val=&quot;00B028C3&quot;/&gt;&lt;wsp:rsid wsp:val=&quot;00B035CF&quot;/&gt;&lt;wsp:rsid wsp:val=&quot;00B041E0&quot;/&gt;&lt;wsp:rsid wsp:val=&quot;00B04D95&quot;/&gt;&lt;wsp:rsid wsp:val=&quot;00B06A13&quot;/&gt;&lt;wsp:rsid wsp:val=&quot;00B108E1&quot;/&gt;&lt;wsp:rsid wsp:val=&quot;00B10906&quot;/&gt;&lt;wsp:rsid wsp:val=&quot;00B11422&quot;/&gt;&lt;wsp:rsid wsp:val=&quot;00B11A4A&quot;/&gt;&lt;wsp:rsid wsp:val=&quot;00B12267&quot;/&gt;&lt;wsp:rsid wsp:val=&quot;00B13225&quot;/&gt;&lt;wsp:rsid wsp:val=&quot;00B13674&quot;/&gt;&lt;wsp:rsid wsp:val=&quot;00B14024&quot;/&gt;&lt;wsp:rsid wsp:val=&quot;00B142A1&quot;/&gt;&lt;wsp:rsid wsp:val=&quot;00B14326&quot;/&gt;&lt;wsp:rsid wsp:val=&quot;00B1595E&quot;/&gt;&lt;wsp:rsid wsp:val=&quot;00B15AA4&quot;/&gt;&lt;wsp:rsid wsp:val=&quot;00B15D31&quot;/&gt;&lt;wsp:rsid wsp:val=&quot;00B16538&quot;/&gt;&lt;wsp:rsid wsp:val=&quot;00B167C2&quot;/&gt;&lt;wsp:rsid wsp:val=&quot;00B167F7&quot;/&gt;&lt;wsp:rsid wsp:val=&quot;00B17088&quot;/&gt;&lt;wsp:rsid wsp:val=&quot;00B203E4&quot;/&gt;&lt;wsp:rsid wsp:val=&quot;00B207CD&quot;/&gt;&lt;wsp:rsid wsp:val=&quot;00B213AD&quot;/&gt;&lt;wsp:rsid wsp:val=&quot;00B2290E&quot;/&gt;&lt;wsp:rsid wsp:val=&quot;00B23ABB&quot;/&gt;&lt;wsp:rsid wsp:val=&quot;00B241B6&quot;/&gt;&lt;wsp:rsid wsp:val=&quot;00B24251&quot;/&gt;&lt;wsp:rsid wsp:val=&quot;00B244DB&quot;/&gt;&lt;wsp:rsid wsp:val=&quot;00B24EE3&quot;/&gt;&lt;wsp:rsid wsp:val=&quot;00B2506B&quot;/&gt;&lt;wsp:rsid wsp:val=&quot;00B275F2&quot;/&gt;&lt;wsp:rsid wsp:val=&quot;00B27BF4&quot;/&gt;&lt;wsp:rsid wsp:val=&quot;00B303BB&quot;/&gt;&lt;wsp:rsid wsp:val=&quot;00B30BA1&quot;/&gt;&lt;wsp:rsid wsp:val=&quot;00B30E33&quot;/&gt;&lt;wsp:rsid wsp:val=&quot;00B31D89&quot;/&gt;&lt;wsp:rsid wsp:val=&quot;00B32F61&quot;/&gt;&lt;wsp:rsid wsp:val=&quot;00B330A8&quot;/&gt;&lt;wsp:rsid wsp:val=&quot;00B334CE&quot;/&gt;&lt;wsp:rsid wsp:val=&quot;00B33729&quot;/&gt;&lt;wsp:rsid wsp:val=&quot;00B33E45&quot;/&gt;&lt;wsp:rsid wsp:val=&quot;00B34374&quot;/&gt;&lt;wsp:rsid wsp:val=&quot;00B34E75&quot;/&gt;&lt;wsp:rsid wsp:val=&quot;00B3519F&quot;/&gt;&lt;wsp:rsid wsp:val=&quot;00B3556D&quot;/&gt;&lt;wsp:rsid wsp:val=&quot;00B36594&quot;/&gt;&lt;wsp:rsid wsp:val=&quot;00B36623&quot;/&gt;&lt;wsp:rsid wsp:val=&quot;00B369F2&quot;/&gt;&lt;wsp:rsid wsp:val=&quot;00B36CEB&quot;/&gt;&lt;wsp:rsid wsp:val=&quot;00B36D07&quot;/&gt;&lt;wsp:rsid wsp:val=&quot;00B37291&quot;/&gt;&lt;wsp:rsid wsp:val=&quot;00B37780&quot;/&gt;&lt;wsp:rsid wsp:val=&quot;00B37786&quot;/&gt;&lt;wsp:rsid wsp:val=&quot;00B40AB1&quot;/&gt;&lt;wsp:rsid wsp:val=&quot;00B40BAC&quot;/&gt;&lt;wsp:rsid wsp:val=&quot;00B40FBB&quot;/&gt;&lt;wsp:rsid wsp:val=&quot;00B41737&quot;/&gt;&lt;wsp:rsid wsp:val=&quot;00B41B56&quot;/&gt;&lt;wsp:rsid wsp:val=&quot;00B421DB&quot;/&gt;&lt;wsp:rsid wsp:val=&quot;00B42C33&quot;/&gt;&lt;wsp:rsid wsp:val=&quot;00B42FDB&quot;/&gt;&lt;wsp:rsid wsp:val=&quot;00B4320F&quot;/&gt;&lt;wsp:rsid wsp:val=&quot;00B437BA&quot;/&gt;&lt;wsp:rsid wsp:val=&quot;00B43B1A&quot;/&gt;&lt;wsp:rsid wsp:val=&quot;00B4515A&quot;/&gt;&lt;wsp:rsid wsp:val=&quot;00B4572C&quot;/&gt;&lt;wsp:rsid wsp:val=&quot;00B459EA&quot;/&gt;&lt;wsp:rsid wsp:val=&quot;00B45A42&quot;/&gt;&lt;wsp:rsid wsp:val=&quot;00B45B3D&quot;/&gt;&lt;wsp:rsid wsp:val=&quot;00B45BFE&quot;/&gt;&lt;wsp:rsid wsp:val=&quot;00B46527&quot;/&gt;&lt;wsp:rsid wsp:val=&quot;00B46917&quot;/&gt;&lt;wsp:rsid wsp:val=&quot;00B47015&quot;/&gt;&lt;wsp:rsid wsp:val=&quot;00B47A01&quot;/&gt;&lt;wsp:rsid wsp:val=&quot;00B47BCD&quot;/&gt;&lt;wsp:rsid wsp:val=&quot;00B500A7&quot;/&gt;&lt;wsp:rsid wsp:val=&quot;00B503DE&quot;/&gt;&lt;wsp:rsid wsp:val=&quot;00B504D5&quot;/&gt;&lt;wsp:rsid wsp:val=&quot;00B509D0&quot;/&gt;&lt;wsp:rsid wsp:val=&quot;00B51738&quot;/&gt;&lt;wsp:rsid wsp:val=&quot;00B517B4&quot;/&gt;&lt;wsp:rsid wsp:val=&quot;00B5226F&quot;/&gt;&lt;wsp:rsid wsp:val=&quot;00B5242B&quot;/&gt;&lt;wsp:rsid wsp:val=&quot;00B532AE&quot;/&gt;&lt;wsp:rsid wsp:val=&quot;00B5350B&quot;/&gt;&lt;wsp:rsid wsp:val=&quot;00B536A0&quot;/&gt;&lt;wsp:rsid wsp:val=&quot;00B53D6B&quot;/&gt;&lt;wsp:rsid wsp:val=&quot;00B54496&quot;/&gt;&lt;wsp:rsid wsp:val=&quot;00B547E3&quot;/&gt;&lt;wsp:rsid wsp:val=&quot;00B54A3D&quot;/&gt;&lt;wsp:rsid wsp:val=&quot;00B55200&quot;/&gt;&lt;wsp:rsid wsp:val=&quot;00B55482&quot;/&gt;&lt;wsp:rsid wsp:val=&quot;00B5554F&quot;/&gt;&lt;wsp:rsid wsp:val=&quot;00B557EC&quot;/&gt;&lt;wsp:rsid wsp:val=&quot;00B566EA&quot;/&gt;&lt;wsp:rsid wsp:val=&quot;00B5711C&quot;/&gt;&lt;wsp:rsid wsp:val=&quot;00B57361&quot;/&gt;&lt;wsp:rsid wsp:val=&quot;00B577AA&quot;/&gt;&lt;wsp:rsid wsp:val=&quot;00B6028E&quot;/&gt;&lt;wsp:rsid wsp:val=&quot;00B604EE&quot;/&gt;&lt;wsp:rsid wsp:val=&quot;00B60689&quot;/&gt;&lt;wsp:rsid wsp:val=&quot;00B607D4&quot;/&gt;&lt;wsp:rsid wsp:val=&quot;00B60F22&quot;/&gt;&lt;wsp:rsid wsp:val=&quot;00B60FD2&quot;/&gt;&lt;wsp:rsid wsp:val=&quot;00B6124D&quot;/&gt;&lt;wsp:rsid wsp:val=&quot;00B618B5&quot;/&gt;&lt;wsp:rsid wsp:val=&quot;00B61977&quot;/&gt;&lt;wsp:rsid wsp:val=&quot;00B61C4E&quot;/&gt;&lt;wsp:rsid wsp:val=&quot;00B61FFC&quot;/&gt;&lt;wsp:rsid wsp:val=&quot;00B635AF&quot;/&gt;&lt;wsp:rsid wsp:val=&quot;00B6400C&quot;/&gt;&lt;wsp:rsid wsp:val=&quot;00B6400D&quot;/&gt;&lt;wsp:rsid wsp:val=&quot;00B645CB&quot;/&gt;&lt;wsp:rsid wsp:val=&quot;00B64D53&quot;/&gt;&lt;wsp:rsid wsp:val=&quot;00B65DE2&quot;/&gt;&lt;wsp:rsid wsp:val=&quot;00B65EA0&quot;/&gt;&lt;wsp:rsid wsp:val=&quot;00B66955&quot;/&gt;&lt;wsp:rsid wsp:val=&quot;00B67682&quot;/&gt;&lt;wsp:rsid wsp:val=&quot;00B676FC&quot;/&gt;&lt;wsp:rsid wsp:val=&quot;00B67947&quot;/&gt;&lt;wsp:rsid wsp:val=&quot;00B67A6B&quot;/&gt;&lt;wsp:rsid wsp:val=&quot;00B702E2&quot;/&gt;&lt;wsp:rsid wsp:val=&quot;00B704E1&quot;/&gt;&lt;wsp:rsid wsp:val=&quot;00B7094E&quot;/&gt;&lt;wsp:rsid wsp:val=&quot;00B70AD8&quot;/&gt;&lt;wsp:rsid wsp:val=&quot;00B716EF&quot;/&gt;&lt;wsp:rsid wsp:val=&quot;00B726E3&quot;/&gt;&lt;wsp:rsid wsp:val=&quot;00B73376&quot;/&gt;&lt;wsp:rsid wsp:val=&quot;00B73434&quot;/&gt;&lt;wsp:rsid wsp:val=&quot;00B73EC9&quot;/&gt;&lt;wsp:rsid wsp:val=&quot;00B74064&quot;/&gt;&lt;wsp:rsid wsp:val=&quot;00B74C63&quot;/&gt;&lt;wsp:rsid wsp:val=&quot;00B759CF&quot;/&gt;&lt;wsp:rsid wsp:val=&quot;00B75F09&quot;/&gt;&lt;wsp:rsid wsp:val=&quot;00B804F5&quot;/&gt;&lt;wsp:rsid wsp:val=&quot;00B8063D&quot;/&gt;&lt;wsp:rsid wsp:val=&quot;00B80C74&quot;/&gt;&lt;wsp:rsid wsp:val=&quot;00B815AB&quot;/&gt;&lt;wsp:rsid wsp:val=&quot;00B82580&quot;/&gt;&lt;wsp:rsid wsp:val=&quot;00B82C47&quot;/&gt;&lt;wsp:rsid wsp:val=&quot;00B830A8&quot;/&gt;&lt;wsp:rsid wsp:val=&quot;00B83C04&quot;/&gt;&lt;wsp:rsid wsp:val=&quot;00B83C34&quot;/&gt;&lt;wsp:rsid wsp:val=&quot;00B846FB&quot;/&gt;&lt;wsp:rsid wsp:val=&quot;00B85D23&quot;/&gt;&lt;wsp:rsid wsp:val=&quot;00B85F25&quot;/&gt;&lt;wsp:rsid wsp:val=&quot;00B8607C&quot;/&gt;&lt;wsp:rsid wsp:val=&quot;00B861E4&quot;/&gt;&lt;wsp:rsid wsp:val=&quot;00B861EB&quot;/&gt;&lt;wsp:rsid wsp:val=&quot;00B86E3D&quot;/&gt;&lt;wsp:rsid wsp:val=&quot;00B87DDE&quot;/&gt;&lt;wsp:rsid wsp:val=&quot;00B903AF&quot;/&gt;&lt;wsp:rsid wsp:val=&quot;00B907BB&quot;/&gt;&lt;wsp:rsid wsp:val=&quot;00B90865&quot;/&gt;&lt;wsp:rsid wsp:val=&quot;00B90877&quot;/&gt;&lt;wsp:rsid wsp:val=&quot;00B90A40&quot;/&gt;&lt;wsp:rsid wsp:val=&quot;00B91C9E&quot;/&gt;&lt;wsp:rsid wsp:val=&quot;00B92603&quot;/&gt;&lt;wsp:rsid wsp:val=&quot;00B92D10&quot;/&gt;&lt;wsp:rsid wsp:val=&quot;00B93512&quot;/&gt;&lt;wsp:rsid wsp:val=&quot;00B935BC&quot;/&gt;&lt;wsp:rsid wsp:val=&quot;00B93814&quot;/&gt;&lt;wsp:rsid wsp:val=&quot;00B93F43&quot;/&gt;&lt;wsp:rsid wsp:val=&quot;00B941CC&quot;/&gt;&lt;wsp:rsid wsp:val=&quot;00B94B8A&quot;/&gt;&lt;wsp:rsid wsp:val=&quot;00B972F3&quot;/&gt;&lt;wsp:rsid wsp:val=&quot;00B975F4&quot;/&gt;&lt;wsp:rsid wsp:val=&quot;00BA027F&quot;/&gt;&lt;wsp:rsid wsp:val=&quot;00BA0A7F&quot;/&gt;&lt;wsp:rsid wsp:val=&quot;00BA0CF3&quot;/&gt;&lt;wsp:rsid wsp:val=&quot;00BA0DCA&quot;/&gt;&lt;wsp:rsid wsp:val=&quot;00BA0F22&quot;/&gt;&lt;wsp:rsid wsp:val=&quot;00BA1234&quot;/&gt;&lt;wsp:rsid wsp:val=&quot;00BA1702&quot;/&gt;&lt;wsp:rsid wsp:val=&quot;00BA1857&quot;/&gt;&lt;wsp:rsid wsp:val=&quot;00BA1A80&quot;/&gt;&lt;wsp:rsid wsp:val=&quot;00BA21F3&quot;/&gt;&lt;wsp:rsid wsp:val=&quot;00BA2922&quot;/&gt;&lt;wsp:rsid wsp:val=&quot;00BA36F2&quot;/&gt;&lt;wsp:rsid wsp:val=&quot;00BA3851&quot;/&gt;&lt;wsp:rsid wsp:val=&quot;00BA451B&quot;/&gt;&lt;wsp:rsid wsp:val=&quot;00BA4704&quot;/&gt;&lt;wsp:rsid wsp:val=&quot;00BA51D0&quot;/&gt;&lt;wsp:rsid wsp:val=&quot;00BA520D&quot;/&gt;&lt;wsp:rsid wsp:val=&quot;00BA73A2&quot;/&gt;&lt;wsp:rsid wsp:val=&quot;00BA73CC&quot;/&gt;&lt;wsp:rsid wsp:val=&quot;00BA7491&quot;/&gt;&lt;wsp:rsid wsp:val=&quot;00BA7F7D&quot;/&gt;&lt;wsp:rsid wsp:val=&quot;00BB09F7&quot;/&gt;&lt;wsp:rsid wsp:val=&quot;00BB0FD8&quot;/&gt;&lt;wsp:rsid wsp:val=&quot;00BB15F0&quot;/&gt;&lt;wsp:rsid wsp:val=&quot;00BB1FE0&quot;/&gt;&lt;wsp:rsid wsp:val=&quot;00BB291A&quot;/&gt;&lt;wsp:rsid wsp:val=&quot;00BB3533&quot;/&gt;&lt;wsp:rsid wsp:val=&quot;00BB37B5&quot;/&gt;&lt;wsp:rsid wsp:val=&quot;00BB3C09&quot;/&gt;&lt;wsp:rsid wsp:val=&quot;00BB55AB&quot;/&gt;&lt;wsp:rsid wsp:val=&quot;00BB62CB&quot;/&gt;&lt;wsp:rsid wsp:val=&quot;00BB6BA7&quot;/&gt;&lt;wsp:rsid wsp:val=&quot;00BB6F83&quot;/&gt;&lt;wsp:rsid wsp:val=&quot;00BB75B9&quot;/&gt;&lt;wsp:rsid wsp:val=&quot;00BB7EEA&quot;/&gt;&lt;wsp:rsid wsp:val=&quot;00BC0118&quot;/&gt;&lt;wsp:rsid wsp:val=&quot;00BC04D6&quot;/&gt;&lt;wsp:rsid wsp:val=&quot;00BC0EA6&quot;/&gt;&lt;wsp:rsid wsp:val=&quot;00BC1ED4&quot;/&gt;&lt;wsp:rsid wsp:val=&quot;00BC2193&quot;/&gt;&lt;wsp:rsid wsp:val=&quot;00BC2375&quot;/&gt;&lt;wsp:rsid wsp:val=&quot;00BC27E0&quot;/&gt;&lt;wsp:rsid wsp:val=&quot;00BC2FCC&quot;/&gt;&lt;wsp:rsid wsp:val=&quot;00BC324E&quot;/&gt;&lt;wsp:rsid wsp:val=&quot;00BC3623&quot;/&gt;&lt;wsp:rsid wsp:val=&quot;00BC3A88&quot;/&gt;&lt;wsp:rsid wsp:val=&quot;00BC3C0C&quot;/&gt;&lt;wsp:rsid wsp:val=&quot;00BC4148&quot;/&gt;&lt;wsp:rsid wsp:val=&quot;00BC44DA&quot;/&gt;&lt;wsp:rsid wsp:val=&quot;00BC4820&quot;/&gt;&lt;wsp:rsid wsp:val=&quot;00BC48F9&quot;/&gt;&lt;wsp:rsid wsp:val=&quot;00BC541B&quot;/&gt;&lt;wsp:rsid wsp:val=&quot;00BC575F&quot;/&gt;&lt;wsp:rsid wsp:val=&quot;00BC5855&quot;/&gt;&lt;wsp:rsid wsp:val=&quot;00BC5B58&quot;/&gt;&lt;wsp:rsid wsp:val=&quot;00BC5BA4&quot;/&gt;&lt;wsp:rsid wsp:val=&quot;00BC5F49&quot;/&gt;&lt;wsp:rsid wsp:val=&quot;00BC6612&quot;/&gt;&lt;wsp:rsid wsp:val=&quot;00BC6982&quot;/&gt;&lt;wsp:rsid wsp:val=&quot;00BC6BEF&quot;/&gt;&lt;wsp:rsid wsp:val=&quot;00BC724C&quot;/&gt;&lt;wsp:rsid wsp:val=&quot;00BC73B1&quot;/&gt;&lt;wsp:rsid wsp:val=&quot;00BC7623&quot;/&gt;&lt;wsp:rsid wsp:val=&quot;00BD00CC&quot;/&gt;&lt;wsp:rsid wsp:val=&quot;00BD11AC&quot;/&gt;&lt;wsp:rsid wsp:val=&quot;00BD1D93&quot;/&gt;&lt;wsp:rsid wsp:val=&quot;00BD2F36&quot;/&gt;&lt;wsp:rsid wsp:val=&quot;00BD4B20&quot;/&gt;&lt;wsp:rsid wsp:val=&quot;00BD519C&quot;/&gt;&lt;wsp:rsid wsp:val=&quot;00BD51A7&quot;/&gt;&lt;wsp:rsid wsp:val=&quot;00BD5344&quot;/&gt;&lt;wsp:rsid wsp:val=&quot;00BD619C&quot;/&gt;&lt;wsp:rsid wsp:val=&quot;00BD749C&quot;/&gt;&lt;wsp:rsid wsp:val=&quot;00BD7978&quot;/&gt;&lt;wsp:rsid wsp:val=&quot;00BD7ED5&quot;/&gt;&lt;wsp:rsid wsp:val=&quot;00BE0119&quot;/&gt;&lt;wsp:rsid wsp:val=&quot;00BE1131&quot;/&gt;&lt;wsp:rsid wsp:val=&quot;00BE16C5&quot;/&gt;&lt;wsp:rsid wsp:val=&quot;00BE1A9F&quot;/&gt;&lt;wsp:rsid wsp:val=&quot;00BE3350&quot;/&gt;&lt;wsp:rsid wsp:val=&quot;00BE3ECB&quot;/&gt;&lt;wsp:rsid wsp:val=&quot;00BE3FFE&quot;/&gt;&lt;wsp:rsid wsp:val=&quot;00BE4028&quot;/&gt;&lt;wsp:rsid wsp:val=&quot;00BE44AD&quot;/&gt;&lt;wsp:rsid wsp:val=&quot;00BE4B13&quot;/&gt;&lt;wsp:rsid wsp:val=&quot;00BE4E9F&quot;/&gt;&lt;wsp:rsid wsp:val=&quot;00BE5CBC&quot;/&gt;&lt;wsp:rsid wsp:val=&quot;00BE6868&quot;/&gt;&lt;wsp:rsid wsp:val=&quot;00BE6BE5&quot;/&gt;&lt;wsp:rsid wsp:val=&quot;00BE6E29&quot;/&gt;&lt;wsp:rsid wsp:val=&quot;00BE7601&quot;/&gt;&lt;wsp:rsid wsp:val=&quot;00BE78BE&quot;/&gt;&lt;wsp:rsid wsp:val=&quot;00BE7D37&quot;/&gt;&lt;wsp:rsid wsp:val=&quot;00BF0558&quot;/&gt;&lt;wsp:rsid wsp:val=&quot;00BF0AE5&quot;/&gt;&lt;wsp:rsid wsp:val=&quot;00BF100D&quot;/&gt;&lt;wsp:rsid wsp:val=&quot;00BF1591&quot;/&gt;&lt;wsp:rsid wsp:val=&quot;00BF194E&quot;/&gt;&lt;wsp:rsid wsp:val=&quot;00BF1CE1&quot;/&gt;&lt;wsp:rsid wsp:val=&quot;00BF20AE&quot;/&gt;&lt;wsp:rsid wsp:val=&quot;00BF2CE9&quot;/&gt;&lt;wsp:rsid wsp:val=&quot;00BF2E36&quot;/&gt;&lt;wsp:rsid wsp:val=&quot;00BF2EAB&quot;/&gt;&lt;wsp:rsid wsp:val=&quot;00BF3658&quot;/&gt;&lt;wsp:rsid wsp:val=&quot;00BF3839&quot;/&gt;&lt;wsp:rsid wsp:val=&quot;00BF3C81&quot;/&gt;&lt;wsp:rsid wsp:val=&quot;00BF3D25&quot;/&gt;&lt;wsp:rsid wsp:val=&quot;00BF3FC5&quot;/&gt;&lt;wsp:rsid wsp:val=&quot;00BF4060&quot;/&gt;&lt;wsp:rsid wsp:val=&quot;00BF4D08&quot;/&gt;&lt;wsp:rsid wsp:val=&quot;00BF4D60&quot;/&gt;&lt;wsp:rsid wsp:val=&quot;00BF5B66&quot;/&gt;&lt;wsp:rsid wsp:val=&quot;00BF77DE&quot;/&gt;&lt;wsp:rsid wsp:val=&quot;00C00427&quot;/&gt;&lt;wsp:rsid wsp:val=&quot;00C0088F&quot;/&gt;&lt;wsp:rsid wsp:val=&quot;00C01672&quot;/&gt;&lt;wsp:rsid wsp:val=&quot;00C01BD4&quot;/&gt;&lt;wsp:rsid wsp:val=&quot;00C01F9A&quot;/&gt;&lt;wsp:rsid wsp:val=&quot;00C026F9&quot;/&gt;&lt;wsp:rsid wsp:val=&quot;00C02A96&quot;/&gt;&lt;wsp:rsid wsp:val=&quot;00C02FC9&quot;/&gt;&lt;wsp:rsid wsp:val=&quot;00C0307A&quot;/&gt;&lt;wsp:rsid wsp:val=&quot;00C034E6&quot;/&gt;&lt;wsp:rsid wsp:val=&quot;00C036F9&quot;/&gt;&lt;wsp:rsid wsp:val=&quot;00C03E58&quot;/&gt;&lt;wsp:rsid wsp:val=&quot;00C040F1&quot;/&gt;&lt;wsp:rsid wsp:val=&quot;00C04108&quot;/&gt;&lt;wsp:rsid wsp:val=&quot;00C04DDB&quot;/&gt;&lt;wsp:rsid wsp:val=&quot;00C050F3&quot;/&gt;&lt;wsp:rsid wsp:val=&quot;00C0520D&quot;/&gt;&lt;wsp:rsid wsp:val=&quot;00C05802&quot;/&gt;&lt;wsp:rsid wsp:val=&quot;00C074A5&quot;/&gt;&lt;wsp:rsid wsp:val=&quot;00C1037D&quot;/&gt;&lt;wsp:rsid wsp:val=&quot;00C10633&quot;/&gt;&lt;wsp:rsid wsp:val=&quot;00C1065F&quot;/&gt;&lt;wsp:rsid wsp:val=&quot;00C10728&quot;/&gt;&lt;wsp:rsid wsp:val=&quot;00C107F1&quot;/&gt;&lt;wsp:rsid wsp:val=&quot;00C10A70&quot;/&gt;&lt;wsp:rsid wsp:val=&quot;00C11119&quot;/&gt;&lt;wsp:rsid wsp:val=&quot;00C111FA&quot;/&gt;&lt;wsp:rsid wsp:val=&quot;00C11326&quot;/&gt;&lt;wsp:rsid wsp:val=&quot;00C115B3&quot;/&gt;&lt;wsp:rsid wsp:val=&quot;00C11CDF&quot;/&gt;&lt;wsp:rsid wsp:val=&quot;00C12079&quot;/&gt;&lt;wsp:rsid wsp:val=&quot;00C1304F&quot;/&gt;&lt;wsp:rsid wsp:val=&quot;00C13A4E&quot;/&gt;&lt;wsp:rsid wsp:val=&quot;00C13B17&quot;/&gt;&lt;wsp:rsid wsp:val=&quot;00C14152&quot;/&gt;&lt;wsp:rsid wsp:val=&quot;00C1487A&quot;/&gt;&lt;wsp:rsid wsp:val=&quot;00C148C3&quot;/&gt;&lt;wsp:rsid wsp:val=&quot;00C15032&quot;/&gt;&lt;wsp:rsid wsp:val=&quot;00C15C4C&quot;/&gt;&lt;wsp:rsid wsp:val=&quot;00C160E6&quot;/&gt;&lt;wsp:rsid wsp:val=&quot;00C165A8&quot;/&gt;&lt;wsp:rsid wsp:val=&quot;00C16D97&quot;/&gt;&lt;wsp:rsid wsp:val=&quot;00C16E6D&quot;/&gt;&lt;wsp:rsid wsp:val=&quot;00C1702A&quot;/&gt;&lt;wsp:rsid wsp:val=&quot;00C20462&quot;/&gt;&lt;wsp:rsid wsp:val=&quot;00C21212&quot;/&gt;&lt;wsp:rsid wsp:val=&quot;00C21ABB&quot;/&gt;&lt;wsp:rsid wsp:val=&quot;00C2209F&quot;/&gt;&lt;wsp:rsid wsp:val=&quot;00C22BCE&quot;/&gt;&lt;wsp:rsid wsp:val=&quot;00C22C85&quot;/&gt;&lt;wsp:rsid wsp:val=&quot;00C22F8E&quot;/&gt;&lt;wsp:rsid wsp:val=&quot;00C2374D&quot;/&gt;&lt;wsp:rsid wsp:val=&quot;00C2393D&quot;/&gt;&lt;wsp:rsid wsp:val=&quot;00C249D4&quot;/&gt;&lt;wsp:rsid wsp:val=&quot;00C24F4B&quot;/&gt;&lt;wsp:rsid wsp:val=&quot;00C2550D&quot;/&gt;&lt;wsp:rsid wsp:val=&quot;00C25690&quot;/&gt;&lt;wsp:rsid wsp:val=&quot;00C25EF8&quot;/&gt;&lt;wsp:rsid wsp:val=&quot;00C260B2&quot;/&gt;&lt;wsp:rsid wsp:val=&quot;00C263AF&quot;/&gt;&lt;wsp:rsid wsp:val=&quot;00C26668&quot;/&gt;&lt;wsp:rsid wsp:val=&quot;00C2697B&quot;/&gt;&lt;wsp:rsid wsp:val=&quot;00C27A51&quot;/&gt;&lt;wsp:rsid wsp:val=&quot;00C27B2B&quot;/&gt;&lt;wsp:rsid wsp:val=&quot;00C301AE&quot;/&gt;&lt;wsp:rsid wsp:val=&quot;00C30AC6&quot;/&gt;&lt;wsp:rsid wsp:val=&quot;00C3119F&quot;/&gt;&lt;wsp:rsid wsp:val=&quot;00C31470&quot;/&gt;&lt;wsp:rsid wsp:val=&quot;00C31AC0&quot;/&gt;&lt;wsp:rsid wsp:val=&quot;00C31D98&quot;/&gt;&lt;wsp:rsid wsp:val=&quot;00C31DE4&quot;/&gt;&lt;wsp:rsid wsp:val=&quot;00C31E03&quot;/&gt;&lt;wsp:rsid wsp:val=&quot;00C31E83&quot;/&gt;&lt;wsp:rsid wsp:val=&quot;00C31EB6&quot;/&gt;&lt;wsp:rsid wsp:val=&quot;00C3245B&quot;/&gt;&lt;wsp:rsid wsp:val=&quot;00C3249C&quot;/&gt;&lt;wsp:rsid wsp:val=&quot;00C33457&quot;/&gt;&lt;wsp:rsid wsp:val=&quot;00C33A99&quot;/&gt;&lt;wsp:rsid wsp:val=&quot;00C34087&quot;/&gt;&lt;wsp:rsid wsp:val=&quot;00C3413B&quot;/&gt;&lt;wsp:rsid wsp:val=&quot;00C34471&quot;/&gt;&lt;wsp:rsid wsp:val=&quot;00C349EE&quot;/&gt;&lt;wsp:rsid wsp:val=&quot;00C34F9E&quot;/&gt;&lt;wsp:rsid wsp:val=&quot;00C3528C&quot;/&gt;&lt;wsp:rsid wsp:val=&quot;00C3560A&quot;/&gt;&lt;wsp:rsid wsp:val=&quot;00C358DB&quot;/&gt;&lt;wsp:rsid wsp:val=&quot;00C35C10&quot;/&gt;&lt;wsp:rsid wsp:val=&quot;00C361EF&quot;/&gt;&lt;wsp:rsid wsp:val=&quot;00C363C6&quot;/&gt;&lt;wsp:rsid wsp:val=&quot;00C36CD8&quot;/&gt;&lt;wsp:rsid wsp:val=&quot;00C36D13&quot;/&gt;&lt;wsp:rsid wsp:val=&quot;00C36FE7&quot;/&gt;&lt;wsp:rsid wsp:val=&quot;00C37377&quot;/&gt;&lt;wsp:rsid wsp:val=&quot;00C374F7&quot;/&gt;&lt;wsp:rsid wsp:val=&quot;00C3787A&quot;/&gt;&lt;wsp:rsid wsp:val=&quot;00C40ED4&quot;/&gt;&lt;wsp:rsid wsp:val=&quot;00C411E1&quot;/&gt;&lt;wsp:rsid wsp:val=&quot;00C4199B&quot;/&gt;&lt;wsp:rsid wsp:val=&quot;00C41E4C&quot;/&gt;&lt;wsp:rsid wsp:val=&quot;00C41FD0&quot;/&gt;&lt;wsp:rsid wsp:val=&quot;00C42A96&quot;/&gt;&lt;wsp:rsid wsp:val=&quot;00C42AC3&quot;/&gt;&lt;wsp:rsid wsp:val=&quot;00C434F9&quot;/&gt;&lt;wsp:rsid wsp:val=&quot;00C44162&quot;/&gt;&lt;wsp:rsid wsp:val=&quot;00C44242&quot;/&gt;&lt;wsp:rsid wsp:val=&quot;00C4433B&quot;/&gt;&lt;wsp:rsid wsp:val=&quot;00C458FF&quot;/&gt;&lt;wsp:rsid wsp:val=&quot;00C46129&quot;/&gt;&lt;wsp:rsid wsp:val=&quot;00C46853&quot;/&gt;&lt;wsp:rsid wsp:val=&quot;00C46D75&quot;/&gt;&lt;wsp:rsid wsp:val=&quot;00C507E3&quot;/&gt;&lt;wsp:rsid wsp:val=&quot;00C51D4B&quot;/&gt;&lt;wsp:rsid wsp:val=&quot;00C521A4&quot;/&gt;&lt;wsp:rsid wsp:val=&quot;00C52E00&quot;/&gt;&lt;wsp:rsid wsp:val=&quot;00C53016&quot;/&gt;&lt;wsp:rsid wsp:val=&quot;00C536E0&quot;/&gt;&lt;wsp:rsid wsp:val=&quot;00C53AAD&quot;/&gt;&lt;wsp:rsid wsp:val=&quot;00C53DA9&quot;/&gt;&lt;wsp:rsid wsp:val=&quot;00C5433E&quot;/&gt;&lt;wsp:rsid wsp:val=&quot;00C54746&quot;/&gt;&lt;wsp:rsid wsp:val=&quot;00C55BD7&quot;/&gt;&lt;wsp:rsid wsp:val=&quot;00C5602E&quot;/&gt;&lt;wsp:rsid wsp:val=&quot;00C56318&quot;/&gt;&lt;wsp:rsid wsp:val=&quot;00C56C46&quot;/&gt;&lt;wsp:rsid wsp:val=&quot;00C56CB9&quot;/&gt;&lt;wsp:rsid wsp:val=&quot;00C56FD4&quot;/&gt;&lt;wsp:rsid wsp:val=&quot;00C5713D&quot;/&gt;&lt;wsp:rsid wsp:val=&quot;00C57ADA&quot;/&gt;&lt;wsp:rsid wsp:val=&quot;00C60584&quot;/&gt;&lt;wsp:rsid wsp:val=&quot;00C612AC&quot;/&gt;&lt;wsp:rsid wsp:val=&quot;00C6135C&quot;/&gt;&lt;wsp:rsid wsp:val=&quot;00C613CA&quot;/&gt;&lt;wsp:rsid wsp:val=&quot;00C61DD7&quot;/&gt;&lt;wsp:rsid wsp:val=&quot;00C621FA&quot;/&gt;&lt;wsp:rsid wsp:val=&quot;00C623B5&quot;/&gt;&lt;wsp:rsid wsp:val=&quot;00C62C47&quot;/&gt;&lt;wsp:rsid wsp:val=&quot;00C631BF&quot;/&gt;&lt;wsp:rsid wsp:val=&quot;00C63ABB&quot;/&gt;&lt;wsp:rsid wsp:val=&quot;00C640DC&quot;/&gt;&lt;wsp:rsid wsp:val=&quot;00C64490&quot;/&gt;&lt;wsp:rsid wsp:val=&quot;00C644D0&quot;/&gt;&lt;wsp:rsid wsp:val=&quot;00C64755&quot;/&gt;&lt;wsp:rsid wsp:val=&quot;00C653A9&quot;/&gt;&lt;wsp:rsid wsp:val=&quot;00C6622E&quot;/&gt;&lt;wsp:rsid wsp:val=&quot;00C66B08&quot;/&gt;&lt;wsp:rsid wsp:val=&quot;00C66E96&quot;/&gt;&lt;wsp:rsid wsp:val=&quot;00C66ECE&quot;/&gt;&lt;wsp:rsid wsp:val=&quot;00C678FD&quot;/&gt;&lt;wsp:rsid wsp:val=&quot;00C67B72&quot;/&gt;&lt;wsp:rsid wsp:val=&quot;00C703C8&quot;/&gt;&lt;wsp:rsid wsp:val=&quot;00C7061A&quot;/&gt;&lt;wsp:rsid wsp:val=&quot;00C714FA&quot;/&gt;&lt;wsp:rsid wsp:val=&quot;00C717F0&quot;/&gt;&lt;wsp:rsid wsp:val=&quot;00C71AA6&quot;/&gt;&lt;wsp:rsid wsp:val=&quot;00C71AAE&quot;/&gt;&lt;wsp:rsid wsp:val=&quot;00C71F83&quot;/&gt;&lt;wsp:rsid wsp:val=&quot;00C724DF&quot;/&gt;&lt;wsp:rsid wsp:val=&quot;00C727AC&quot;/&gt;&lt;wsp:rsid wsp:val=&quot;00C72DBE&quot;/&gt;&lt;wsp:rsid wsp:val=&quot;00C7311A&quot;/&gt;&lt;wsp:rsid wsp:val=&quot;00C73F00&quot;/&gt;&lt;wsp:rsid wsp:val=&quot;00C74A8D&quot;/&gt;&lt;wsp:rsid wsp:val=&quot;00C74B55&quot;/&gt;&lt;wsp:rsid wsp:val=&quot;00C74C6B&quot;/&gt;&lt;wsp:rsid wsp:val=&quot;00C74C72&quot;/&gt;&lt;wsp:rsid wsp:val=&quot;00C75BB3&quot;/&gt;&lt;wsp:rsid wsp:val=&quot;00C75FFD&quot;/&gt;&lt;wsp:rsid wsp:val=&quot;00C769D5&quot;/&gt;&lt;wsp:rsid wsp:val=&quot;00C76A34&quot;/&gt;&lt;wsp:rsid wsp:val=&quot;00C76AE3&quot;/&gt;&lt;wsp:rsid wsp:val=&quot;00C773F3&quot;/&gt;&lt;wsp:rsid wsp:val=&quot;00C804FA&quot;/&gt;&lt;wsp:rsid wsp:val=&quot;00C80D53&quot;/&gt;&lt;wsp:rsid wsp:val=&quot;00C813E0&quot;/&gt;&lt;wsp:rsid wsp:val=&quot;00C81B47&quot;/&gt;&lt;wsp:rsid wsp:val=&quot;00C81F8D&quot;/&gt;&lt;wsp:rsid wsp:val=&quot;00C8214F&quot;/&gt;&lt;wsp:rsid wsp:val=&quot;00C82DD2&quot;/&gt;&lt;wsp:rsid wsp:val=&quot;00C83108&quot;/&gt;&lt;wsp:rsid wsp:val=&quot;00C8372B&quot;/&gt;&lt;wsp:rsid wsp:val=&quot;00C8375C&quot;/&gt;&lt;wsp:rsid wsp:val=&quot;00C83A0A&quot;/&gt;&lt;wsp:rsid wsp:val=&quot;00C8476C&quot;/&gt;&lt;wsp:rsid wsp:val=&quot;00C84BB8&quot;/&gt;&lt;wsp:rsid wsp:val=&quot;00C84C3F&quot;/&gt;&lt;wsp:rsid wsp:val=&quot;00C84F3F&quot;/&gt;&lt;wsp:rsid wsp:val=&quot;00C8515F&quot;/&gt;&lt;wsp:rsid wsp:val=&quot;00C85524&quot;/&gt;&lt;wsp:rsid wsp:val=&quot;00C855A6&quot;/&gt;&lt;wsp:rsid wsp:val=&quot;00C859AC&quot;/&gt;&lt;wsp:rsid wsp:val=&quot;00C863F1&quot;/&gt;&lt;wsp:rsid wsp:val=&quot;00C87DFB&quot;/&gt;&lt;wsp:rsid wsp:val=&quot;00C90BC7&quot;/&gt;&lt;wsp:rsid wsp:val=&quot;00C91C65&quot;/&gt;&lt;wsp:rsid wsp:val=&quot;00C91F08&quot;/&gt;&lt;wsp:rsid wsp:val=&quot;00C92DDC&quot;/&gt;&lt;wsp:rsid wsp:val=&quot;00C9313F&quot;/&gt;&lt;wsp:rsid wsp:val=&quot;00C940C8&quot;/&gt;&lt;wsp:rsid wsp:val=&quot;00C94EE5&quot;/&gt;&lt;wsp:rsid wsp:val=&quot;00C95332&quot;/&gt;&lt;wsp:rsid wsp:val=&quot;00C9602B&quot;/&gt;&lt;wsp:rsid wsp:val=&quot;00C96081&quot;/&gt;&lt;wsp:rsid wsp:val=&quot;00C9666A&quot;/&gt;&lt;wsp:rsid wsp:val=&quot;00C96692&quot;/&gt;&lt;wsp:rsid wsp:val=&quot;00C97ACB&quot;/&gt;&lt;wsp:rsid wsp:val=&quot;00CA004A&quot;/&gt;&lt;wsp:rsid wsp:val=&quot;00CA07B0&quot;/&gt;&lt;wsp:rsid wsp:val=&quot;00CA0A02&quot;/&gt;&lt;wsp:rsid wsp:val=&quot;00CA1605&quot;/&gt;&lt;wsp:rsid wsp:val=&quot;00CA1656&quot;/&gt;&lt;wsp:rsid wsp:val=&quot;00CA1CA7&quot;/&gt;&lt;wsp:rsid wsp:val=&quot;00CA1E83&quot;/&gt;&lt;wsp:rsid wsp:val=&quot;00CA2058&quot;/&gt;&lt;wsp:rsid wsp:val=&quot;00CA2456&quot;/&gt;&lt;wsp:rsid wsp:val=&quot;00CA24E1&quot;/&gt;&lt;wsp:rsid wsp:val=&quot;00CA2FCB&quot;/&gt;&lt;wsp:rsid wsp:val=&quot;00CA3757&quot;/&gt;&lt;wsp:rsid wsp:val=&quot;00CA3D99&quot;/&gt;&lt;wsp:rsid wsp:val=&quot;00CA51C8&quot;/&gt;&lt;wsp:rsid wsp:val=&quot;00CA5A06&quot;/&gt;&lt;wsp:rsid wsp:val=&quot;00CA5CDD&quot;/&gt;&lt;wsp:rsid wsp:val=&quot;00CA6F64&quot;/&gt;&lt;wsp:rsid wsp:val=&quot;00CA7151&quot;/&gt;&lt;wsp:rsid wsp:val=&quot;00CA7381&quot;/&gt;&lt;wsp:rsid wsp:val=&quot;00CA7510&quot;/&gt;&lt;wsp:rsid wsp:val=&quot;00CA7C35&quot;/&gt;&lt;wsp:rsid wsp:val=&quot;00CA7DD1&quot;/&gt;&lt;wsp:rsid wsp:val=&quot;00CB039A&quot;/&gt;&lt;wsp:rsid wsp:val=&quot;00CB0E87&quot;/&gt;&lt;wsp:rsid wsp:val=&quot;00CB188B&quot;/&gt;&lt;wsp:rsid wsp:val=&quot;00CB2273&quot;/&gt;&lt;wsp:rsid wsp:val=&quot;00CB260F&quot;/&gt;&lt;wsp:rsid wsp:val=&quot;00CB3191&quot;/&gt;&lt;wsp:rsid wsp:val=&quot;00CB3E08&quot;/&gt;&lt;wsp:rsid wsp:val=&quot;00CB4250&quot;/&gt;&lt;wsp:rsid wsp:val=&quot;00CB4273&quot;/&gt;&lt;wsp:rsid wsp:val=&quot;00CB5078&quot;/&gt;&lt;wsp:rsid wsp:val=&quot;00CB5241&quot;/&gt;&lt;wsp:rsid wsp:val=&quot;00CB569D&quot;/&gt;&lt;wsp:rsid wsp:val=&quot;00CB583A&quot;/&gt;&lt;wsp:rsid wsp:val=&quot;00CB5AF1&quot;/&gt;&lt;wsp:rsid wsp:val=&quot;00CB5B7D&quot;/&gt;&lt;wsp:rsid wsp:val=&quot;00CB601C&quot;/&gt;&lt;wsp:rsid wsp:val=&quot;00CB66C7&quot;/&gt;&lt;wsp:rsid wsp:val=&quot;00CB6F48&quot;/&gt;&lt;wsp:rsid wsp:val=&quot;00CB6FB0&quot;/&gt;&lt;wsp:rsid wsp:val=&quot;00CB762F&quot;/&gt;&lt;wsp:rsid wsp:val=&quot;00CB77F0&quot;/&gt;&lt;wsp:rsid wsp:val=&quot;00CB7DE7&quot;/&gt;&lt;wsp:rsid wsp:val=&quot;00CC058F&quot;/&gt;&lt;wsp:rsid wsp:val=&quot;00CC0770&quot;/&gt;&lt;wsp:rsid wsp:val=&quot;00CC0CFD&quot;/&gt;&lt;wsp:rsid wsp:val=&quot;00CC11D8&quot;/&gt;&lt;wsp:rsid wsp:val=&quot;00CC14AD&quot;/&gt;&lt;wsp:rsid wsp:val=&quot;00CC16B3&quot;/&gt;&lt;wsp:rsid wsp:val=&quot;00CC3519&quot;/&gt;&lt;wsp:rsid wsp:val=&quot;00CC3773&quot;/&gt;&lt;wsp:rsid wsp:val=&quot;00CC38FB&quot;/&gt;&lt;wsp:rsid wsp:val=&quot;00CC3BE0&quot;/&gt;&lt;wsp:rsid wsp:val=&quot;00CC3EB1&quot;/&gt;&lt;wsp:rsid wsp:val=&quot;00CC4136&quot;/&gt;&lt;wsp:rsid wsp:val=&quot;00CC4B60&quot;/&gt;&lt;wsp:rsid wsp:val=&quot;00CC52E0&quot;/&gt;&lt;wsp:rsid wsp:val=&quot;00CC5387&quot;/&gt;&lt;wsp:rsid wsp:val=&quot;00CC5864&quot;/&gt;&lt;wsp:rsid wsp:val=&quot;00CC64C2&quot;/&gt;&lt;wsp:rsid wsp:val=&quot;00CC654B&quot;/&gt;&lt;wsp:rsid wsp:val=&quot;00CC7537&quot;/&gt;&lt;wsp:rsid wsp:val=&quot;00CC79E7&quot;/&gt;&lt;wsp:rsid wsp:val=&quot;00CD00BE&quot;/&gt;&lt;wsp:rsid wsp:val=&quot;00CD0402&quot;/&gt;&lt;wsp:rsid wsp:val=&quot;00CD0438&quot;/&gt;&lt;wsp:rsid wsp:val=&quot;00CD18C0&quot;/&gt;&lt;wsp:rsid wsp:val=&quot;00CD2C43&quot;/&gt;&lt;wsp:rsid wsp:val=&quot;00CD2DA2&quot;/&gt;&lt;wsp:rsid wsp:val=&quot;00CD2FC9&quot;/&gt;&lt;wsp:rsid wsp:val=&quot;00CD3596&quot;/&gt;&lt;wsp:rsid wsp:val=&quot;00CD3885&quot;/&gt;&lt;wsp:rsid wsp:val=&quot;00CD4D4C&quot;/&gt;&lt;wsp:rsid wsp:val=&quot;00CD66A9&quot;/&gt;&lt;wsp:rsid wsp:val=&quot;00CD6964&quot;/&gt;&lt;wsp:rsid wsp:val=&quot;00CD6B77&quot;/&gt;&lt;wsp:rsid wsp:val=&quot;00CD7D3E&quot;/&gt;&lt;wsp:rsid wsp:val=&quot;00CE04F5&quot;/&gt;&lt;wsp:rsid wsp:val=&quot;00CE0875&quot;/&gt;&lt;wsp:rsid wsp:val=&quot;00CE0B12&quot;/&gt;&lt;wsp:rsid wsp:val=&quot;00CE0C10&quot;/&gt;&lt;wsp:rsid wsp:val=&quot;00CE1032&quot;/&gt;&lt;wsp:rsid wsp:val=&quot;00CE1402&quot;/&gt;&lt;wsp:rsid wsp:val=&quot;00CE219E&quot;/&gt;&lt;wsp:rsid wsp:val=&quot;00CE23EC&quot;/&gt;&lt;wsp:rsid wsp:val=&quot;00CE2AB1&quot;/&gt;&lt;wsp:rsid wsp:val=&quot;00CE2D6A&quot;/&gt;&lt;wsp:rsid wsp:val=&quot;00CE2E2B&quot;/&gt;&lt;wsp:rsid wsp:val=&quot;00CE31C6&quot;/&gt;&lt;wsp:rsid wsp:val=&quot;00CE424E&quot;/&gt;&lt;wsp:rsid wsp:val=&quot;00CE46C3&quot;/&gt;&lt;wsp:rsid wsp:val=&quot;00CE46C6&quot;/&gt;&lt;wsp:rsid wsp:val=&quot;00CE4A41&quot;/&gt;&lt;wsp:rsid wsp:val=&quot;00CE4EB2&quot;/&gt;&lt;wsp:rsid wsp:val=&quot;00CE52BB&quot;/&gt;&lt;wsp:rsid wsp:val=&quot;00CE5B9D&quot;/&gt;&lt;wsp:rsid wsp:val=&quot;00CE5DDB&quot;/&gt;&lt;wsp:rsid wsp:val=&quot;00CE6765&quot;/&gt;&lt;wsp:rsid wsp:val=&quot;00CE6A5A&quot;/&gt;&lt;wsp:rsid wsp:val=&quot;00CE7580&quot;/&gt;&lt;wsp:rsid wsp:val=&quot;00CE776D&quot;/&gt;&lt;wsp:rsid wsp:val=&quot;00CF00E7&quot;/&gt;&lt;wsp:rsid wsp:val=&quot;00CF0763&quot;/&gt;&lt;wsp:rsid wsp:val=&quot;00CF0CB5&quot;/&gt;&lt;wsp:rsid wsp:val=&quot;00CF1310&quot;/&gt;&lt;wsp:rsid wsp:val=&quot;00CF17AF&quot;/&gt;&lt;wsp:rsid wsp:val=&quot;00CF1C9B&quot;/&gt;&lt;wsp:rsid wsp:val=&quot;00CF27AB&quot;/&gt;&lt;wsp:rsid wsp:val=&quot;00CF3D53&quot;/&gt;&lt;wsp:rsid wsp:val=&quot;00CF3F83&quot;/&gt;&lt;wsp:rsid wsp:val=&quot;00CF4E27&quot;/&gt;&lt;wsp:rsid wsp:val=&quot;00CF6025&quot;/&gt;&lt;wsp:rsid wsp:val=&quot;00CF63BA&quot;/&gt;&lt;wsp:rsid wsp:val=&quot;00CF6D40&quot;/&gt;&lt;wsp:rsid wsp:val=&quot;00CF7F21&quot;/&gt;&lt;wsp:rsid wsp:val=&quot;00D00129&quot;/&gt;&lt;wsp:rsid wsp:val=&quot;00D01770&quot;/&gt;&lt;wsp:rsid wsp:val=&quot;00D021A8&quot;/&gt;&lt;wsp:rsid wsp:val=&quot;00D022BA&quot;/&gt;&lt;wsp:rsid wsp:val=&quot;00D028D2&quot;/&gt;&lt;wsp:rsid wsp:val=&quot;00D02A28&quot;/&gt;&lt;wsp:rsid wsp:val=&quot;00D02CD9&quot;/&gt;&lt;wsp:rsid wsp:val=&quot;00D02F9E&quot;/&gt;&lt;wsp:rsid wsp:val=&quot;00D0351A&quot;/&gt;&lt;wsp:rsid wsp:val=&quot;00D03AD8&quot;/&gt;&lt;wsp:rsid wsp:val=&quot;00D03FD9&quot;/&gt;&lt;wsp:rsid wsp:val=&quot;00D04546&quot;/&gt;&lt;wsp:rsid wsp:val=&quot;00D05D23&quot;/&gt;&lt;wsp:rsid wsp:val=&quot;00D05F3D&quot;/&gt;&lt;wsp:rsid wsp:val=&quot;00D068F1&quot;/&gt;&lt;wsp:rsid wsp:val=&quot;00D06C9C&quot;/&gt;&lt;wsp:rsid wsp:val=&quot;00D1010B&quot;/&gt;&lt;wsp:rsid wsp:val=&quot;00D10730&quot;/&gt;&lt;wsp:rsid wsp:val=&quot;00D10ED4&quot;/&gt;&lt;wsp:rsid wsp:val=&quot;00D111B6&quot;/&gt;&lt;wsp:rsid wsp:val=&quot;00D111CA&quot;/&gt;&lt;wsp:rsid wsp:val=&quot;00D11477&quot;/&gt;&lt;wsp:rsid wsp:val=&quot;00D1172B&quot;/&gt;&lt;wsp:rsid wsp:val=&quot;00D117BD&quot;/&gt;&lt;wsp:rsid wsp:val=&quot;00D117F7&quot;/&gt;&lt;wsp:rsid wsp:val=&quot;00D11B74&quot;/&gt;&lt;wsp:rsid wsp:val=&quot;00D11F73&quot;/&gt;&lt;wsp:rsid wsp:val=&quot;00D12394&quot;/&gt;&lt;wsp:rsid wsp:val=&quot;00D12B07&quot;/&gt;&lt;wsp:rsid wsp:val=&quot;00D1476A&quot;/&gt;&lt;wsp:rsid wsp:val=&quot;00D155F4&quot;/&gt;&lt;wsp:rsid wsp:val=&quot;00D162B5&quot;/&gt;&lt;wsp:rsid wsp:val=&quot;00D16A26&quot;/&gt;&lt;wsp:rsid wsp:val=&quot;00D16ADD&quot;/&gt;&lt;wsp:rsid wsp:val=&quot;00D17B45&quot;/&gt;&lt;wsp:rsid wsp:val=&quot;00D17B87&quot;/&gt;&lt;wsp:rsid wsp:val=&quot;00D17C86&quot;/&gt;&lt;wsp:rsid wsp:val=&quot;00D17EDF&quot;/&gt;&lt;wsp:rsid wsp:val=&quot;00D202C4&quot;/&gt;&lt;wsp:rsid wsp:val=&quot;00D2095A&quot;/&gt;&lt;wsp:rsid wsp:val=&quot;00D20B27&quot;/&gt;&lt;wsp:rsid wsp:val=&quot;00D20DCF&quot;/&gt;&lt;wsp:rsid wsp:val=&quot;00D20FAF&quot;/&gt;&lt;wsp:rsid wsp:val=&quot;00D21DDB&quot;/&gt;&lt;wsp:rsid wsp:val=&quot;00D21FE4&quot;/&gt;&lt;wsp:rsid wsp:val=&quot;00D2270F&quot;/&gt;&lt;wsp:rsid wsp:val=&quot;00D22A9B&quot;/&gt;&lt;wsp:rsid wsp:val=&quot;00D23380&quot;/&gt;&lt;wsp:rsid wsp:val=&quot;00D23E8F&quot;/&gt;&lt;wsp:rsid wsp:val=&quot;00D24058&quot;/&gt;&lt;wsp:rsid wsp:val=&quot;00D24372&quot;/&gt;&lt;wsp:rsid wsp:val=&quot;00D248D6&quot;/&gt;&lt;wsp:rsid wsp:val=&quot;00D24A37&quot;/&gt;&lt;wsp:rsid wsp:val=&quot;00D24E4F&quot;/&gt;&lt;wsp:rsid wsp:val=&quot;00D259DC&quot;/&gt;&lt;wsp:rsid wsp:val=&quot;00D25BAB&quot;/&gt;&lt;wsp:rsid wsp:val=&quot;00D25C31&quot;/&gt;&lt;wsp:rsid wsp:val=&quot;00D25C53&quot;/&gt;&lt;wsp:rsid wsp:val=&quot;00D261DA&quot;/&gt;&lt;wsp:rsid wsp:val=&quot;00D2642E&quot;/&gt;&lt;wsp:rsid wsp:val=&quot;00D26C3D&quot;/&gt;&lt;wsp:rsid wsp:val=&quot;00D275BC&quot;/&gt;&lt;wsp:rsid wsp:val=&quot;00D30111&quot;/&gt;&lt;wsp:rsid wsp:val=&quot;00D31834&quot;/&gt;&lt;wsp:rsid wsp:val=&quot;00D318DB&quot;/&gt;&lt;wsp:rsid wsp:val=&quot;00D327AA&quot;/&gt;&lt;wsp:rsid wsp:val=&quot;00D32A00&quot;/&gt;&lt;wsp:rsid wsp:val=&quot;00D32CD3&quot;/&gt;&lt;wsp:rsid wsp:val=&quot;00D33D6C&quot;/&gt;&lt;wsp:rsid wsp:val=&quot;00D3480E&quot;/&gt;&lt;wsp:rsid wsp:val=&quot;00D3502A&quot;/&gt;&lt;wsp:rsid wsp:val=&quot;00D35289&quot;/&gt;&lt;wsp:rsid wsp:val=&quot;00D353B0&quot;/&gt;&lt;wsp:rsid wsp:val=&quot;00D35A85&quot;/&gt;&lt;wsp:rsid wsp:val=&quot;00D36029&quot;/&gt;&lt;wsp:rsid wsp:val=&quot;00D362D9&quot;/&gt;&lt;wsp:rsid wsp:val=&quot;00D363C9&quot;/&gt;&lt;wsp:rsid wsp:val=&quot;00D36B1E&quot;/&gt;&lt;wsp:rsid wsp:val=&quot;00D36C40&quot;/&gt;&lt;wsp:rsid wsp:val=&quot;00D36CAE&quot;/&gt;&lt;wsp:rsid wsp:val=&quot;00D371D2&quot;/&gt;&lt;wsp:rsid wsp:val=&quot;00D3731F&quot;/&gt;&lt;wsp:rsid wsp:val=&quot;00D3759E&quot;/&gt;&lt;wsp:rsid wsp:val=&quot;00D3770D&quot;/&gt;&lt;wsp:rsid wsp:val=&quot;00D377B6&quot;/&gt;&lt;wsp:rsid wsp:val=&quot;00D40148&quot;/&gt;&lt;wsp:rsid wsp:val=&quot;00D407AB&quot;/&gt;&lt;wsp:rsid wsp:val=&quot;00D4085C&quot;/&gt;&lt;wsp:rsid wsp:val=&quot;00D40AC8&quot;/&gt;&lt;wsp:rsid wsp:val=&quot;00D41CF1&quot;/&gt;&lt;wsp:rsid wsp:val=&quot;00D4201F&quot;/&gt;&lt;wsp:rsid wsp:val=&quot;00D424A9&quot;/&gt;&lt;wsp:rsid wsp:val=&quot;00D42566&quot;/&gt;&lt;wsp:rsid wsp:val=&quot;00D436DF&quot;/&gt;&lt;wsp:rsid wsp:val=&quot;00D43D3D&quot;/&gt;&lt;wsp:rsid wsp:val=&quot;00D44AC3&quot;/&gt;&lt;wsp:rsid wsp:val=&quot;00D44B6D&quot;/&gt;&lt;wsp:rsid wsp:val=&quot;00D457BA&quot;/&gt;&lt;wsp:rsid wsp:val=&quot;00D4605F&quot;/&gt;&lt;wsp:rsid wsp:val=&quot;00D46A1C&quot;/&gt;&lt;wsp:rsid wsp:val=&quot;00D46C2E&quot;/&gt;&lt;wsp:rsid wsp:val=&quot;00D46EED&quot;/&gt;&lt;wsp:rsid wsp:val=&quot;00D479C7&quot;/&gt;&lt;wsp:rsid wsp:val=&quot;00D47F3D&quot;/&gt;&lt;wsp:rsid wsp:val=&quot;00D5067F&quot;/&gt;&lt;wsp:rsid wsp:val=&quot;00D50996&quot;/&gt;&lt;wsp:rsid wsp:val=&quot;00D50B41&quot;/&gt;&lt;wsp:rsid wsp:val=&quot;00D50C84&quot;/&gt;&lt;wsp:rsid wsp:val=&quot;00D5117A&quot;/&gt;&lt;wsp:rsid wsp:val=&quot;00D51311&quot;/&gt;&lt;wsp:rsid wsp:val=&quot;00D515CE&quot;/&gt;&lt;wsp:rsid wsp:val=&quot;00D51B85&quot;/&gt;&lt;wsp:rsid wsp:val=&quot;00D51DC1&quot;/&gt;&lt;wsp:rsid wsp:val=&quot;00D52146&quot;/&gt;&lt;wsp:rsid wsp:val=&quot;00D52643&quot;/&gt;&lt;wsp:rsid wsp:val=&quot;00D52BFA&quot;/&gt;&lt;wsp:rsid wsp:val=&quot;00D53432&quot;/&gt;&lt;wsp:rsid wsp:val=&quot;00D5361D&quot;/&gt;&lt;wsp:rsid wsp:val=&quot;00D54758&quot;/&gt;&lt;wsp:rsid wsp:val=&quot;00D54A44&quot;/&gt;&lt;wsp:rsid wsp:val=&quot;00D54E33&quot;/&gt;&lt;wsp:rsid wsp:val=&quot;00D55BA9&quot;/&gt;&lt;wsp:rsid wsp:val=&quot;00D57273&quot;/&gt;&lt;wsp:rsid wsp:val=&quot;00D572AE&quot;/&gt;&lt;wsp:rsid wsp:val=&quot;00D5748F&quot;/&gt;&lt;wsp:rsid wsp:val=&quot;00D60B31&quot;/&gt;&lt;wsp:rsid wsp:val=&quot;00D60F5E&quot;/&gt;&lt;wsp:rsid wsp:val=&quot;00D6107B&quot;/&gt;&lt;wsp:rsid wsp:val=&quot;00D6314E&quot;/&gt;&lt;wsp:rsid wsp:val=&quot;00D634DE&quot;/&gt;&lt;wsp:rsid wsp:val=&quot;00D6353D&quot;/&gt;&lt;wsp:rsid wsp:val=&quot;00D63CC0&quot;/&gt;&lt;wsp:rsid wsp:val=&quot;00D63D9B&quot;/&gt;&lt;wsp:rsid wsp:val=&quot;00D6445F&quot;/&gt;&lt;wsp:rsid wsp:val=&quot;00D6492A&quot;/&gt;&lt;wsp:rsid wsp:val=&quot;00D64E8F&quot;/&gt;&lt;wsp:rsid wsp:val=&quot;00D64EFE&quot;/&gt;&lt;wsp:rsid wsp:val=&quot;00D65756&quot;/&gt;&lt;wsp:rsid wsp:val=&quot;00D66D94&quot;/&gt;&lt;wsp:rsid wsp:val=&quot;00D6721B&quot;/&gt;&lt;wsp:rsid wsp:val=&quot;00D67B14&quot;/&gt;&lt;wsp:rsid wsp:val=&quot;00D703D8&quot;/&gt;&lt;wsp:rsid wsp:val=&quot;00D7090F&quot;/&gt;&lt;wsp:rsid wsp:val=&quot;00D70AE8&quot;/&gt;&lt;wsp:rsid wsp:val=&quot;00D70D1D&quot;/&gt;&lt;wsp:rsid wsp:val=&quot;00D70FA6&quot;/&gt;&lt;wsp:rsid wsp:val=&quot;00D71055&quot;/&gt;&lt;wsp:rsid wsp:val=&quot;00D71853&quot;/&gt;&lt;wsp:rsid wsp:val=&quot;00D71E0F&quot;/&gt;&lt;wsp:rsid wsp:val=&quot;00D728BD&quot;/&gt;&lt;wsp:rsid wsp:val=&quot;00D72945&quot;/&gt;&lt;wsp:rsid wsp:val=&quot;00D72F19&quot;/&gt;&lt;wsp:rsid wsp:val=&quot;00D731ED&quot;/&gt;&lt;wsp:rsid wsp:val=&quot;00D7346F&quot;/&gt;&lt;wsp:rsid wsp:val=&quot;00D73576&quot;/&gt;&lt;wsp:rsid wsp:val=&quot;00D735ED&quot;/&gt;&lt;wsp:rsid wsp:val=&quot;00D73998&quot;/&gt;&lt;wsp:rsid wsp:val=&quot;00D73EF4&quot;/&gt;&lt;wsp:rsid wsp:val=&quot;00D74CA1&quot;/&gt;&lt;wsp:rsid wsp:val=&quot;00D750D1&quot;/&gt;&lt;wsp:rsid wsp:val=&quot;00D75734&quot;/&gt;&lt;wsp:rsid wsp:val=&quot;00D758BD&quot;/&gt;&lt;wsp:rsid wsp:val=&quot;00D75934&quot;/&gt;&lt;wsp:rsid wsp:val=&quot;00D76D17&quot;/&gt;&lt;wsp:rsid wsp:val=&quot;00D77377&quot;/&gt;&lt;wsp:rsid wsp:val=&quot;00D8016F&quot;/&gt;&lt;wsp:rsid wsp:val=&quot;00D807FA&quot;/&gt;&lt;wsp:rsid wsp:val=&quot;00D82C4C&quot;/&gt;&lt;wsp:rsid wsp:val=&quot;00D83137&quot;/&gt;&lt;wsp:rsid wsp:val=&quot;00D8327D&quot;/&gt;&lt;wsp:rsid wsp:val=&quot;00D837EB&quot;/&gt;&lt;wsp:rsid wsp:val=&quot;00D83AEF&quot;/&gt;&lt;wsp:rsid wsp:val=&quot;00D84535&quot;/&gt;&lt;wsp:rsid wsp:val=&quot;00D8458A&quot;/&gt;&lt;wsp:rsid wsp:val=&quot;00D84626&quot;/&gt;&lt;wsp:rsid wsp:val=&quot;00D84B2D&quot;/&gt;&lt;wsp:rsid wsp:val=&quot;00D84D90&quot;/&gt;&lt;wsp:rsid wsp:val=&quot;00D851EF&quot;/&gt;&lt;wsp:rsid wsp:val=&quot;00D855C3&quot;/&gt;&lt;wsp:rsid wsp:val=&quot;00D859E6&quot;/&gt;&lt;wsp:rsid wsp:val=&quot;00D86201&quot;/&gt;&lt;wsp:rsid wsp:val=&quot;00D864DA&quot;/&gt;&lt;wsp:rsid wsp:val=&quot;00D864DD&quot;/&gt;&lt;wsp:rsid wsp:val=&quot;00D8767E&quot;/&gt;&lt;wsp:rsid wsp:val=&quot;00D90A3E&quot;/&gt;&lt;wsp:rsid wsp:val=&quot;00D90C91&quot;/&gt;&lt;wsp:rsid wsp:val=&quot;00D90CC8&quot;/&gt;&lt;wsp:rsid wsp:val=&quot;00D91636&quot;/&gt;&lt;wsp:rsid wsp:val=&quot;00D92177&quot;/&gt;&lt;wsp:rsid wsp:val=&quot;00D9247A&quot;/&gt;&lt;wsp:rsid wsp:val=&quot;00D925E0&quot;/&gt;&lt;wsp:rsid wsp:val=&quot;00D929EC&quot;/&gt;&lt;wsp:rsid wsp:val=&quot;00D93794&quot;/&gt;&lt;wsp:rsid wsp:val=&quot;00D938C0&quot;/&gt;&lt;wsp:rsid wsp:val=&quot;00D938F1&quot;/&gt;&lt;wsp:rsid wsp:val=&quot;00D940F0&quot;/&gt;&lt;wsp:rsid wsp:val=&quot;00D941E4&quot;/&gt;&lt;wsp:rsid wsp:val=&quot;00D9441B&quot;/&gt;&lt;wsp:rsid wsp:val=&quot;00D94948&quot;/&gt;&lt;wsp:rsid wsp:val=&quot;00D951EC&quot;/&gt;&lt;wsp:rsid wsp:val=&quot;00D96B1D&quot;/&gt;&lt;wsp:rsid wsp:val=&quot;00D97326&quot;/&gt;&lt;wsp:rsid wsp:val=&quot;00D974F6&quot;/&gt;&lt;wsp:rsid wsp:val=&quot;00D97ADC&quot;/&gt;&lt;wsp:rsid wsp:val=&quot;00D97DE1&quot;/&gt;&lt;wsp:rsid wsp:val=&quot;00D97E6A&quot;/&gt;&lt;wsp:rsid wsp:val=&quot;00DA0EC6&quot;/&gt;&lt;wsp:rsid wsp:val=&quot;00DA1356&quot;/&gt;&lt;wsp:rsid wsp:val=&quot;00DA1542&quot;/&gt;&lt;wsp:rsid wsp:val=&quot;00DA1754&quot;/&gt;&lt;wsp:rsid wsp:val=&quot;00DA1B23&quot;/&gt;&lt;wsp:rsid wsp:val=&quot;00DA4075&quot;/&gt;&lt;wsp:rsid wsp:val=&quot;00DA48BA&quot;/&gt;&lt;wsp:rsid wsp:val=&quot;00DA5212&quot;/&gt;&lt;wsp:rsid wsp:val=&quot;00DA5C0B&quot;/&gt;&lt;wsp:rsid wsp:val=&quot;00DA61D3&quot;/&gt;&lt;wsp:rsid wsp:val=&quot;00DA71C1&quot;/&gt;&lt;wsp:rsid wsp:val=&quot;00DA73A0&quot;/&gt;&lt;wsp:rsid wsp:val=&quot;00DA7664&quot;/&gt;&lt;wsp:rsid wsp:val=&quot;00DA7F9E&quot;/&gt;&lt;wsp:rsid wsp:val=&quot;00DB0A9C&quot;/&gt;&lt;wsp:rsid wsp:val=&quot;00DB0D00&quot;/&gt;&lt;wsp:rsid wsp:val=&quot;00DB12BD&quot;/&gt;&lt;wsp:rsid wsp:val=&quot;00DB1C84&quot;/&gt;&lt;wsp:rsid wsp:val=&quot;00DB301E&quot;/&gt;&lt;wsp:rsid wsp:val=&quot;00DB33BA&quot;/&gt;&lt;wsp:rsid wsp:val=&quot;00DB346D&quot;/&gt;&lt;wsp:rsid wsp:val=&quot;00DB3DA7&quot;/&gt;&lt;wsp:rsid wsp:val=&quot;00DB46D0&quot;/&gt;&lt;wsp:rsid wsp:val=&quot;00DB49A7&quot;/&gt;&lt;wsp:rsid wsp:val=&quot;00DB639E&quot;/&gt;&lt;wsp:rsid wsp:val=&quot;00DB79AE&quot;/&gt;&lt;wsp:rsid wsp:val=&quot;00DC00B3&quot;/&gt;&lt;wsp:rsid wsp:val=&quot;00DC00DE&quot;/&gt;&lt;wsp:rsid wsp:val=&quot;00DC04C2&quot;/&gt;&lt;wsp:rsid wsp:val=&quot;00DC1A6D&quot;/&gt;&lt;wsp:rsid wsp:val=&quot;00DC1F17&quot;/&gt;&lt;wsp:rsid wsp:val=&quot;00DC207A&quot;/&gt;&lt;wsp:rsid wsp:val=&quot;00DC20AB&quot;/&gt;&lt;wsp:rsid wsp:val=&quot;00DC25BC&quot;/&gt;&lt;wsp:rsid wsp:val=&quot;00DC2C56&quot;/&gt;&lt;wsp:rsid wsp:val=&quot;00DC2F05&quot;/&gt;&lt;wsp:rsid wsp:val=&quot;00DC47D5&quot;/&gt;&lt;wsp:rsid wsp:val=&quot;00DC4F94&quot;/&gt;&lt;wsp:rsid wsp:val=&quot;00DC5266&quot;/&gt;&lt;wsp:rsid wsp:val=&quot;00DC56ED&quot;/&gt;&lt;wsp:rsid wsp:val=&quot;00DC57B0&quot;/&gt;&lt;wsp:rsid wsp:val=&quot;00DC6018&quot;/&gt;&lt;wsp:rsid wsp:val=&quot;00DC61C5&quot;/&gt;&lt;wsp:rsid wsp:val=&quot;00DC6F58&quot;/&gt;&lt;wsp:rsid wsp:val=&quot;00DD103F&quot;/&gt;&lt;wsp:rsid wsp:val=&quot;00DD1B86&quot;/&gt;&lt;wsp:rsid wsp:val=&quot;00DD22FC&quot;/&gt;&lt;wsp:rsid wsp:val=&quot;00DD2465&quot;/&gt;&lt;wsp:rsid wsp:val=&quot;00DD2602&quot;/&gt;&lt;wsp:rsid wsp:val=&quot;00DD2B4F&quot;/&gt;&lt;wsp:rsid wsp:val=&quot;00DD300D&quot;/&gt;&lt;wsp:rsid wsp:val=&quot;00DD3E0A&quot;/&gt;&lt;wsp:rsid wsp:val=&quot;00DD4066&quot;/&gt;&lt;wsp:rsid wsp:val=&quot;00DD444C&quot;/&gt;&lt;wsp:rsid wsp:val=&quot;00DD4827&quot;/&gt;&lt;wsp:rsid wsp:val=&quot;00DD492E&quot;/&gt;&lt;wsp:rsid wsp:val=&quot;00DD5440&quot;/&gt;&lt;wsp:rsid wsp:val=&quot;00DD55BE&quot;/&gt;&lt;wsp:rsid wsp:val=&quot;00DD5666&quot;/&gt;&lt;wsp:rsid wsp:val=&quot;00DD5C47&quot;/&gt;&lt;wsp:rsid wsp:val=&quot;00DD5D27&quot;/&gt;&lt;wsp:rsid wsp:val=&quot;00DD6888&quot;/&gt;&lt;wsp:rsid wsp:val=&quot;00DD68E2&quot;/&gt;&lt;wsp:rsid wsp:val=&quot;00DD74A9&quot;/&gt;&lt;wsp:rsid wsp:val=&quot;00DE05A0&quot;/&gt;&lt;wsp:rsid wsp:val=&quot;00DE05F4&quot;/&gt;&lt;wsp:rsid wsp:val=&quot;00DE06D8&quot;/&gt;&lt;wsp:rsid wsp:val=&quot;00DE157D&quot;/&gt;&lt;wsp:rsid wsp:val=&quot;00DE1666&quot;/&gt;&lt;wsp:rsid wsp:val=&quot;00DE1956&quot;/&gt;&lt;wsp:rsid wsp:val=&quot;00DE1DA2&quot;/&gt;&lt;wsp:rsid wsp:val=&quot;00DE1E3B&quot;/&gt;&lt;wsp:rsid wsp:val=&quot;00DE2EAB&quot;/&gt;&lt;wsp:rsid wsp:val=&quot;00DE2ED7&quot;/&gt;&lt;wsp:rsid wsp:val=&quot;00DE303F&quot;/&gt;&lt;wsp:rsid wsp:val=&quot;00DE38AC&quot;/&gt;&lt;wsp:rsid wsp:val=&quot;00DE3E81&quot;/&gt;&lt;wsp:rsid wsp:val=&quot;00DE3F0C&quot;/&gt;&lt;wsp:rsid wsp:val=&quot;00DE503C&quot;/&gt;&lt;wsp:rsid wsp:val=&quot;00DE531B&quot;/&gt;&lt;wsp:rsid wsp:val=&quot;00DE5491&quot;/&gt;&lt;wsp:rsid wsp:val=&quot;00DE560A&quot;/&gt;&lt;wsp:rsid wsp:val=&quot;00DE5AAE&quot;/&gt;&lt;wsp:rsid wsp:val=&quot;00DE63F9&quot;/&gt;&lt;wsp:rsid wsp:val=&quot;00DE6E4A&quot;/&gt;&lt;wsp:rsid wsp:val=&quot;00DE6ED9&quot;/&gt;&lt;wsp:rsid wsp:val=&quot;00DE75E6&quot;/&gt;&lt;wsp:rsid wsp:val=&quot;00DE7D6F&quot;/&gt;&lt;wsp:rsid wsp:val=&quot;00DF00D5&quot;/&gt;&lt;wsp:rsid wsp:val=&quot;00DF13D6&quot;/&gt;&lt;wsp:rsid wsp:val=&quot;00DF1C4F&quot;/&gt;&lt;wsp:rsid wsp:val=&quot;00DF3464&quot;/&gt;&lt;wsp:rsid wsp:val=&quot;00DF3654&quot;/&gt;&lt;wsp:rsid wsp:val=&quot;00DF4080&quot;/&gt;&lt;wsp:rsid wsp:val=&quot;00DF46F5&quot;/&gt;&lt;wsp:rsid wsp:val=&quot;00DF529F&quot;/&gt;&lt;wsp:rsid wsp:val=&quot;00DF54E9&quot;/&gt;&lt;wsp:rsid wsp:val=&quot;00DF6974&quot;/&gt;&lt;wsp:rsid wsp:val=&quot;00DF7188&quot;/&gt;&lt;wsp:rsid wsp:val=&quot;00DF7286&quot;/&gt;&lt;wsp:rsid wsp:val=&quot;00E00E0A&quot;/&gt;&lt;wsp:rsid wsp:val=&quot;00E00E3A&quot;/&gt;&lt;wsp:rsid wsp:val=&quot;00E01404&quot;/&gt;&lt;wsp:rsid wsp:val=&quot;00E01EED&quot;/&gt;&lt;wsp:rsid wsp:val=&quot;00E027C7&quot;/&gt;&lt;wsp:rsid wsp:val=&quot;00E02C95&quot;/&gt;&lt;wsp:rsid wsp:val=&quot;00E035E5&quot;/&gt;&lt;wsp:rsid wsp:val=&quot;00E03A01&quot;/&gt;&lt;wsp:rsid wsp:val=&quot;00E03BA5&quot;/&gt;&lt;wsp:rsid wsp:val=&quot;00E04094&quot;/&gt;&lt;wsp:rsid wsp:val=&quot;00E04483&quot;/&gt;&lt;wsp:rsid wsp:val=&quot;00E04B41&quot;/&gt;&lt;wsp:rsid wsp:val=&quot;00E04F45&quot;/&gt;&lt;wsp:rsid wsp:val=&quot;00E05024&quot;/&gt;&lt;wsp:rsid wsp:val=&quot;00E051C1&quot;/&gt;&lt;wsp:rsid wsp:val=&quot;00E06764&quot;/&gt;&lt;wsp:rsid wsp:val=&quot;00E068EB&quot;/&gt;&lt;wsp:rsid wsp:val=&quot;00E06FF8&quot;/&gt;&lt;wsp:rsid wsp:val=&quot;00E07333&quot;/&gt;&lt;wsp:rsid wsp:val=&quot;00E07459&quot;/&gt;&lt;wsp:rsid wsp:val=&quot;00E07AD8&quot;/&gt;&lt;wsp:rsid wsp:val=&quot;00E07BC9&quot;/&gt;&lt;wsp:rsid wsp:val=&quot;00E102CD&quot;/&gt;&lt;wsp:rsid wsp:val=&quot;00E1120A&quot;/&gt;&lt;wsp:rsid wsp:val=&quot;00E12CD1&quot;/&gt;&lt;wsp:rsid wsp:val=&quot;00E139FA&quot;/&gt;&lt;wsp:rsid wsp:val=&quot;00E144D4&quot;/&gt;&lt;wsp:rsid wsp:val=&quot;00E144E5&quot;/&gt;&lt;wsp:rsid wsp:val=&quot;00E144F8&quot;/&gt;&lt;wsp:rsid wsp:val=&quot;00E145DE&quot;/&gt;&lt;wsp:rsid wsp:val=&quot;00E14AB3&quot;/&gt;&lt;wsp:rsid wsp:val=&quot;00E14BB6&quot;/&gt;&lt;wsp:rsid wsp:val=&quot;00E14BF2&quot;/&gt;&lt;wsp:rsid wsp:val=&quot;00E150EE&quot;/&gt;&lt;wsp:rsid wsp:val=&quot;00E154F0&quot;/&gt;&lt;wsp:rsid wsp:val=&quot;00E155BE&quot;/&gt;&lt;wsp:rsid wsp:val=&quot;00E15648&quot;/&gt;&lt;wsp:rsid wsp:val=&quot;00E15F54&quot;/&gt;&lt;wsp:rsid wsp:val=&quot;00E16246&quot;/&gt;&lt;wsp:rsid wsp:val=&quot;00E162DE&quot;/&gt;&lt;wsp:rsid wsp:val=&quot;00E16600&quot;/&gt;&lt;wsp:rsid wsp:val=&quot;00E16BB3&quot;/&gt;&lt;wsp:rsid wsp:val=&quot;00E16BFA&quot;/&gt;&lt;wsp:rsid wsp:val=&quot;00E17103&quot;/&gt;&lt;wsp:rsid wsp:val=&quot;00E178BF&quot;/&gt;&lt;wsp:rsid wsp:val=&quot;00E205C8&quot;/&gt;&lt;wsp:rsid wsp:val=&quot;00E20FDF&quot;/&gt;&lt;wsp:rsid wsp:val=&quot;00E21FC8&quot;/&gt;&lt;wsp:rsid wsp:val=&quot;00E2291A&quot;/&gt;&lt;wsp:rsid wsp:val=&quot;00E22A6E&quot;/&gt;&lt;wsp:rsid wsp:val=&quot;00E23019&quot;/&gt;&lt;wsp:rsid wsp:val=&quot;00E23A56&quot;/&gt;&lt;wsp:rsid wsp:val=&quot;00E23D75&quot;/&gt;&lt;wsp:rsid wsp:val=&quot;00E244ED&quot;/&gt;&lt;wsp:rsid wsp:val=&quot;00E2480D&quot;/&gt;&lt;wsp:rsid wsp:val=&quot;00E25150&quot;/&gt;&lt;wsp:rsid wsp:val=&quot;00E25568&quot;/&gt;&lt;wsp:rsid wsp:val=&quot;00E2616B&quot;/&gt;&lt;wsp:rsid wsp:val=&quot;00E2639F&quot;/&gt;&lt;wsp:rsid wsp:val=&quot;00E2699D&quot;/&gt;&lt;wsp:rsid wsp:val=&quot;00E26C71&quot;/&gt;&lt;wsp:rsid wsp:val=&quot;00E2714A&quot;/&gt;&lt;wsp:rsid wsp:val=&quot;00E2755D&quot;/&gt;&lt;wsp:rsid wsp:val=&quot;00E27E1E&quot;/&gt;&lt;wsp:rsid wsp:val=&quot;00E27FA5&quot;/&gt;&lt;wsp:rsid wsp:val=&quot;00E27FAD&quot;/&gt;&lt;wsp:rsid wsp:val=&quot;00E304F5&quot;/&gt;&lt;wsp:rsid wsp:val=&quot;00E32C58&quot;/&gt;&lt;wsp:rsid wsp:val=&quot;00E33155&quot;/&gt;&lt;wsp:rsid wsp:val=&quot;00E3443E&quot;/&gt;&lt;wsp:rsid wsp:val=&quot;00E348B1&quot;/&gt;&lt;wsp:rsid wsp:val=&quot;00E34CC8&quot;/&gt;&lt;wsp:rsid wsp:val=&quot;00E34CF9&quot;/&gt;&lt;wsp:rsid wsp:val=&quot;00E34D82&quot;/&gt;&lt;wsp:rsid wsp:val=&quot;00E35614&quot;/&gt;&lt;wsp:rsid wsp:val=&quot;00E357C4&quot;/&gt;&lt;wsp:rsid wsp:val=&quot;00E35C43&quot;/&gt;&lt;wsp:rsid wsp:val=&quot;00E36090&quot;/&gt;&lt;wsp:rsid wsp:val=&quot;00E373D8&quot;/&gt;&lt;wsp:rsid wsp:val=&quot;00E376A3&quot;/&gt;&lt;wsp:rsid wsp:val=&quot;00E37B95&quot;/&gt;&lt;wsp:rsid wsp:val=&quot;00E400E5&quot;/&gt;&lt;wsp:rsid wsp:val=&quot;00E40294&quot;/&gt;&lt;wsp:rsid wsp:val=&quot;00E40297&quot;/&gt;&lt;wsp:rsid wsp:val=&quot;00E40377&quot;/&gt;&lt;wsp:rsid wsp:val=&quot;00E40FFC&quot;/&gt;&lt;wsp:rsid wsp:val=&quot;00E41320&quot;/&gt;&lt;wsp:rsid wsp:val=&quot;00E41654&quot;/&gt;&lt;wsp:rsid wsp:val=&quot;00E4205C&quot;/&gt;&lt;wsp:rsid wsp:val=&quot;00E42392&quot;/&gt;&lt;wsp:rsid wsp:val=&quot;00E42DE3&quot;/&gt;&lt;wsp:rsid wsp:val=&quot;00E43B62&quot;/&gt;&lt;wsp:rsid wsp:val=&quot;00E43D09&quot;/&gt;&lt;wsp:rsid wsp:val=&quot;00E43D96&quot;/&gt;&lt;wsp:rsid wsp:val=&quot;00E44617&quot;/&gt;&lt;wsp:rsid wsp:val=&quot;00E44E23&quot;/&gt;&lt;wsp:rsid wsp:val=&quot;00E45BBA&quot;/&gt;&lt;wsp:rsid wsp:val=&quot;00E46416&quot;/&gt;&lt;wsp:rsid wsp:val=&quot;00E47BF3&quot;/&gt;&lt;wsp:rsid wsp:val=&quot;00E47F4F&quot;/&gt;&lt;wsp:rsid wsp:val=&quot;00E50D37&quot;/&gt;&lt;wsp:rsid wsp:val=&quot;00E51CE0&quot;/&gt;&lt;wsp:rsid wsp:val=&quot;00E51FB2&quot;/&gt;&lt;wsp:rsid wsp:val=&quot;00E528A6&quot;/&gt;&lt;wsp:rsid wsp:val=&quot;00E52953&quot;/&gt;&lt;wsp:rsid wsp:val=&quot;00E5345F&quot;/&gt;&lt;wsp:rsid wsp:val=&quot;00E53AB9&quot;/&gt;&lt;wsp:rsid wsp:val=&quot;00E53E67&quot;/&gt;&lt;wsp:rsid wsp:val=&quot;00E548FD&quot;/&gt;&lt;wsp:rsid wsp:val=&quot;00E55EBD&quot;/&gt;&lt;wsp:rsid wsp:val=&quot;00E560FD&quot;/&gt;&lt;wsp:rsid wsp:val=&quot;00E5671B&quot;/&gt;&lt;wsp:rsid wsp:val=&quot;00E56CEE&quot;/&gt;&lt;wsp:rsid wsp:val=&quot;00E56DCE&quot;/&gt;&lt;wsp:rsid wsp:val=&quot;00E57462&quot;/&gt;&lt;wsp:rsid wsp:val=&quot;00E60272&quot;/&gt;&lt;wsp:rsid wsp:val=&quot;00E60E29&quot;/&gt;&lt;wsp:rsid wsp:val=&quot;00E61433&quot;/&gt;&lt;wsp:rsid wsp:val=&quot;00E61BAE&quot;/&gt;&lt;wsp:rsid wsp:val=&quot;00E61CD9&quot;/&gt;&lt;wsp:rsid wsp:val=&quot;00E61E09&quot;/&gt;&lt;wsp:rsid wsp:val=&quot;00E62C5B&quot;/&gt;&lt;wsp:rsid wsp:val=&quot;00E63874&quot;/&gt;&lt;wsp:rsid wsp:val=&quot;00E63F0C&quot;/&gt;&lt;wsp:rsid wsp:val=&quot;00E65AF3&quot;/&gt;&lt;wsp:rsid wsp:val=&quot;00E65C3D&quot;/&gt;&lt;wsp:rsid wsp:val=&quot;00E66B7D&quot;/&gt;&lt;wsp:rsid wsp:val=&quot;00E7087C&quot;/&gt;&lt;wsp:rsid wsp:val=&quot;00E70981&quot;/&gt;&lt;wsp:rsid wsp:val=&quot;00E70DD0&quot;/&gt;&lt;wsp:rsid wsp:val=&quot;00E71019&quot;/&gt;&lt;wsp:rsid wsp:val=&quot;00E71D49&quot;/&gt;&lt;wsp:rsid wsp:val=&quot;00E739F3&quot;/&gt;&lt;wsp:rsid wsp:val=&quot;00E73C9E&quot;/&gt;&lt;wsp:rsid wsp:val=&quot;00E73CF2&quot;/&gt;&lt;wsp:rsid wsp:val=&quot;00E7427D&quot;/&gt;&lt;wsp:rsid wsp:val=&quot;00E7447C&quot;/&gt;&lt;wsp:rsid wsp:val=&quot;00E74772&quot;/&gt;&lt;wsp:rsid wsp:val=&quot;00E74D7C&quot;/&gt;&lt;wsp:rsid wsp:val=&quot;00E75C4F&quot;/&gt;&lt;wsp:rsid wsp:val=&quot;00E76133&quot;/&gt;&lt;wsp:rsid wsp:val=&quot;00E76F1A&quot;/&gt;&lt;wsp:rsid wsp:val=&quot;00E7783C&quot;/&gt;&lt;wsp:rsid wsp:val=&quot;00E80251&quot;/&gt;&lt;wsp:rsid wsp:val=&quot;00E80667&quot;/&gt;&lt;wsp:rsid wsp:val=&quot;00E80BBC&quot;/&gt;&lt;wsp:rsid wsp:val=&quot;00E80C0B&quot;/&gt;&lt;wsp:rsid wsp:val=&quot;00E80ED7&quot;/&gt;&lt;wsp:rsid wsp:val=&quot;00E80FFD&quot;/&gt;&lt;wsp:rsid wsp:val=&quot;00E81226&quot;/&gt;&lt;wsp:rsid wsp:val=&quot;00E812CC&quot;/&gt;&lt;wsp:rsid wsp:val=&quot;00E8171C&quot;/&gt;&lt;wsp:rsid wsp:val=&quot;00E81909&quot;/&gt;&lt;wsp:rsid wsp:val=&quot;00E819DD&quot;/&gt;&lt;wsp:rsid wsp:val=&quot;00E824E0&quot;/&gt;&lt;wsp:rsid wsp:val=&quot;00E8297D&quot;/&gt;&lt;wsp:rsid wsp:val=&quot;00E82C36&quot;/&gt;&lt;wsp:rsid wsp:val=&quot;00E8332B&quot;/&gt;&lt;wsp:rsid wsp:val=&quot;00E83562&quot;/&gt;&lt;wsp:rsid wsp:val=&quot;00E83BD9&quot;/&gt;&lt;wsp:rsid wsp:val=&quot;00E83CA6&quot;/&gt;&lt;wsp:rsid wsp:val=&quot;00E8439B&quot;/&gt;&lt;wsp:rsid wsp:val=&quot;00E84587&quot;/&gt;&lt;wsp:rsid wsp:val=&quot;00E84BBE&quot;/&gt;&lt;wsp:rsid wsp:val=&quot;00E85438&quot;/&gt;&lt;wsp:rsid wsp:val=&quot;00E85538&quot;/&gt;&lt;wsp:rsid wsp:val=&quot;00E855C9&quot;/&gt;&lt;wsp:rsid wsp:val=&quot;00E85D1A&quot;/&gt;&lt;wsp:rsid wsp:val=&quot;00E8642E&quot;/&gt;&lt;wsp:rsid wsp:val=&quot;00E8683F&quot;/&gt;&lt;wsp:rsid wsp:val=&quot;00E86AE9&quot;/&gt;&lt;wsp:rsid wsp:val=&quot;00E86B03&quot;/&gt;&lt;wsp:rsid wsp:val=&quot;00E91189&quot;/&gt;&lt;wsp:rsid wsp:val=&quot;00E91322&quot;/&gt;&lt;wsp:rsid wsp:val=&quot;00E91759&quot;/&gt;&lt;wsp:rsid wsp:val=&quot;00E91EDF&quot;/&gt;&lt;wsp:rsid wsp:val=&quot;00E931C8&quot;/&gt;&lt;wsp:rsid wsp:val=&quot;00E9357E&quot;/&gt;&lt;wsp:rsid wsp:val=&quot;00E93C2C&quot;/&gt;&lt;wsp:rsid wsp:val=&quot;00E93D6B&quot;/&gt;&lt;wsp:rsid wsp:val=&quot;00E94622&quot;/&gt;&lt;wsp:rsid wsp:val=&quot;00E9482D&quot;/&gt;&lt;wsp:rsid wsp:val=&quot;00E960BF&quot;/&gt;&lt;wsp:rsid wsp:val=&quot;00E96911&quot;/&gt;&lt;wsp:rsid wsp:val=&quot;00E96C9C&quot;/&gt;&lt;wsp:rsid wsp:val=&quot;00E96CC3&quot;/&gt;&lt;wsp:rsid wsp:val=&quot;00E96EEE&quot;/&gt;&lt;wsp:rsid wsp:val=&quot;00E970CE&quot;/&gt;&lt;wsp:rsid wsp:val=&quot;00E97A2E&quot;/&gt;&lt;wsp:rsid wsp:val=&quot;00E97ED6&quot;/&gt;&lt;wsp:rsid wsp:val=&quot;00EA0515&quot;/&gt;&lt;wsp:rsid wsp:val=&quot;00EA05AE&quot;/&gt;&lt;wsp:rsid wsp:val=&quot;00EA1B87&quot;/&gt;&lt;wsp:rsid wsp:val=&quot;00EA1C46&quot;/&gt;&lt;wsp:rsid wsp:val=&quot;00EA2066&quot;/&gt;&lt;wsp:rsid wsp:val=&quot;00EA263D&quot;/&gt;&lt;wsp:rsid wsp:val=&quot;00EA2E54&quot;/&gt;&lt;wsp:rsid wsp:val=&quot;00EA2F48&quot;/&gt;&lt;wsp:rsid wsp:val=&quot;00EA38D5&quot;/&gt;&lt;wsp:rsid wsp:val=&quot;00EA3922&quot;/&gt;&lt;wsp:rsid wsp:val=&quot;00EA3A3F&quot;/&gt;&lt;wsp:rsid wsp:val=&quot;00EA3B2D&quot;/&gt;&lt;wsp:rsid wsp:val=&quot;00EA3C45&quot;/&gt;&lt;wsp:rsid wsp:val=&quot;00EA40C1&quot;/&gt;&lt;wsp:rsid wsp:val=&quot;00EA4D33&quot;/&gt;&lt;wsp:rsid wsp:val=&quot;00EA4E58&quot;/&gt;&lt;wsp:rsid wsp:val=&quot;00EA4F2B&quot;/&gt;&lt;wsp:rsid wsp:val=&quot;00EA513B&quot;/&gt;&lt;wsp:rsid wsp:val=&quot;00EA5188&quot;/&gt;&lt;wsp:rsid wsp:val=&quot;00EA6580&quot;/&gt;&lt;wsp:rsid wsp:val=&quot;00EA66AE&quot;/&gt;&lt;wsp:rsid wsp:val=&quot;00EA6A5A&quot;/&gt;&lt;wsp:rsid wsp:val=&quot;00EA7019&quot;/&gt;&lt;wsp:rsid wsp:val=&quot;00EA735D&quot;/&gt;&lt;wsp:rsid wsp:val=&quot;00EA73B2&quot;/&gt;&lt;wsp:rsid wsp:val=&quot;00EB01B7&quot;/&gt;&lt;wsp:rsid wsp:val=&quot;00EB0A91&quot;/&gt;&lt;wsp:rsid wsp:val=&quot;00EB148C&quot;/&gt;&lt;wsp:rsid wsp:val=&quot;00EB1AC2&quot;/&gt;&lt;wsp:rsid wsp:val=&quot;00EB2925&quot;/&gt;&lt;wsp:rsid wsp:val=&quot;00EB32AA&quot;/&gt;&lt;wsp:rsid wsp:val=&quot;00EB384D&quot;/&gt;&lt;wsp:rsid wsp:val=&quot;00EB4C09&quot;/&gt;&lt;wsp:rsid wsp:val=&quot;00EB4FDD&quot;/&gt;&lt;wsp:rsid wsp:val=&quot;00EB54BA&quot;/&gt;&lt;wsp:rsid wsp:val=&quot;00EB5CC0&quot;/&gt;&lt;wsp:rsid wsp:val=&quot;00EB6127&quot;/&gt;&lt;wsp:rsid wsp:val=&quot;00EB6184&quot;/&gt;&lt;wsp:rsid wsp:val=&quot;00EB64C2&quot;/&gt;&lt;wsp:rsid wsp:val=&quot;00EB6C51&quot;/&gt;&lt;wsp:rsid wsp:val=&quot;00EB6D7B&quot;/&gt;&lt;wsp:rsid wsp:val=&quot;00EB741C&quot;/&gt;&lt;wsp:rsid wsp:val=&quot;00EB7919&quot;/&gt;&lt;wsp:rsid wsp:val=&quot;00EB7935&quot;/&gt;&lt;wsp:rsid wsp:val=&quot;00EB7CBF&quot;/&gt;&lt;wsp:rsid wsp:val=&quot;00EC0D8B&quot;/&gt;&lt;wsp:rsid wsp:val=&quot;00EC165B&quot;/&gt;&lt;wsp:rsid wsp:val=&quot;00EC17F1&quot;/&gt;&lt;wsp:rsid wsp:val=&quot;00EC1DF3&quot;/&gt;&lt;wsp:rsid wsp:val=&quot;00EC26B0&quot;/&gt;&lt;wsp:rsid wsp:val=&quot;00EC2ABF&quot;/&gt;&lt;wsp:rsid wsp:val=&quot;00EC2F8F&quot;/&gt;&lt;wsp:rsid wsp:val=&quot;00EC308D&quot;/&gt;&lt;wsp:rsid wsp:val=&quot;00EC322C&quot;/&gt;&lt;wsp:rsid wsp:val=&quot;00EC36E9&quot;/&gt;&lt;wsp:rsid wsp:val=&quot;00EC3843&quot;/&gt;&lt;wsp:rsid wsp:val=&quot;00EC640D&quot;/&gt;&lt;wsp:rsid wsp:val=&quot;00EC7385&quot;/&gt;&lt;wsp:rsid wsp:val=&quot;00EC7832&quot;/&gt;&lt;wsp:rsid wsp:val=&quot;00EC79DE&quot;/&gt;&lt;wsp:rsid wsp:val=&quot;00ED06B2&quot;/&gt;&lt;wsp:rsid wsp:val=&quot;00ED076D&quot;/&gt;&lt;wsp:rsid wsp:val=&quot;00ED079C&quot;/&gt;&lt;wsp:rsid wsp:val=&quot;00ED0A69&quot;/&gt;&lt;wsp:rsid wsp:val=&quot;00ED0DAF&quot;/&gt;&lt;wsp:rsid wsp:val=&quot;00ED315E&quot;/&gt;&lt;wsp:rsid wsp:val=&quot;00ED3B25&quot;/&gt;&lt;wsp:rsid wsp:val=&quot;00ED40C2&quot;/&gt;&lt;wsp:rsid wsp:val=&quot;00ED439D&quot;/&gt;&lt;wsp:rsid wsp:val=&quot;00ED473B&quot;/&gt;&lt;wsp:rsid wsp:val=&quot;00ED491D&quot;/&gt;&lt;wsp:rsid wsp:val=&quot;00ED5355&quot;/&gt;&lt;wsp:rsid wsp:val=&quot;00ED57EA&quot;/&gt;&lt;wsp:rsid wsp:val=&quot;00ED5DBA&quot;/&gt;&lt;wsp:rsid wsp:val=&quot;00ED601B&quot;/&gt;&lt;wsp:rsid wsp:val=&quot;00ED63AC&quot;/&gt;&lt;wsp:rsid wsp:val=&quot;00ED6415&quot;/&gt;&lt;wsp:rsid wsp:val=&quot;00ED69D2&quot;/&gt;&lt;wsp:rsid wsp:val=&quot;00ED6C1F&quot;/&gt;&lt;wsp:rsid wsp:val=&quot;00ED6DCE&quot;/&gt;&lt;wsp:rsid wsp:val=&quot;00ED76A3&quot;/&gt;&lt;wsp:rsid wsp:val=&quot;00EE08A8&quot;/&gt;&lt;wsp:rsid wsp:val=&quot;00EE1334&quot;/&gt;&lt;wsp:rsid wsp:val=&quot;00EE18EC&quot;/&gt;&lt;wsp:rsid wsp:val=&quot;00EE19F5&quot;/&gt;&lt;wsp:rsid wsp:val=&quot;00EE236C&quot;/&gt;&lt;wsp:rsid wsp:val=&quot;00EE2697&quot;/&gt;&lt;wsp:rsid wsp:val=&quot;00EE2AF3&quot;/&gt;&lt;wsp:rsid wsp:val=&quot;00EE34E7&quot;/&gt;&lt;wsp:rsid wsp:val=&quot;00EE34EA&quot;/&gt;&lt;wsp:rsid wsp:val=&quot;00EE3838&quot;/&gt;&lt;wsp:rsid wsp:val=&quot;00EE3D4B&quot;/&gt;&lt;wsp:rsid wsp:val=&quot;00EE3F29&quot;/&gt;&lt;wsp:rsid wsp:val=&quot;00EE46B0&quot;/&gt;&lt;wsp:rsid wsp:val=&quot;00EE4B61&quot;/&gt;&lt;wsp:rsid wsp:val=&quot;00EE5002&quot;/&gt;&lt;wsp:rsid wsp:val=&quot;00EE512B&quot;/&gt;&lt;wsp:rsid wsp:val=&quot;00EE5193&quot;/&gt;&lt;wsp:rsid wsp:val=&quot;00EE51FE&quot;/&gt;&lt;wsp:rsid wsp:val=&quot;00EE5459&quot;/&gt;&lt;wsp:rsid wsp:val=&quot;00EE61C1&quot;/&gt;&lt;wsp:rsid wsp:val=&quot;00EE6965&quot;/&gt;&lt;wsp:rsid wsp:val=&quot;00EE75CD&quot;/&gt;&lt;wsp:rsid wsp:val=&quot;00EE7D2C&quot;/&gt;&lt;wsp:rsid wsp:val=&quot;00EE7DBF&quot;/&gt;&lt;wsp:rsid wsp:val=&quot;00EE7EC7&quot;/&gt;&lt;wsp:rsid wsp:val=&quot;00EF017B&quot;/&gt;&lt;wsp:rsid wsp:val=&quot;00EF1400&quot;/&gt;&lt;wsp:rsid wsp:val=&quot;00EF1472&quot;/&gt;&lt;wsp:rsid wsp:val=&quot;00EF1FFB&quot;/&gt;&lt;wsp:rsid wsp:val=&quot;00EF2068&quot;/&gt;&lt;wsp:rsid wsp:val=&quot;00EF2490&quot;/&gt;&lt;wsp:rsid wsp:val=&quot;00EF2DE4&quot;/&gt;&lt;wsp:rsid wsp:val=&quot;00EF38BD&quot;/&gt;&lt;wsp:rsid wsp:val=&quot;00EF3D23&quot;/&gt;&lt;wsp:rsid wsp:val=&quot;00EF45FF&quot;/&gt;&lt;wsp:rsid wsp:val=&quot;00EF48A2&quot;/&gt;&lt;wsp:rsid wsp:val=&quot;00EF504C&quot;/&gt;&lt;wsp:rsid wsp:val=&quot;00EF5FB9&quot;/&gt;&lt;wsp:rsid wsp:val=&quot;00EF6B35&quot;/&gt;&lt;wsp:rsid wsp:val=&quot;00EF6F7E&quot;/&gt;&lt;wsp:rsid wsp:val=&quot;00EF747B&quot;/&gt;&lt;wsp:rsid wsp:val=&quot;00EF7749&quot;/&gt;&lt;wsp:rsid wsp:val=&quot;00EF7896&quot;/&gt;&lt;wsp:rsid wsp:val=&quot;00F00CB1&quot;/&gt;&lt;wsp:rsid wsp:val=&quot;00F01290&quot;/&gt;&lt;wsp:rsid wsp:val=&quot;00F01492&quot;/&gt;&lt;wsp:rsid wsp:val=&quot;00F01A85&quot;/&gt;&lt;wsp:rsid wsp:val=&quot;00F01B1F&quot;/&gt;&lt;wsp:rsid wsp:val=&quot;00F01D19&quot;/&gt;&lt;wsp:rsid wsp:val=&quot;00F01DA8&quot;/&gt;&lt;wsp:rsid wsp:val=&quot;00F01EB4&quot;/&gt;&lt;wsp:rsid wsp:val=&quot;00F02024&quot;/&gt;&lt;wsp:rsid wsp:val=&quot;00F0227B&quot;/&gt;&lt;wsp:rsid wsp:val=&quot;00F02C30&quot;/&gt;&lt;wsp:rsid wsp:val=&quot;00F02FC2&quot;/&gt;&lt;wsp:rsid wsp:val=&quot;00F032E8&quot;/&gt;&lt;wsp:rsid wsp:val=&quot;00F03551&quot;/&gt;&lt;wsp:rsid wsp:val=&quot;00F04CC3&quot;/&gt;&lt;wsp:rsid wsp:val=&quot;00F077E0&quot;/&gt;&lt;wsp:rsid wsp:val=&quot;00F1016D&quot;/&gt;&lt;wsp:rsid wsp:val=&quot;00F10CCE&quot;/&gt;&lt;wsp:rsid wsp:val=&quot;00F10E45&quot;/&gt;&lt;wsp:rsid wsp:val=&quot;00F11332&quot;/&gt;&lt;wsp:rsid wsp:val=&quot;00F1148C&quot;/&gt;&lt;wsp:rsid wsp:val=&quot;00F11898&quot;/&gt;&lt;wsp:rsid wsp:val=&quot;00F11917&quot;/&gt;&lt;wsp:rsid wsp:val=&quot;00F11B4D&quot;/&gt;&lt;wsp:rsid wsp:val=&quot;00F11C49&quot;/&gt;&lt;wsp:rsid wsp:val=&quot;00F11CE1&quot;/&gt;&lt;wsp:rsid wsp:val=&quot;00F11DFF&quot;/&gt;&lt;wsp:rsid wsp:val=&quot;00F124B6&quot;/&gt;&lt;wsp:rsid wsp:val=&quot;00F133EB&quot;/&gt;&lt;wsp:rsid wsp:val=&quot;00F145F2&quot;/&gt;&lt;wsp:rsid wsp:val=&quot;00F148B0&quot;/&gt;&lt;wsp:rsid wsp:val=&quot;00F15A75&quot;/&gt;&lt;wsp:rsid wsp:val=&quot;00F161D3&quot;/&gt;&lt;wsp:rsid wsp:val=&quot;00F1631D&quot;/&gt;&lt;wsp:rsid wsp:val=&quot;00F16B61&quot;/&gt;&lt;wsp:rsid wsp:val=&quot;00F17553&quot;/&gt;&lt;wsp:rsid wsp:val=&quot;00F17F0F&quot;/&gt;&lt;wsp:rsid wsp:val=&quot;00F201DB&quot;/&gt;&lt;wsp:rsid wsp:val=&quot;00F20328&quot;/&gt;&lt;wsp:rsid wsp:val=&quot;00F2068E&quot;/&gt;&lt;wsp:rsid wsp:val=&quot;00F221F0&quot;/&gt;&lt;wsp:rsid wsp:val=&quot;00F22B29&quot;/&gt;&lt;wsp:rsid wsp:val=&quot;00F22D1C&quot;/&gt;&lt;wsp:rsid wsp:val=&quot;00F233C8&quot;/&gt;&lt;wsp:rsid wsp:val=&quot;00F24237&quot;/&gt;&lt;wsp:rsid wsp:val=&quot;00F24335&quot;/&gt;&lt;wsp:rsid wsp:val=&quot;00F24A01&quot;/&gt;&lt;wsp:rsid wsp:val=&quot;00F24D9E&quot;/&gt;&lt;wsp:rsid wsp:val=&quot;00F2503B&quot;/&gt;&lt;wsp:rsid wsp:val=&quot;00F25099&quot;/&gt;&lt;wsp:rsid wsp:val=&quot;00F258F3&quot;/&gt;&lt;wsp:rsid wsp:val=&quot;00F27219&quot;/&gt;&lt;wsp:rsid wsp:val=&quot;00F272A5&quot;/&gt;&lt;wsp:rsid wsp:val=&quot;00F27CEE&quot;/&gt;&lt;wsp:rsid wsp:val=&quot;00F31403&quot;/&gt;&lt;wsp:rsid wsp:val=&quot;00F319B3&quot;/&gt;&lt;wsp:rsid wsp:val=&quot;00F31DFF&quot;/&gt;&lt;wsp:rsid wsp:val=&quot;00F3240F&quot;/&gt;&lt;wsp:rsid wsp:val=&quot;00F3249C&quot;/&gt;&lt;wsp:rsid wsp:val=&quot;00F326D0&quot;/&gt;&lt;wsp:rsid wsp:val=&quot;00F330A3&quot;/&gt;&lt;wsp:rsid wsp:val=&quot;00F33707&quot;/&gt;&lt;wsp:rsid wsp:val=&quot;00F33C10&quot;/&gt;&lt;wsp:rsid wsp:val=&quot;00F33D50&quot;/&gt;&lt;wsp:rsid wsp:val=&quot;00F3423B&quot;/&gt;&lt;wsp:rsid wsp:val=&quot;00F34380&quot;/&gt;&lt;wsp:rsid wsp:val=&quot;00F35574&quot;/&gt;&lt;wsp:rsid wsp:val=&quot;00F35799&quot;/&gt;&lt;wsp:rsid wsp:val=&quot;00F35CB7&quot;/&gt;&lt;wsp:rsid wsp:val=&quot;00F360CA&quot;/&gt;&lt;wsp:rsid wsp:val=&quot;00F36F2F&quot;/&gt;&lt;wsp:rsid wsp:val=&quot;00F3768F&quot;/&gt;&lt;wsp:rsid wsp:val=&quot;00F40182&quot;/&gt;&lt;wsp:rsid wsp:val=&quot;00F409B7&quot;/&gt;&lt;wsp:rsid wsp:val=&quot;00F40DBF&quot;/&gt;&lt;wsp:rsid wsp:val=&quot;00F416DA&quot;/&gt;&lt;wsp:rsid wsp:val=&quot;00F4201E&quot;/&gt;&lt;wsp:rsid wsp:val=&quot;00F42CEE&quot;/&gt;&lt;wsp:rsid wsp:val=&quot;00F4320C&quot;/&gt;&lt;wsp:rsid wsp:val=&quot;00F43B06&quot;/&gt;&lt;wsp:rsid wsp:val=&quot;00F444A3&quot;/&gt;&lt;wsp:rsid wsp:val=&quot;00F44719&quot;/&gt;&lt;wsp:rsid wsp:val=&quot;00F44AEE&quot;/&gt;&lt;wsp:rsid wsp:val=&quot;00F44F2B&quot;/&gt;&lt;wsp:rsid wsp:val=&quot;00F45501&quot;/&gt;&lt;wsp:rsid wsp:val=&quot;00F465C2&quot;/&gt;&lt;wsp:rsid wsp:val=&quot;00F46AB6&quot;/&gt;&lt;wsp:rsid wsp:val=&quot;00F46DA2&quot;/&gt;&lt;wsp:rsid wsp:val=&quot;00F4709E&quot;/&gt;&lt;wsp:rsid wsp:val=&quot;00F47A22&quot;/&gt;&lt;wsp:rsid wsp:val=&quot;00F51125&quot;/&gt;&lt;wsp:rsid wsp:val=&quot;00F5170C&quot;/&gt;&lt;wsp:rsid wsp:val=&quot;00F51746&quot;/&gt;&lt;wsp:rsid wsp:val=&quot;00F51B6F&quot;/&gt;&lt;wsp:rsid wsp:val=&quot;00F526AD&quot;/&gt;&lt;wsp:rsid wsp:val=&quot;00F52CC4&quot;/&gt;&lt;wsp:rsid wsp:val=&quot;00F53034&quot;/&gt;&lt;wsp:rsid wsp:val=&quot;00F53118&quot;/&gt;&lt;wsp:rsid wsp:val=&quot;00F53D8A&quot;/&gt;&lt;wsp:rsid wsp:val=&quot;00F546BA&quot;/&gt;&lt;wsp:rsid wsp:val=&quot;00F5472D&quot;/&gt;&lt;wsp:rsid wsp:val=&quot;00F54B16&quot;/&gt;&lt;wsp:rsid wsp:val=&quot;00F54EE3&quot;/&gt;&lt;wsp:rsid wsp:val=&quot;00F5556B&quot;/&gt;&lt;wsp:rsid wsp:val=&quot;00F57579&quot;/&gt;&lt;wsp:rsid wsp:val=&quot;00F60DCA&quot;/&gt;&lt;wsp:rsid wsp:val=&quot;00F612D1&quot;/&gt;&lt;wsp:rsid wsp:val=&quot;00F614F1&quot;/&gt;&lt;wsp:rsid wsp:val=&quot;00F616E0&quot;/&gt;&lt;wsp:rsid wsp:val=&quot;00F61A0E&quot;/&gt;&lt;wsp:rsid wsp:val=&quot;00F61D51&quot;/&gt;&lt;wsp:rsid wsp:val=&quot;00F6205D&quot;/&gt;&lt;wsp:rsid wsp:val=&quot;00F62EE7&quot;/&gt;&lt;wsp:rsid wsp:val=&quot;00F63AE5&quot;/&gt;&lt;wsp:rsid wsp:val=&quot;00F642A4&quot;/&gt;&lt;wsp:rsid wsp:val=&quot;00F64729&quot;/&gt;&lt;wsp:rsid wsp:val=&quot;00F64A05&quot;/&gt;&lt;wsp:rsid wsp:val=&quot;00F654FC&quot;/&gt;&lt;wsp:rsid wsp:val=&quot;00F65764&quot;/&gt;&lt;wsp:rsid wsp:val=&quot;00F65965&quot;/&gt;&lt;wsp:rsid wsp:val=&quot;00F6625E&quot;/&gt;&lt;wsp:rsid wsp:val=&quot;00F67A4C&quot;/&gt;&lt;wsp:rsid wsp:val=&quot;00F67D89&quot;/&gt;&lt;wsp:rsid wsp:val=&quot;00F70247&quot;/&gt;&lt;wsp:rsid wsp:val=&quot;00F71CCC&quot;/&gt;&lt;wsp:rsid wsp:val=&quot;00F71FFA&quot;/&gt;&lt;wsp:rsid wsp:val=&quot;00F724EC&quot;/&gt;&lt;wsp:rsid wsp:val=&quot;00F72819&quot;/&gt;&lt;wsp:rsid wsp:val=&quot;00F72995&quot;/&gt;&lt;wsp:rsid wsp:val=&quot;00F72C6D&quot;/&gt;&lt;wsp:rsid wsp:val=&quot;00F742FD&quot;/&gt;&lt;wsp:rsid wsp:val=&quot;00F74FCD&quot;/&gt;&lt;wsp:rsid wsp:val=&quot;00F75CA7&quot;/&gt;&lt;wsp:rsid wsp:val=&quot;00F7619E&quot;/&gt;&lt;wsp:rsid wsp:val=&quot;00F77362&quot;/&gt;&lt;wsp:rsid wsp:val=&quot;00F775B3&quot;/&gt;&lt;wsp:rsid wsp:val=&quot;00F77E65&quot;/&gt;&lt;wsp:rsid wsp:val=&quot;00F807FA&quot;/&gt;&lt;wsp:rsid wsp:val=&quot;00F8098F&quot;/&gt;&lt;wsp:rsid wsp:val=&quot;00F81322&quot;/&gt;&lt;wsp:rsid wsp:val=&quot;00F81846&quot;/&gt;&lt;wsp:rsid wsp:val=&quot;00F818DC&quot;/&gt;&lt;wsp:rsid wsp:val=&quot;00F824B1&quot;/&gt;&lt;wsp:rsid wsp:val=&quot;00F82B99&quot;/&gt;&lt;wsp:rsid wsp:val=&quot;00F82E6A&quot;/&gt;&lt;wsp:rsid wsp:val=&quot;00F82FDC&quot;/&gt;&lt;wsp:rsid wsp:val=&quot;00F84227&quot;/&gt;&lt;wsp:rsid wsp:val=&quot;00F845FC&quot;/&gt;&lt;wsp:rsid wsp:val=&quot;00F84961&quot;/&gt;&lt;wsp:rsid wsp:val=&quot;00F84C26&quot;/&gt;&lt;wsp:rsid wsp:val=&quot;00F84E75&quot;/&gt;&lt;wsp:rsid wsp:val=&quot;00F85819&quot;/&gt;&lt;wsp:rsid wsp:val=&quot;00F85A81&quot;/&gt;&lt;wsp:rsid wsp:val=&quot;00F85DA2&quot;/&gt;&lt;wsp:rsid wsp:val=&quot;00F85EEB&quot;/&gt;&lt;wsp:rsid wsp:val=&quot;00F86495&quot;/&gt;&lt;wsp:rsid wsp:val=&quot;00F86D7D&quot;/&gt;&lt;wsp:rsid wsp:val=&quot;00F8756B&quot;/&gt;&lt;wsp:rsid wsp:val=&quot;00F87BE9&quot;/&gt;&lt;wsp:rsid wsp:val=&quot;00F90480&quot;/&gt;&lt;wsp:rsid wsp:val=&quot;00F912AC&quot;/&gt;&lt;wsp:rsid wsp:val=&quot;00F9204F&quot;/&gt;&lt;wsp:rsid wsp:val=&quot;00F92DA4&quot;/&gt;&lt;wsp:rsid wsp:val=&quot;00F92DE1&quot;/&gt;&lt;wsp:rsid wsp:val=&quot;00F941B3&quot;/&gt;&lt;wsp:rsid wsp:val=&quot;00F94741&quot;/&gt;&lt;wsp:rsid wsp:val=&quot;00F94D0C&quot;/&gt;&lt;wsp:rsid wsp:val=&quot;00F9518B&quot;/&gt;&lt;wsp:rsid wsp:val=&quot;00F951C7&quot;/&gt;&lt;wsp:rsid wsp:val=&quot;00F9568C&quot;/&gt;&lt;wsp:rsid wsp:val=&quot;00F96405&quot;/&gt;&lt;wsp:rsid wsp:val=&quot;00F96BC3&quot;/&gt;&lt;wsp:rsid wsp:val=&quot;00F96C70&quot;/&gt;&lt;wsp:rsid wsp:val=&quot;00F974AB&quot;/&gt;&lt;wsp:rsid wsp:val=&quot;00FA003B&quot;/&gt;&lt;wsp:rsid wsp:val=&quot;00FA06F8&quot;/&gt;&lt;wsp:rsid wsp:val=&quot;00FA0754&quot;/&gt;&lt;wsp:rsid wsp:val=&quot;00FA0C81&quot;/&gt;&lt;wsp:rsid wsp:val=&quot;00FA1285&quot;/&gt;&lt;wsp:rsid wsp:val=&quot;00FA1593&quot;/&gt;&lt;wsp:rsid wsp:val=&quot;00FA15F9&quot;/&gt;&lt;wsp:rsid wsp:val=&quot;00FA1C20&quot;/&gt;&lt;wsp:rsid wsp:val=&quot;00FA2566&quot;/&gt;&lt;wsp:rsid wsp:val=&quot;00FA25FF&quot;/&gt;&lt;wsp:rsid wsp:val=&quot;00FA2856&quot;/&gt;&lt;wsp:rsid wsp:val=&quot;00FA3837&quot;/&gt;&lt;wsp:rsid wsp:val=&quot;00FA3E26&quot;/&gt;&lt;wsp:rsid wsp:val=&quot;00FA52F7&quot;/&gt;&lt;wsp:rsid wsp:val=&quot;00FA5466&quot;/&gt;&lt;wsp:rsid wsp:val=&quot;00FA63E0&quot;/&gt;&lt;wsp:rsid wsp:val=&quot;00FA68BA&quot;/&gt;&lt;wsp:rsid wsp:val=&quot;00FA69CD&quot;/&gt;&lt;wsp:rsid wsp:val=&quot;00FA6EA3&quot;/&gt;&lt;wsp:rsid wsp:val=&quot;00FA76D0&quot;/&gt;&lt;wsp:rsid wsp:val=&quot;00FA7730&quot;/&gt;&lt;wsp:rsid wsp:val=&quot;00FB01F5&quot;/&gt;&lt;wsp:rsid wsp:val=&quot;00FB0D28&quot;/&gt;&lt;wsp:rsid wsp:val=&quot;00FB140C&quot;/&gt;&lt;wsp:rsid wsp:val=&quot;00FB1712&quot;/&gt;&lt;wsp:rsid wsp:val=&quot;00FB213F&quot;/&gt;&lt;wsp:rsid wsp:val=&quot;00FB2257&quot;/&gt;&lt;wsp:rsid wsp:val=&quot;00FB311D&quot;/&gt;&lt;wsp:rsid wsp:val=&quot;00FB3A53&quot;/&gt;&lt;wsp:rsid wsp:val=&quot;00FB3B06&quot;/&gt;&lt;wsp:rsid wsp:val=&quot;00FB3E65&quot;/&gt;&lt;wsp:rsid wsp:val=&quot;00FB41CB&quot;/&gt;&lt;wsp:rsid wsp:val=&quot;00FB43E1&quot;/&gt;&lt;wsp:rsid wsp:val=&quot;00FB484F&quot;/&gt;&lt;wsp:rsid wsp:val=&quot;00FB4BBF&quot;/&gt;&lt;wsp:rsid wsp:val=&quot;00FB5BD1&quot;/&gt;&lt;wsp:rsid wsp:val=&quot;00FB5CD3&quot;/&gt;&lt;wsp:rsid wsp:val=&quot;00FB5CEE&quot;/&gt;&lt;wsp:rsid wsp:val=&quot;00FB6181&quot;/&gt;&lt;wsp:rsid wsp:val=&quot;00FB6276&quot;/&gt;&lt;wsp:rsid wsp:val=&quot;00FB663F&quot;/&gt;&lt;wsp:rsid wsp:val=&quot;00FB6A1C&quot;/&gt;&lt;wsp:rsid wsp:val=&quot;00FB731A&quot;/&gt;&lt;wsp:rsid wsp:val=&quot;00FC0D69&quot;/&gt;&lt;wsp:rsid wsp:val=&quot;00FC0FDC&quot;/&gt;&lt;wsp:rsid wsp:val=&quot;00FC11D0&quot;/&gt;&lt;wsp:rsid wsp:val=&quot;00FC123B&quot;/&gt;&lt;wsp:rsid wsp:val=&quot;00FC1830&quot;/&gt;&lt;wsp:rsid wsp:val=&quot;00FC19BE&quot;/&gt;&lt;wsp:rsid wsp:val=&quot;00FC1BCE&quot;/&gt;&lt;wsp:rsid wsp:val=&quot;00FC279A&quot;/&gt;&lt;wsp:rsid wsp:val=&quot;00FC370B&quot;/&gt;&lt;wsp:rsid wsp:val=&quot;00FC3A71&quot;/&gt;&lt;wsp:rsid wsp:val=&quot;00FC3E9E&quot;/&gt;&lt;wsp:rsid wsp:val=&quot;00FC40AB&quot;/&gt;&lt;wsp:rsid wsp:val=&quot;00FC43B3&quot;/&gt;&lt;wsp:rsid wsp:val=&quot;00FC5278&quot;/&gt;&lt;wsp:rsid wsp:val=&quot;00FC54E4&quot;/&gt;&lt;wsp:rsid wsp:val=&quot;00FC638F&quot;/&gt;&lt;wsp:rsid wsp:val=&quot;00FC6820&quot;/&gt;&lt;wsp:rsid wsp:val=&quot;00FC6FF6&quot;/&gt;&lt;wsp:rsid wsp:val=&quot;00FC73DB&quot;/&gt;&lt;wsp:rsid wsp:val=&quot;00FD117C&quot;/&gt;&lt;wsp:rsid wsp:val=&quot;00FD192F&quot;/&gt;&lt;wsp:rsid wsp:val=&quot;00FD1B38&quot;/&gt;&lt;wsp:rsid wsp:val=&quot;00FD22EA&quot;/&gt;&lt;wsp:rsid wsp:val=&quot;00FD2304&quot;/&gt;&lt;wsp:rsid wsp:val=&quot;00FD2465&quot;/&gt;&lt;wsp:rsid wsp:val=&quot;00FD28AE&quot;/&gt;&lt;wsp:rsid wsp:val=&quot;00FD3353&quot;/&gt;&lt;wsp:rsid wsp:val=&quot;00FD3960&quot;/&gt;&lt;wsp:rsid wsp:val=&quot;00FD4626&quot;/&gt;&lt;wsp:rsid wsp:val=&quot;00FD48B3&quot;/&gt;&lt;wsp:rsid wsp:val=&quot;00FD5337&quot;/&gt;&lt;wsp:rsid wsp:val=&quot;00FD584B&quot;/&gt;&lt;wsp:rsid wsp:val=&quot;00FD69EE&quot;/&gt;&lt;wsp:rsid wsp:val=&quot;00FD7047&quot;/&gt;&lt;wsp:rsid wsp:val=&quot;00FD738E&quot;/&gt;&lt;wsp:rsid wsp:val=&quot;00FD7DAC&quot;/&gt;&lt;wsp:rsid wsp:val=&quot;00FE0A4A&quot;/&gt;&lt;wsp:rsid wsp:val=&quot;00FE193B&quot;/&gt;&lt;wsp:rsid wsp:val=&quot;00FE2299&quot;/&gt;&lt;wsp:rsid wsp:val=&quot;00FE2CCD&quot;/&gt;&lt;wsp:rsid wsp:val=&quot;00FE306E&quot;/&gt;&lt;wsp:rsid wsp:val=&quot;00FE32FB&quot;/&gt;&lt;wsp:rsid wsp:val=&quot;00FE390B&quot;/&gt;&lt;wsp:rsid wsp:val=&quot;00FE39F2&quot;/&gt;&lt;wsp:rsid wsp:val=&quot;00FE3AA0&quot;/&gt;&lt;wsp:rsid wsp:val=&quot;00FE3C05&quot;/&gt;&lt;wsp:rsid wsp:val=&quot;00FE42EF&quot;/&gt;&lt;wsp:rsid wsp:val=&quot;00FE4445&quot;/&gt;&lt;wsp:rsid wsp:val=&quot;00FE4829&quot;/&gt;&lt;wsp:rsid wsp:val=&quot;00FE63E9&quot;/&gt;&lt;wsp:rsid wsp:val=&quot;00FE663E&quot;/&gt;&lt;wsp:rsid wsp:val=&quot;00FE677B&quot;/&gt;&lt;wsp:rsid wsp:val=&quot;00FE6BDC&quot;/&gt;&lt;wsp:rsid wsp:val=&quot;00FE6C78&quot;/&gt;&lt;wsp:rsid wsp:val=&quot;00FE6DB2&quot;/&gt;&lt;wsp:rsid wsp:val=&quot;00FE7699&quot;/&gt;&lt;wsp:rsid wsp:val=&quot;00FF02B6&quot;/&gt;&lt;wsp:rsid wsp:val=&quot;00FF02FD&quot;/&gt;&lt;wsp:rsid wsp:val=&quot;00FF1559&quot;/&gt;&lt;wsp:rsid wsp:val=&quot;00FF2525&quot;/&gt;&lt;wsp:rsid wsp:val=&quot;00FF26B4&quot;/&gt;&lt;wsp:rsid wsp:val=&quot;00FF27C3&quot;/&gt;&lt;wsp:rsid wsp:val=&quot;00FF330E&quot;/&gt;&lt;wsp:rsid wsp:val=&quot;00FF36A7&quot;/&gt;&lt;wsp:rsid wsp:val=&quot;00FF387F&quot;/&gt;&lt;wsp:rsid wsp:val=&quot;00FF3A40&quot;/&gt;&lt;wsp:rsid wsp:val=&quot;00FF3BEA&quot;/&gt;&lt;wsp:rsid wsp:val=&quot;00FF409B&quot;/&gt;&lt;wsp:rsid wsp:val=&quot;00FF54DC&quot;/&gt;&lt;wsp:rsid wsp:val=&quot;00FF5913&quot;/&gt;&lt;wsp:rsid wsp:val=&quot;00FF591E&quot;/&gt;&lt;wsp:rsid wsp:val=&quot;00FF5C08&quot;/&gt;&lt;wsp:rsid wsp:val=&quot;00FF613B&quot;/&gt;&lt;wsp:rsid wsp:val=&quot;00FF66D0&quot;/&gt;&lt;wsp:rsid wsp:val=&quot;00FF6724&quot;/&gt;&lt;wsp:rsid wsp:val=&quot;00FF6EAA&quot;/&gt;&lt;wsp:rsid wsp:val=&quot;00FF734B&quot;/&gt;&lt;wsp:rsid wsp:val=&quot;00FF7EBC&quot;/&gt;&lt;wsp:rsid wsp:val=&quot;0C300EE0&quot;/&gt;&lt;wsp:rsid wsp:val=&quot;0CD05312&quot;/&gt;&lt;wsp:rsid wsp:val=&quot;0E112887&quot;/&gt;&lt;wsp:rsid wsp:val=&quot;0F0D5D12&quot;/&gt;&lt;wsp:rsid wsp:val=&quot;11176811&quot;/&gt;&lt;wsp:rsid wsp:val=&quot;163D0532&quot;/&gt;&lt;wsp:rsid wsp:val=&quot;165A724C&quot;/&gt;&lt;wsp:rsid wsp:val=&quot;16AB66B0&quot;/&gt;&lt;wsp:rsid wsp:val=&quot;18A312BB&quot;/&gt;&lt;wsp:rsid wsp:val=&quot;18C06064&quot;/&gt;&lt;wsp:rsid wsp:val=&quot;1A2C7CFE&quot;/&gt;&lt;wsp:rsid wsp:val=&quot;1B3D0DA1&quot;/&gt;&lt;wsp:rsid wsp:val=&quot;1BB2058E&quot;/&gt;&lt;wsp:rsid wsp:val=&quot;1C4F3688&quot;/&gt;&lt;wsp:rsid wsp:val=&quot;1F2C01DC&quot;/&gt;&lt;wsp:rsid wsp:val=&quot;20805396&quot;/&gt;&lt;wsp:rsid wsp:val=&quot;20A43565&quot;/&gt;&lt;wsp:rsid wsp:val=&quot;24073FBB&quot;/&gt;&lt;wsp:rsid wsp:val=&quot;241D37DA&quot;/&gt;&lt;wsp:rsid wsp:val=&quot;2B706DFA&quot;/&gt;&lt;wsp:rsid wsp:val=&quot;2DB935EA&quot;/&gt;&lt;wsp:rsid wsp:val=&quot;35FF591A&quot;/&gt;&lt;wsp:rsid wsp:val=&quot;37421267&quot;/&gt;&lt;wsp:rsid wsp:val=&quot;3A184618&quot;/&gt;&lt;wsp:rsid wsp:val=&quot;3AB241CE&quot;/&gt;&lt;wsp:rsid wsp:val=&quot;3FA1059E&quot;/&gt;&lt;wsp:rsid wsp:val=&quot;3FA12818&quot;/&gt;&lt;wsp:rsid wsp:val=&quot;40303571&quot;/&gt;&lt;wsp:rsid wsp:val=&quot;40713795&quot;/&gt;&lt;wsp:rsid wsp:val=&quot;40F570D1&quot;/&gt;&lt;wsp:rsid wsp:val=&quot;416351A5&quot;/&gt;&lt;wsp:rsid wsp:val=&quot;436F0F53&quot;/&gt;&lt;wsp:rsid wsp:val=&quot;443F55B8&quot;/&gt;&lt;wsp:rsid wsp:val=&quot;44577BF2&quot;/&gt;&lt;wsp:rsid wsp:val=&quot;45293B45&quot;/&gt;&lt;wsp:rsid wsp:val=&quot;47FF2DF4&quot;/&gt;&lt;wsp:rsid wsp:val=&quot;48753D63&quot;/&gt;&lt;wsp:rsid wsp:val=&quot;48FB622F&quot;/&gt;&lt;wsp:rsid wsp:val=&quot;498A7F5D&quot;/&gt;&lt;wsp:rsid wsp:val=&quot;4A3E0D04&quot;/&gt;&lt;wsp:rsid wsp:val=&quot;4B6C0816&quot;/&gt;&lt;wsp:rsid wsp:val=&quot;4C422190&quot;/&gt;&lt;wsp:rsid wsp:val=&quot;524B2AF8&quot;/&gt;&lt;wsp:rsid wsp:val=&quot;53E723A1&quot;/&gt;&lt;wsp:rsid wsp:val=&quot;555F3E69&quot;/&gt;&lt;wsp:rsid wsp:val=&quot;55D74FF8&quot;/&gt;&lt;wsp:rsid wsp:val=&quot;56980985&quot;/&gt;&lt;wsp:rsid wsp:val=&quot;59FD25DF&quot;/&gt;&lt;wsp:rsid wsp:val=&quot;5CEC1BBB&quot;/&gt;&lt;wsp:rsid wsp:val=&quot;5D190FB9&quot;/&gt;&lt;wsp:rsid wsp:val=&quot;5E242C50&quot;/&gt;&lt;wsp:rsid wsp:val=&quot;5F0B27D0&quot;/&gt;&lt;wsp:rsid wsp:val=&quot;613946BD&quot;/&gt;&lt;wsp:rsid wsp:val=&quot;61BB58CC&quot;/&gt;&lt;wsp:rsid wsp:val=&quot;633E641C&quot;/&gt;&lt;wsp:rsid wsp:val=&quot;64662255&quot;/&gt;&lt;wsp:rsid wsp:val=&quot;678971DF&quot;/&gt;&lt;wsp:rsid wsp:val=&quot;69E24879&quot;/&gt;&lt;wsp:rsid wsp:val=&quot;6C0B2F50&quot;/&gt;&lt;wsp:rsid wsp:val=&quot;6DFE131C&quot;/&gt;&lt;wsp:rsid wsp:val=&quot;70B929C7&quot;/&gt;&lt;wsp:rsid wsp:val=&quot;75020ED4&quot;/&gt;&lt;wsp:rsid wsp:val=&quot;75982E94&quot;/&gt;&lt;wsp:rsid wsp:val=&quot;762134A6&quot;/&gt;&lt;wsp:rsid wsp:val=&quot;7A0E3436&quot;/&gt;&lt;wsp:rsid wsp:val=&quot;7A7638BA&quot;/&gt;&lt;wsp:rsid wsp:val=&quot;7DA466AB&quot;/&gt;&lt;wsp:rsid wsp:val=&quot;7E8133FD&quot;/&gt;&lt;/wsp:rsids&gt;&lt;/w:docPr&gt;&lt;w:body&gt;&lt;wx:sect&gt;&lt;w:p wsp:rsidR=&quot;00000000&quot; wsp:rsidRDefault=&quot;004C720A&quot; wsp:rsidP=&quot;004C720A&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 M:t&gt;叠加&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 Me=&quot;720&quot;/&gt;&lt;/w:sectPr&gt;&lt;/wx:sect&gt;&lt;/w:body&gt;&lt;/w:wordDocument&gt;">
                  <v:path/>
                  <v:fill on="f" focussize="0,0"/>
                  <v:stroke on="f" joinstyle="miter"/>
                  <v:imagedata r:id="rId25" chromakey="#FFFFFF" o:title=""/>
                  <o:lock v:ext="edit" aspectratio="t"/>
                  <w10:wrap type="none"/>
                  <w10:anchorlock/>
                </v:shape>
              </w:pict>
            </w:r>
            <w:r>
              <w:fldChar w:fldCharType="end"/>
            </w:r>
            <w:r>
              <w:t>不达标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区域环境质量的整体变化情况</w:t>
            </w:r>
          </w:p>
        </w:tc>
        <w:tc>
          <w:tcPr>
            <w:tcW w:w="3132" w:type="dxa"/>
            <w:gridSpan w:val="10"/>
            <w:vAlign w:val="center"/>
          </w:tcPr>
          <w:p>
            <w:pPr>
              <w:pStyle w:val="100"/>
              <w:bidi w:val="0"/>
            </w:pPr>
            <w:r>
              <w:t>k ≤-20% □</w:t>
            </w:r>
          </w:p>
        </w:tc>
        <w:tc>
          <w:tcPr>
            <w:tcW w:w="3276" w:type="dxa"/>
            <w:gridSpan w:val="9"/>
            <w:vAlign w:val="center"/>
          </w:tcPr>
          <w:p>
            <w:pPr>
              <w:pStyle w:val="100"/>
              <w:bidi w:val="0"/>
            </w:pPr>
            <w:r>
              <w:t>k ＞-20%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restart"/>
            <w:vAlign w:val="center"/>
          </w:tcPr>
          <w:p>
            <w:pPr>
              <w:pStyle w:val="100"/>
              <w:bidi w:val="0"/>
            </w:pPr>
            <w:r>
              <w:t>环境监测</w:t>
            </w:r>
            <w:r>
              <w:br w:type="textWrapping"/>
            </w:r>
            <w:r>
              <w:t>计划</w:t>
            </w:r>
          </w:p>
        </w:tc>
        <w:tc>
          <w:tcPr>
            <w:tcW w:w="1393" w:type="dxa"/>
            <w:vAlign w:val="center"/>
          </w:tcPr>
          <w:p>
            <w:pPr>
              <w:pStyle w:val="100"/>
              <w:bidi w:val="0"/>
            </w:pPr>
            <w:r>
              <w:t>污染源监测</w:t>
            </w:r>
          </w:p>
        </w:tc>
        <w:tc>
          <w:tcPr>
            <w:tcW w:w="2867" w:type="dxa"/>
            <w:gridSpan w:val="8"/>
            <w:vAlign w:val="center"/>
          </w:tcPr>
          <w:p>
            <w:pPr>
              <w:pStyle w:val="100"/>
              <w:bidi w:val="0"/>
            </w:pPr>
            <w:r>
              <w:t>监测因子：（VOCs）</w:t>
            </w:r>
          </w:p>
        </w:tc>
        <w:tc>
          <w:tcPr>
            <w:tcW w:w="2644" w:type="dxa"/>
            <w:gridSpan w:val="9"/>
            <w:vAlign w:val="center"/>
          </w:tcPr>
          <w:p>
            <w:pPr>
              <w:pStyle w:val="100"/>
              <w:bidi w:val="0"/>
            </w:pPr>
            <w:r>
              <w:t xml:space="preserve">有组织废气监测 ☑    </w:t>
            </w:r>
            <w:r>
              <w:br w:type="textWrapping"/>
            </w:r>
            <w:r>
              <w:t>无组织废气监测 ☑</w:t>
            </w:r>
          </w:p>
        </w:tc>
        <w:tc>
          <w:tcPr>
            <w:tcW w:w="897" w:type="dxa"/>
            <w:gridSpan w:val="2"/>
            <w:vAlign w:val="center"/>
          </w:tcPr>
          <w:p>
            <w:pPr>
              <w:pStyle w:val="100"/>
              <w:bidi w:val="0"/>
            </w:pPr>
            <w: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环境质量监测</w:t>
            </w:r>
          </w:p>
        </w:tc>
        <w:tc>
          <w:tcPr>
            <w:tcW w:w="2867" w:type="dxa"/>
            <w:gridSpan w:val="8"/>
            <w:vAlign w:val="center"/>
          </w:tcPr>
          <w:p>
            <w:pPr>
              <w:pStyle w:val="100"/>
              <w:bidi w:val="0"/>
            </w:pPr>
            <w:r>
              <w:t>监测因子：（      /       ）</w:t>
            </w:r>
          </w:p>
        </w:tc>
        <w:tc>
          <w:tcPr>
            <w:tcW w:w="2644" w:type="dxa"/>
            <w:gridSpan w:val="9"/>
            <w:vAlign w:val="center"/>
          </w:tcPr>
          <w:p>
            <w:pPr>
              <w:pStyle w:val="100"/>
              <w:bidi w:val="0"/>
            </w:pPr>
            <w:r>
              <w:t>监测点位数（   /  ）</w:t>
            </w:r>
          </w:p>
        </w:tc>
        <w:tc>
          <w:tcPr>
            <w:tcW w:w="897" w:type="dxa"/>
            <w:gridSpan w:val="2"/>
            <w:vAlign w:val="center"/>
          </w:tcPr>
          <w:p>
            <w:pPr>
              <w:pStyle w:val="100"/>
              <w:bidi w:val="0"/>
            </w:pPr>
            <w: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4" w:hRule="atLeast"/>
          <w:tblHeader/>
          <w:jc w:val="center"/>
        </w:trPr>
        <w:tc>
          <w:tcPr>
            <w:tcW w:w="727" w:type="dxa"/>
            <w:vMerge w:val="restart"/>
            <w:vAlign w:val="center"/>
          </w:tcPr>
          <w:p>
            <w:pPr>
              <w:pStyle w:val="100"/>
              <w:bidi w:val="0"/>
            </w:pPr>
            <w:r>
              <w:t>评价结论</w:t>
            </w:r>
          </w:p>
        </w:tc>
        <w:tc>
          <w:tcPr>
            <w:tcW w:w="1393" w:type="dxa"/>
            <w:vAlign w:val="center"/>
          </w:tcPr>
          <w:p>
            <w:pPr>
              <w:pStyle w:val="100"/>
              <w:bidi w:val="0"/>
            </w:pPr>
            <w:r>
              <w:t>环境影响</w:t>
            </w:r>
          </w:p>
        </w:tc>
        <w:tc>
          <w:tcPr>
            <w:tcW w:w="6408" w:type="dxa"/>
            <w:gridSpan w:val="19"/>
            <w:vAlign w:val="center"/>
          </w:tcPr>
          <w:p>
            <w:pPr>
              <w:pStyle w:val="100"/>
              <w:bidi w:val="0"/>
            </w:pPr>
            <w:r>
              <w:t>可以接受 ☑      不可以接受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tblHeader/>
          <w:jc w:val="center"/>
        </w:trPr>
        <w:tc>
          <w:tcPr>
            <w:tcW w:w="727" w:type="dxa"/>
            <w:vMerge w:val="continue"/>
            <w:vAlign w:val="center"/>
          </w:tcPr>
          <w:p>
            <w:pPr>
              <w:pStyle w:val="100"/>
              <w:bidi w:val="0"/>
            </w:pPr>
          </w:p>
        </w:tc>
        <w:tc>
          <w:tcPr>
            <w:tcW w:w="1393" w:type="dxa"/>
            <w:vAlign w:val="center"/>
          </w:tcPr>
          <w:p>
            <w:pPr>
              <w:pStyle w:val="100"/>
              <w:bidi w:val="0"/>
            </w:pPr>
            <w:r>
              <w:t>大气环境防护距离</w:t>
            </w:r>
          </w:p>
        </w:tc>
        <w:tc>
          <w:tcPr>
            <w:tcW w:w="6408" w:type="dxa"/>
            <w:gridSpan w:val="19"/>
            <w:vAlign w:val="center"/>
          </w:tcPr>
          <w:p>
            <w:pPr>
              <w:pStyle w:val="100"/>
              <w:bidi w:val="0"/>
            </w:pPr>
            <w:r>
              <w:t>距（  /   ）厂界最远（  /   ）m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727" w:type="dxa"/>
            <w:vMerge w:val="continue"/>
            <w:vAlign w:val="center"/>
          </w:tcPr>
          <w:p>
            <w:pPr>
              <w:pStyle w:val="100"/>
              <w:bidi w:val="0"/>
            </w:pPr>
          </w:p>
        </w:tc>
        <w:tc>
          <w:tcPr>
            <w:tcW w:w="1393" w:type="dxa"/>
            <w:vAlign w:val="center"/>
          </w:tcPr>
          <w:p>
            <w:pPr>
              <w:pStyle w:val="100"/>
              <w:bidi w:val="0"/>
            </w:pPr>
            <w:r>
              <w:t>污染源年排放量</w:t>
            </w:r>
          </w:p>
        </w:tc>
        <w:tc>
          <w:tcPr>
            <w:tcW w:w="1626" w:type="dxa"/>
            <w:gridSpan w:val="4"/>
            <w:vAlign w:val="center"/>
          </w:tcPr>
          <w:p>
            <w:pPr>
              <w:pStyle w:val="100"/>
              <w:bidi w:val="0"/>
            </w:pPr>
            <w:r>
              <w:t>SO2:（ /  ）t/a</w:t>
            </w:r>
          </w:p>
        </w:tc>
        <w:tc>
          <w:tcPr>
            <w:tcW w:w="2126" w:type="dxa"/>
            <w:gridSpan w:val="7"/>
            <w:vAlign w:val="center"/>
          </w:tcPr>
          <w:p>
            <w:pPr>
              <w:pStyle w:val="100"/>
              <w:bidi w:val="0"/>
            </w:pPr>
            <w:r>
              <w:t>NOx:（  / ）t/a</w:t>
            </w:r>
          </w:p>
        </w:tc>
        <w:tc>
          <w:tcPr>
            <w:tcW w:w="1585" w:type="dxa"/>
            <w:gridSpan w:val="5"/>
            <w:vAlign w:val="center"/>
          </w:tcPr>
          <w:p>
            <w:pPr>
              <w:pStyle w:val="100"/>
              <w:bidi w:val="0"/>
            </w:pPr>
            <w:r>
              <w:t>颗粒物:（  / ）t/a</w:t>
            </w:r>
          </w:p>
        </w:tc>
        <w:tc>
          <w:tcPr>
            <w:tcW w:w="1071" w:type="dxa"/>
            <w:gridSpan w:val="3"/>
            <w:vAlign w:val="center"/>
          </w:tcPr>
          <w:p>
            <w:pPr>
              <w:pStyle w:val="100"/>
              <w:bidi w:val="0"/>
            </w:pPr>
            <w:r>
              <w:t>VOCs:（</w:t>
            </w:r>
            <w:r>
              <w:rPr>
                <w:rFonts w:hint="eastAsia"/>
              </w:rPr>
              <w:t>0.038</w:t>
            </w:r>
            <w: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blHeader/>
          <w:jc w:val="center"/>
        </w:trPr>
        <w:tc>
          <w:tcPr>
            <w:tcW w:w="8528" w:type="dxa"/>
            <w:gridSpan w:val="21"/>
            <w:vAlign w:val="center"/>
          </w:tcPr>
          <w:p>
            <w:pPr>
              <w:pStyle w:val="100"/>
              <w:bidi w:val="0"/>
            </w:pPr>
            <w:r>
              <w:t>注：“□” 为勾选项 ，填“√” ；“（   ）” 为内容填写项</w:t>
            </w:r>
          </w:p>
        </w:tc>
      </w:tr>
    </w:tbl>
    <w:p>
      <w:pPr>
        <w:pStyle w:val="103"/>
        <w:bidi w:val="0"/>
      </w:pPr>
      <w:r>
        <w:t>经采取本环评所述污染防治措施后，本项目各污染物可满足相应污染物排放标准限值要求。预测结果表明，正常排放情况下，各污染物最大落地浓度占标率</w:t>
      </w:r>
      <w:r>
        <w:rPr>
          <w:rFonts w:hint="eastAsia"/>
        </w:rPr>
        <w:t>小于</w:t>
      </w:r>
      <w:r>
        <w:t>1%</w:t>
      </w:r>
      <w:r>
        <w:rPr>
          <w:rFonts w:hint="eastAsia"/>
        </w:rPr>
        <w:t>，</w:t>
      </w:r>
      <w:r>
        <w:t>对周围大气环境影响较小。</w:t>
      </w:r>
    </w:p>
    <w:p>
      <w:pPr>
        <w:pStyle w:val="103"/>
        <w:bidi w:val="0"/>
      </w:pPr>
      <w:r>
        <w:t>综上所述，本项目大气环境评价工作等级为</w:t>
      </w:r>
      <w:r>
        <w:rPr>
          <w:rFonts w:hint="eastAsia"/>
        </w:rPr>
        <w:t>三</w:t>
      </w:r>
      <w:r>
        <w:t>级，正常排放下各污染源下风向最大落地浓度较小，建设单位采取防范措施，项目无大气环境防护距离，建设项目大气环境影响可接受。</w:t>
      </w:r>
    </w:p>
    <w:p>
      <w:pPr>
        <w:pStyle w:val="105"/>
        <w:rPr>
          <w:color w:val="auto"/>
          <w:highlight w:val="none"/>
        </w:rPr>
      </w:pPr>
      <w:r>
        <w:rPr>
          <w:rFonts w:hint="eastAsia"/>
          <w:color w:val="auto"/>
          <w:highlight w:val="none"/>
        </w:rPr>
        <w:t>环境监测计划</w:t>
      </w:r>
    </w:p>
    <w:p>
      <w:pPr>
        <w:pStyle w:val="103"/>
        <w:bidi w:val="0"/>
      </w:pPr>
      <w:r>
        <w:t>1、环境管理</w:t>
      </w:r>
    </w:p>
    <w:p>
      <w:pPr>
        <w:pStyle w:val="103"/>
        <w:bidi w:val="0"/>
      </w:pPr>
      <w:r>
        <w:t>《中华人民共和国环境保护法》明确指出，我国环境保护的任务是保证在现代化建设中，合理利用自然资源，防止环境污染和生态破坏，为人民创造清洁适宜的生活和劳动环境，保护人民健康，促进经济发展。建设单位应在加强环境管理的同时定期进行环境监测，及时了解工程在不同时期的环境影响，以便采取相应措施，消除不利因素，减轻环境污染，以实现预定的各项环境目标。</w:t>
      </w:r>
    </w:p>
    <w:p>
      <w:pPr>
        <w:pStyle w:val="103"/>
        <w:bidi w:val="0"/>
      </w:pPr>
      <w:r>
        <w:t>本项目的环保工作应由专门的环保机构负责。项目建成后针对本项目应设1～2名专职环保管理人员，负责公司的环境管理以及对外的环保协调工作，履行环境管理职责和环境监控职责。本项目应严格执行申报的设备，不得擅自增加生产设备。各项污染防治措施在生产时必须同时开启。危险废物收集、贮存、运输、处置各环节应按照各环保标准、技术规范要求。</w:t>
      </w:r>
    </w:p>
    <w:p>
      <w:pPr>
        <w:pStyle w:val="103"/>
        <w:bidi w:val="0"/>
      </w:pPr>
      <w:r>
        <w:t>依法向社会公开：①企业环境保护方针、年度环境保护目标及成效；②企业年度资源消耗量；③企业环保投资和环境技术开发情况；④企业排放污染物种类、数量、浓度和去向；⑤企业环保设施的建设和运行情况；⑥企业在生产过程中产生的废物的处理、处置情况，废弃产品的回收、综合利用情况；⑦与环保部门签订的改善环境行为的自愿协议；⑧企业履行社会责任的情况；⑨企业自愿公开的其他环境信息。</w:t>
      </w:r>
    </w:p>
    <w:p>
      <w:pPr>
        <w:pStyle w:val="103"/>
        <w:bidi w:val="0"/>
      </w:pPr>
      <w:r>
        <w:t>2、监测计划</w:t>
      </w:r>
    </w:p>
    <w:p>
      <w:pPr>
        <w:pStyle w:val="103"/>
        <w:bidi w:val="0"/>
      </w:pPr>
      <w:r>
        <w:t>为了掌握本项目投产后的排污情况，监督排放标准的执行，减少对环境的影响，达到本报告表提出的排放要求，必须加强环境监测制度。污染源监测计划见表7-</w:t>
      </w:r>
      <w:r>
        <w:rPr>
          <w:rFonts w:hint="eastAsia"/>
        </w:rPr>
        <w:t>1</w:t>
      </w:r>
      <w:r>
        <w:rPr>
          <w:rFonts w:hint="eastAsia"/>
          <w:lang w:val="en-US" w:eastAsia="zh-CN"/>
        </w:rPr>
        <w:t>4</w:t>
      </w:r>
      <w:r>
        <w:t>。</w:t>
      </w:r>
    </w:p>
    <w:p>
      <w:pPr>
        <w:pStyle w:val="273"/>
        <w:bidi w:val="0"/>
        <w:rPr>
          <w:rFonts w:hint="eastAsia"/>
        </w:rPr>
      </w:pPr>
      <w:r>
        <w:rPr>
          <w:rFonts w:hint="eastAsia"/>
        </w:rPr>
        <w:t>表7-1</w:t>
      </w:r>
      <w:r>
        <w:rPr>
          <w:rFonts w:hint="eastAsia"/>
          <w:lang w:val="en-US" w:eastAsia="zh-CN"/>
        </w:rPr>
        <w:t>4</w:t>
      </w:r>
      <w:r>
        <w:rPr>
          <w:rFonts w:hint="eastAsia"/>
        </w:rPr>
        <w:t xml:space="preserve">  大气污染源监测计划一览表</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687"/>
        <w:gridCol w:w="911"/>
        <w:gridCol w:w="2093"/>
        <w:gridCol w:w="1451"/>
        <w:gridCol w:w="2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7" w:type="dxa"/>
            <w:shd w:val="clear" w:color="auto" w:fill="auto"/>
            <w:vAlign w:val="center"/>
          </w:tcPr>
          <w:p>
            <w:pPr>
              <w:pStyle w:val="100"/>
              <w:bidi w:val="0"/>
            </w:pPr>
            <w:r>
              <w:t>污染源类型</w:t>
            </w:r>
          </w:p>
        </w:tc>
        <w:tc>
          <w:tcPr>
            <w:tcW w:w="1598" w:type="dxa"/>
            <w:gridSpan w:val="2"/>
            <w:shd w:val="clear" w:color="auto" w:fill="auto"/>
            <w:vAlign w:val="center"/>
          </w:tcPr>
          <w:p>
            <w:pPr>
              <w:pStyle w:val="100"/>
              <w:bidi w:val="0"/>
            </w:pPr>
            <w:r>
              <w:t>监测点位</w:t>
            </w:r>
          </w:p>
        </w:tc>
        <w:tc>
          <w:tcPr>
            <w:tcW w:w="2093" w:type="dxa"/>
            <w:shd w:val="clear" w:color="auto" w:fill="auto"/>
            <w:vAlign w:val="center"/>
          </w:tcPr>
          <w:p>
            <w:pPr>
              <w:pStyle w:val="100"/>
              <w:bidi w:val="0"/>
            </w:pPr>
            <w:r>
              <w:t>监测项目</w:t>
            </w:r>
          </w:p>
        </w:tc>
        <w:tc>
          <w:tcPr>
            <w:tcW w:w="1451" w:type="dxa"/>
            <w:shd w:val="clear" w:color="auto" w:fill="auto"/>
            <w:vAlign w:val="center"/>
          </w:tcPr>
          <w:p>
            <w:pPr>
              <w:pStyle w:val="100"/>
              <w:bidi w:val="0"/>
            </w:pPr>
            <w:r>
              <w:t>监测周期</w:t>
            </w:r>
          </w:p>
        </w:tc>
        <w:tc>
          <w:tcPr>
            <w:tcW w:w="2749" w:type="dxa"/>
            <w:shd w:val="clear" w:color="auto" w:fill="auto"/>
            <w:vAlign w:val="center"/>
          </w:tcPr>
          <w:p>
            <w:pPr>
              <w:pStyle w:val="100"/>
              <w:bidi w:val="0"/>
            </w:pPr>
            <w: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37" w:type="dxa"/>
            <w:vMerge w:val="restart"/>
            <w:vAlign w:val="center"/>
          </w:tcPr>
          <w:p>
            <w:pPr>
              <w:pStyle w:val="100"/>
              <w:bidi w:val="0"/>
            </w:pPr>
            <w:r>
              <w:t>大气污染物</w:t>
            </w:r>
          </w:p>
        </w:tc>
        <w:tc>
          <w:tcPr>
            <w:tcW w:w="687" w:type="dxa"/>
            <w:vAlign w:val="center"/>
          </w:tcPr>
          <w:p>
            <w:pPr>
              <w:pStyle w:val="100"/>
              <w:bidi w:val="0"/>
            </w:pPr>
            <w:r>
              <w:t>有组织</w:t>
            </w:r>
          </w:p>
        </w:tc>
        <w:tc>
          <w:tcPr>
            <w:tcW w:w="911" w:type="dxa"/>
            <w:vAlign w:val="center"/>
          </w:tcPr>
          <w:p>
            <w:pPr>
              <w:pStyle w:val="100"/>
              <w:bidi w:val="0"/>
            </w:pPr>
            <w:r>
              <w:rPr>
                <w:rFonts w:hint="eastAsia"/>
              </w:rPr>
              <w:t>DA001</w:t>
            </w:r>
          </w:p>
        </w:tc>
        <w:tc>
          <w:tcPr>
            <w:tcW w:w="2093" w:type="dxa"/>
            <w:vAlign w:val="center"/>
          </w:tcPr>
          <w:p>
            <w:pPr>
              <w:pStyle w:val="100"/>
              <w:bidi w:val="0"/>
            </w:pPr>
            <w:r>
              <w:rPr>
                <w:rFonts w:hint="eastAsia"/>
              </w:rPr>
              <w:t>非甲烷总烃</w:t>
            </w:r>
          </w:p>
        </w:tc>
        <w:tc>
          <w:tcPr>
            <w:tcW w:w="1451" w:type="dxa"/>
            <w:vAlign w:val="center"/>
          </w:tcPr>
          <w:p>
            <w:pPr>
              <w:pStyle w:val="100"/>
              <w:bidi w:val="0"/>
            </w:pPr>
            <w:r>
              <w:t>半年监测一次</w:t>
            </w:r>
          </w:p>
        </w:tc>
        <w:tc>
          <w:tcPr>
            <w:tcW w:w="2749" w:type="dxa"/>
            <w:vAlign w:val="center"/>
          </w:tcPr>
          <w:p>
            <w:pPr>
              <w:pStyle w:val="100"/>
              <w:bidi w:val="0"/>
            </w:pPr>
            <w:r>
              <w:t>《大气污染物综合排放标准》</w:t>
            </w:r>
            <w:r>
              <w:rPr>
                <w:rFonts w:hint="eastAsia"/>
              </w:rPr>
              <w:t>（GB16297-1996）</w:t>
            </w:r>
            <w:r>
              <w:t>表2排放限值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37" w:type="dxa"/>
            <w:vMerge w:val="continue"/>
            <w:vAlign w:val="center"/>
          </w:tcPr>
          <w:p>
            <w:pPr>
              <w:pStyle w:val="100"/>
              <w:bidi w:val="0"/>
            </w:pPr>
          </w:p>
        </w:tc>
        <w:tc>
          <w:tcPr>
            <w:tcW w:w="687" w:type="dxa"/>
            <w:vMerge w:val="restart"/>
            <w:vAlign w:val="center"/>
          </w:tcPr>
          <w:p>
            <w:pPr>
              <w:pStyle w:val="100"/>
              <w:bidi w:val="0"/>
            </w:pPr>
            <w:r>
              <w:rPr>
                <w:rFonts w:hint="eastAsia"/>
              </w:rPr>
              <w:t>无组织</w:t>
            </w:r>
          </w:p>
        </w:tc>
        <w:tc>
          <w:tcPr>
            <w:tcW w:w="911" w:type="dxa"/>
            <w:vAlign w:val="center"/>
          </w:tcPr>
          <w:p>
            <w:pPr>
              <w:pStyle w:val="100"/>
              <w:bidi w:val="0"/>
            </w:pPr>
            <w:r>
              <w:rPr>
                <w:rFonts w:hint="eastAsia"/>
              </w:rPr>
              <w:t>在厂房外设置监控点</w:t>
            </w:r>
          </w:p>
        </w:tc>
        <w:tc>
          <w:tcPr>
            <w:tcW w:w="2093" w:type="dxa"/>
            <w:vMerge w:val="restart"/>
            <w:vAlign w:val="center"/>
          </w:tcPr>
          <w:p>
            <w:pPr>
              <w:pStyle w:val="100"/>
              <w:bidi w:val="0"/>
            </w:pPr>
            <w:r>
              <w:rPr>
                <w:rFonts w:hint="eastAsia"/>
              </w:rPr>
              <w:t>非甲烷总烃</w:t>
            </w:r>
          </w:p>
        </w:tc>
        <w:tc>
          <w:tcPr>
            <w:tcW w:w="1451" w:type="dxa"/>
            <w:vAlign w:val="center"/>
          </w:tcPr>
          <w:p>
            <w:pPr>
              <w:pStyle w:val="100"/>
              <w:bidi w:val="0"/>
            </w:pPr>
            <w:r>
              <w:t>1次/1年</w:t>
            </w:r>
          </w:p>
        </w:tc>
        <w:tc>
          <w:tcPr>
            <w:tcW w:w="2749" w:type="dxa"/>
            <w:vAlign w:val="center"/>
          </w:tcPr>
          <w:p>
            <w:pPr>
              <w:pStyle w:val="100"/>
              <w:bidi w:val="0"/>
            </w:pPr>
            <w:r>
              <w:t>《大气污染物综合排放标准》</w:t>
            </w:r>
            <w:r>
              <w:rPr>
                <w:rFonts w:hint="eastAsia"/>
              </w:rPr>
              <w:t>（GB16297-1996）</w:t>
            </w:r>
            <w:r>
              <w:t>表2排放限值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37" w:type="dxa"/>
            <w:vMerge w:val="continue"/>
            <w:vAlign w:val="center"/>
          </w:tcPr>
          <w:p>
            <w:pPr>
              <w:pStyle w:val="100"/>
              <w:bidi w:val="0"/>
            </w:pPr>
          </w:p>
        </w:tc>
        <w:tc>
          <w:tcPr>
            <w:tcW w:w="687" w:type="dxa"/>
            <w:vMerge w:val="continue"/>
            <w:vAlign w:val="center"/>
          </w:tcPr>
          <w:p>
            <w:pPr>
              <w:pStyle w:val="100"/>
              <w:bidi w:val="0"/>
            </w:pPr>
          </w:p>
        </w:tc>
        <w:tc>
          <w:tcPr>
            <w:tcW w:w="911" w:type="dxa"/>
            <w:vAlign w:val="center"/>
          </w:tcPr>
          <w:p>
            <w:pPr>
              <w:pStyle w:val="100"/>
              <w:bidi w:val="0"/>
            </w:pPr>
            <w:r>
              <w:rPr>
                <w:rFonts w:hint="eastAsia"/>
              </w:rPr>
              <w:t>周界外浓度最高点</w:t>
            </w:r>
          </w:p>
        </w:tc>
        <w:tc>
          <w:tcPr>
            <w:tcW w:w="2093" w:type="dxa"/>
            <w:vMerge w:val="continue"/>
            <w:vAlign w:val="center"/>
          </w:tcPr>
          <w:p>
            <w:pPr>
              <w:pStyle w:val="100"/>
              <w:bidi w:val="0"/>
            </w:pPr>
          </w:p>
        </w:tc>
        <w:tc>
          <w:tcPr>
            <w:tcW w:w="1451" w:type="dxa"/>
            <w:vAlign w:val="center"/>
          </w:tcPr>
          <w:p>
            <w:pPr>
              <w:pStyle w:val="100"/>
              <w:bidi w:val="0"/>
            </w:pPr>
            <w:r>
              <w:t>1次/1年</w:t>
            </w:r>
          </w:p>
        </w:tc>
        <w:tc>
          <w:tcPr>
            <w:tcW w:w="2749" w:type="dxa"/>
            <w:vAlign w:val="center"/>
          </w:tcPr>
          <w:p>
            <w:pPr>
              <w:pStyle w:val="100"/>
              <w:bidi w:val="0"/>
            </w:pPr>
            <w:r>
              <w:t>《挥发性有机物无组织排放控制标准</w:t>
            </w:r>
            <w:r>
              <w:rPr>
                <w:rFonts w:hint="eastAsia"/>
              </w:rPr>
              <w:t xml:space="preserve">（GB37822-2019）》表 A.1 </w:t>
            </w:r>
            <w:r>
              <w:t>相关标准</w:t>
            </w:r>
          </w:p>
        </w:tc>
      </w:tr>
    </w:tbl>
    <w:p>
      <w:pPr>
        <w:pStyle w:val="103"/>
        <w:bidi w:val="0"/>
      </w:pPr>
      <w:r>
        <w:t>按照上述监测的要求配备必要的监测仪器或委托有关监测部门监测。</w:t>
      </w:r>
    </w:p>
    <w:p>
      <w:pPr>
        <w:pStyle w:val="103"/>
        <w:bidi w:val="0"/>
      </w:pPr>
      <w:r>
        <w:t>监测数据和污染治理设施效率测试数据建立环保档案保存，为监督执行环境法规和排放标准提供依据。</w:t>
      </w:r>
    </w:p>
    <w:p>
      <w:pPr>
        <w:pStyle w:val="104"/>
      </w:pPr>
      <w:r>
        <w:t>水环境影响分析</w:t>
      </w:r>
    </w:p>
    <w:p>
      <w:pPr>
        <w:pStyle w:val="105"/>
      </w:pPr>
      <w:r>
        <w:t>拟采取的污染防治措施</w:t>
      </w:r>
    </w:p>
    <w:p>
      <w:pPr>
        <w:pStyle w:val="349"/>
        <w:numPr>
          <w:ilvl w:val="0"/>
          <w:numId w:val="0"/>
        </w:numPr>
        <w:ind w:left="472"/>
      </w:pPr>
      <w:bookmarkStart w:id="76" w:name="OLE_LINK4"/>
      <w:bookmarkStart w:id="77" w:name="OLE_LINK3"/>
      <w:r>
        <w:rPr>
          <w:rFonts w:hint="eastAsia"/>
        </w:rPr>
        <w:t>废水产生及排放情况</w:t>
      </w:r>
    </w:p>
    <w:p>
      <w:pPr>
        <w:pStyle w:val="103"/>
        <w:bidi w:val="0"/>
      </w:pPr>
      <w:r>
        <w:rPr>
          <w:rFonts w:hint="eastAsia"/>
        </w:rPr>
        <w:t>（1）</w:t>
      </w:r>
      <w:r>
        <w:t>生活污水</w:t>
      </w:r>
    </w:p>
    <w:p>
      <w:pPr>
        <w:pStyle w:val="103"/>
        <w:bidi w:val="0"/>
      </w:pPr>
      <w:r>
        <w:t>项目员工</w:t>
      </w:r>
      <w:r>
        <w:rPr>
          <w:rFonts w:hint="eastAsia"/>
        </w:rPr>
        <w:t>28</w:t>
      </w:r>
      <w:r>
        <w:t>人，生产天数为</w:t>
      </w:r>
      <w:r>
        <w:rPr>
          <w:rFonts w:hint="eastAsia"/>
        </w:rPr>
        <w:t>300</w:t>
      </w:r>
      <w:r>
        <w:t>天。生活用水量按120L/（人.d）计，则用水量为</w:t>
      </w:r>
      <w:r>
        <w:rPr>
          <w:rFonts w:hint="eastAsia"/>
        </w:rPr>
        <w:t>1008</w:t>
      </w:r>
      <w:r>
        <w:t>t/a。生活污水按用水量的8</w:t>
      </w:r>
      <w:r>
        <w:rPr>
          <w:rFonts w:hint="eastAsia"/>
          <w:lang w:val="en-US" w:eastAsia="zh-CN"/>
        </w:rPr>
        <w:t>5</w:t>
      </w:r>
      <w:r>
        <w:t>%计，则生活污水量为</w:t>
      </w:r>
      <w:r>
        <w:rPr>
          <w:rFonts w:hint="eastAsia"/>
        </w:rPr>
        <w:t>8</w:t>
      </w:r>
      <w:r>
        <w:rPr>
          <w:rFonts w:hint="eastAsia"/>
          <w:lang w:val="en-US" w:eastAsia="zh-CN"/>
        </w:rPr>
        <w:t>56</w:t>
      </w:r>
      <w:r>
        <w:rPr>
          <w:rFonts w:hint="eastAsia"/>
        </w:rPr>
        <w:t>.</w:t>
      </w:r>
      <w:r>
        <w:rPr>
          <w:rFonts w:hint="eastAsia"/>
          <w:lang w:val="en-US" w:eastAsia="zh-CN"/>
        </w:rPr>
        <w:t>8</w:t>
      </w:r>
      <w:r>
        <w:t>t/a。生活污水经</w:t>
      </w:r>
      <w:r>
        <w:rPr>
          <w:rFonts w:hint="eastAsia"/>
          <w:lang w:val="en-US" w:eastAsia="zh-CN"/>
        </w:rPr>
        <w:t>市政管网</w:t>
      </w:r>
      <w:r>
        <w:t>后接管至</w:t>
      </w:r>
      <w:r>
        <w:rPr>
          <w:rFonts w:hint="eastAsia"/>
        </w:rPr>
        <w:t>吴江经济技术开发区运东污水处理有限公司</w:t>
      </w:r>
      <w:r>
        <w:t>处理，尾水排放至</w:t>
      </w:r>
      <w:r>
        <w:rPr>
          <w:rFonts w:hint="eastAsia"/>
        </w:rPr>
        <w:t>吴淞江</w:t>
      </w:r>
      <w:r>
        <w:t>。</w:t>
      </w:r>
    </w:p>
    <w:p>
      <w:pPr>
        <w:pStyle w:val="103"/>
        <w:bidi w:val="0"/>
      </w:pPr>
      <w:r>
        <w:t>按照《环境影响评价技术导则-地表水环境》（HJ 2.3-2018）评价工作等级划分方法，建设项目地表水环境影响评价等级按照影响类型、排放方式、排放量或影响情况、受纳水体环境质量现状、水环境保护目标等综合确定。</w:t>
      </w:r>
    </w:p>
    <w:p>
      <w:pPr>
        <w:pStyle w:val="105"/>
      </w:pPr>
      <w:r>
        <w:t>影响分析及评价</w:t>
      </w:r>
    </w:p>
    <w:p>
      <w:pPr>
        <w:pStyle w:val="349"/>
        <w:numPr>
          <w:ilvl w:val="0"/>
          <w:numId w:val="20"/>
        </w:numPr>
      </w:pPr>
      <w:r>
        <w:rPr>
          <w:rFonts w:hint="eastAsia"/>
        </w:rPr>
        <w:t>评价等级</w:t>
      </w:r>
    </w:p>
    <w:p>
      <w:pPr>
        <w:pStyle w:val="103"/>
        <w:bidi w:val="0"/>
      </w:pPr>
      <w:r>
        <w:t>建设项目废水经厂内预处理达到接管标准后，通过污水管网接入</w:t>
      </w:r>
      <w:r>
        <w:rPr>
          <w:rFonts w:hint="eastAsia"/>
        </w:rPr>
        <w:t>吴江经济技术开发区运东</w:t>
      </w:r>
      <w:r>
        <w:t>污水处理厂进行集中处理，污水处理厂尾水最终排入</w:t>
      </w:r>
      <w:r>
        <w:rPr>
          <w:rFonts w:hint="eastAsia"/>
        </w:rPr>
        <w:t>吴淞江。</w:t>
      </w:r>
      <w:r>
        <w:t>本项目为水污染影响型建设项目，废水采用间接排放方式，判定建设项目地表水环境影响评价工作等级为三级B。</w:t>
      </w:r>
    </w:p>
    <w:p>
      <w:pPr>
        <w:pStyle w:val="273"/>
        <w:bidi w:val="0"/>
        <w:rPr>
          <w:rFonts w:hint="eastAsia"/>
        </w:rPr>
      </w:pPr>
      <w:r>
        <w:rPr>
          <w:rFonts w:hint="eastAsia"/>
        </w:rPr>
        <w:t>表</w:t>
      </w:r>
      <w:r>
        <w:rPr>
          <w:rFonts w:hint="eastAsia"/>
          <w:lang w:val="en-US" w:eastAsia="zh-CN"/>
        </w:rPr>
        <w:t>7-15</w:t>
      </w:r>
      <w:r>
        <w:rPr>
          <w:rFonts w:hint="eastAsia"/>
        </w:rPr>
        <w:t xml:space="preserve">  地表水评价等级判定依据</w:t>
      </w:r>
    </w:p>
    <w:tbl>
      <w:tblPr>
        <w:tblStyle w:val="260"/>
        <w:tblW w:w="84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3335"/>
        <w:gridCol w:w="3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74" w:type="dxa"/>
            <w:vMerge w:val="restart"/>
            <w:vAlign w:val="center"/>
          </w:tcPr>
          <w:p>
            <w:pPr>
              <w:pStyle w:val="100"/>
              <w:widowControl w:val="0"/>
              <w:bidi w:val="0"/>
              <w:adjustRightInd w:val="0"/>
              <w:snapToGrid w:val="0"/>
            </w:pPr>
            <w:r>
              <w:rPr>
                <w:rFonts w:hint="eastAsia"/>
              </w:rPr>
              <w:t>评价等级</w:t>
            </w:r>
          </w:p>
        </w:tc>
        <w:tc>
          <w:tcPr>
            <w:tcW w:w="6898" w:type="dxa"/>
            <w:gridSpan w:val="2"/>
            <w:vAlign w:val="center"/>
          </w:tcPr>
          <w:p>
            <w:pPr>
              <w:pStyle w:val="100"/>
              <w:widowControl w:val="0"/>
              <w:bidi w:val="0"/>
              <w:adjustRightInd w:val="0"/>
              <w:snapToGrid w:val="0"/>
            </w:pPr>
            <w:r>
              <w:rPr>
                <w:rFonts w:hint="eastAsia"/>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574" w:type="dxa"/>
            <w:vMerge w:val="continue"/>
            <w:vAlign w:val="center"/>
          </w:tcPr>
          <w:p>
            <w:pPr>
              <w:pStyle w:val="100"/>
              <w:widowControl w:val="0"/>
              <w:bidi w:val="0"/>
              <w:adjustRightInd w:val="0"/>
              <w:snapToGrid w:val="0"/>
            </w:pPr>
          </w:p>
        </w:tc>
        <w:tc>
          <w:tcPr>
            <w:tcW w:w="3335" w:type="dxa"/>
            <w:vAlign w:val="center"/>
          </w:tcPr>
          <w:p>
            <w:pPr>
              <w:pStyle w:val="100"/>
              <w:widowControl w:val="0"/>
              <w:bidi w:val="0"/>
              <w:adjustRightInd w:val="0"/>
              <w:snapToGrid w:val="0"/>
            </w:pPr>
            <w:r>
              <w:rPr>
                <w:rFonts w:hint="eastAsia"/>
              </w:rPr>
              <w:t>排放方式</w:t>
            </w:r>
          </w:p>
        </w:tc>
        <w:tc>
          <w:tcPr>
            <w:tcW w:w="3563" w:type="dxa"/>
            <w:vAlign w:val="center"/>
          </w:tcPr>
          <w:p>
            <w:pPr>
              <w:pStyle w:val="100"/>
              <w:widowControl w:val="0"/>
              <w:bidi w:val="0"/>
              <w:adjustRightInd w:val="0"/>
              <w:snapToGrid w:val="0"/>
            </w:pPr>
            <w:r>
              <w:rPr>
                <w:rFonts w:hint="eastAsia"/>
              </w:rPr>
              <w:t>废水排放量</w:t>
            </w:r>
            <w:r>
              <w:t>Q/(m3/d);</w:t>
            </w:r>
          </w:p>
          <w:p>
            <w:pPr>
              <w:pStyle w:val="100"/>
              <w:widowControl w:val="0"/>
              <w:bidi w:val="0"/>
              <w:adjustRightInd w:val="0"/>
              <w:snapToGrid w:val="0"/>
            </w:pPr>
            <w:r>
              <w:rPr>
                <w:rFonts w:hint="eastAsia"/>
              </w:rPr>
              <w:t>水污染物当量数</w:t>
            </w:r>
            <w:r>
              <w:t>W/(</w:t>
            </w:r>
            <w:r>
              <w:rPr>
                <w:rFonts w:hint="eastAsia"/>
              </w:rPr>
              <w:t>无量纲</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74" w:type="dxa"/>
            <w:vAlign w:val="center"/>
          </w:tcPr>
          <w:p>
            <w:pPr>
              <w:pStyle w:val="100"/>
              <w:widowControl w:val="0"/>
              <w:bidi w:val="0"/>
              <w:adjustRightInd w:val="0"/>
              <w:snapToGrid w:val="0"/>
            </w:pPr>
            <w:r>
              <w:rPr>
                <w:rFonts w:hint="eastAsia"/>
              </w:rPr>
              <w:t>一级</w:t>
            </w:r>
          </w:p>
        </w:tc>
        <w:tc>
          <w:tcPr>
            <w:tcW w:w="3335" w:type="dxa"/>
            <w:vAlign w:val="center"/>
          </w:tcPr>
          <w:p>
            <w:pPr>
              <w:pStyle w:val="100"/>
              <w:widowControl w:val="0"/>
              <w:bidi w:val="0"/>
              <w:adjustRightInd w:val="0"/>
              <w:snapToGrid w:val="0"/>
            </w:pPr>
            <w:r>
              <w:rPr>
                <w:rFonts w:hint="eastAsia"/>
              </w:rPr>
              <w:t>直接排放</w:t>
            </w:r>
          </w:p>
        </w:tc>
        <w:tc>
          <w:tcPr>
            <w:tcW w:w="3563" w:type="dxa"/>
            <w:vAlign w:val="center"/>
          </w:tcPr>
          <w:p>
            <w:pPr>
              <w:pStyle w:val="100"/>
              <w:widowControl w:val="0"/>
              <w:bidi w:val="0"/>
              <w:adjustRightInd w:val="0"/>
              <w:snapToGrid w:val="0"/>
            </w:pPr>
            <w:r>
              <w:t>Q≥20000</w:t>
            </w:r>
            <w:r>
              <w:rPr>
                <w:rFonts w:hint="eastAsia"/>
              </w:rPr>
              <w:t>或</w:t>
            </w:r>
            <w:r>
              <w:t>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74" w:type="dxa"/>
            <w:vAlign w:val="center"/>
          </w:tcPr>
          <w:p>
            <w:pPr>
              <w:pStyle w:val="100"/>
              <w:widowControl w:val="0"/>
              <w:bidi w:val="0"/>
              <w:adjustRightInd w:val="0"/>
              <w:snapToGrid w:val="0"/>
            </w:pPr>
            <w:r>
              <w:rPr>
                <w:rFonts w:hint="eastAsia"/>
              </w:rPr>
              <w:t>二级</w:t>
            </w:r>
          </w:p>
        </w:tc>
        <w:tc>
          <w:tcPr>
            <w:tcW w:w="3335" w:type="dxa"/>
            <w:vAlign w:val="center"/>
          </w:tcPr>
          <w:p>
            <w:pPr>
              <w:pStyle w:val="100"/>
              <w:widowControl w:val="0"/>
              <w:bidi w:val="0"/>
              <w:adjustRightInd w:val="0"/>
              <w:snapToGrid w:val="0"/>
            </w:pPr>
            <w:r>
              <w:rPr>
                <w:rFonts w:hint="eastAsia"/>
              </w:rPr>
              <w:t>直接排放</w:t>
            </w:r>
          </w:p>
        </w:tc>
        <w:tc>
          <w:tcPr>
            <w:tcW w:w="3563" w:type="dxa"/>
            <w:vAlign w:val="center"/>
          </w:tcPr>
          <w:p>
            <w:pPr>
              <w:pStyle w:val="100"/>
              <w:widowControl w:val="0"/>
              <w:bidi w:val="0"/>
              <w:adjustRightInd w:val="0"/>
              <w:snapToGrid w:val="0"/>
            </w:pPr>
            <w:r>
              <w:rPr>
                <w:rFonts w:hint="eastAsia"/>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574" w:type="dxa"/>
            <w:vAlign w:val="center"/>
          </w:tcPr>
          <w:p>
            <w:pPr>
              <w:pStyle w:val="100"/>
              <w:widowControl w:val="0"/>
              <w:bidi w:val="0"/>
              <w:adjustRightInd w:val="0"/>
              <w:snapToGrid w:val="0"/>
            </w:pPr>
            <w:r>
              <w:rPr>
                <w:rFonts w:hint="eastAsia"/>
              </w:rPr>
              <w:t>三级</w:t>
            </w:r>
            <w:r>
              <w:t>A</w:t>
            </w:r>
          </w:p>
        </w:tc>
        <w:tc>
          <w:tcPr>
            <w:tcW w:w="3335" w:type="dxa"/>
            <w:vAlign w:val="center"/>
          </w:tcPr>
          <w:p>
            <w:pPr>
              <w:pStyle w:val="100"/>
              <w:widowControl w:val="0"/>
              <w:bidi w:val="0"/>
              <w:adjustRightInd w:val="0"/>
              <w:snapToGrid w:val="0"/>
            </w:pPr>
            <w:r>
              <w:rPr>
                <w:rFonts w:hint="eastAsia"/>
              </w:rPr>
              <w:t>直接排放</w:t>
            </w:r>
          </w:p>
        </w:tc>
        <w:tc>
          <w:tcPr>
            <w:tcW w:w="3563" w:type="dxa"/>
            <w:vAlign w:val="center"/>
          </w:tcPr>
          <w:p>
            <w:pPr>
              <w:pStyle w:val="100"/>
              <w:widowControl w:val="0"/>
              <w:bidi w:val="0"/>
              <w:adjustRightInd w:val="0"/>
              <w:snapToGrid w:val="0"/>
            </w:pPr>
            <w:r>
              <w:t>Q&lt;200</w:t>
            </w:r>
            <w:r>
              <w:rPr>
                <w:rFonts w:hint="eastAsia"/>
              </w:rPr>
              <w:t>且</w:t>
            </w:r>
            <w:r>
              <w:t>W&lt;6000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74" w:type="dxa"/>
            <w:shd w:val="clear" w:color="auto" w:fill="80C588" w:themeFill="background1" w:themeFillShade="BF"/>
            <w:vAlign w:val="center"/>
          </w:tcPr>
          <w:p>
            <w:pPr>
              <w:pStyle w:val="100"/>
              <w:widowControl w:val="0"/>
              <w:bidi w:val="0"/>
              <w:adjustRightInd w:val="0"/>
              <w:snapToGrid w:val="0"/>
            </w:pPr>
            <w:r>
              <w:rPr>
                <w:rFonts w:hint="eastAsia"/>
              </w:rPr>
              <w:t>三级</w:t>
            </w:r>
            <w:r>
              <w:t>B</w:t>
            </w:r>
          </w:p>
        </w:tc>
        <w:tc>
          <w:tcPr>
            <w:tcW w:w="3335" w:type="dxa"/>
            <w:shd w:val="clear" w:color="auto" w:fill="80C588" w:themeFill="background1" w:themeFillShade="BF"/>
            <w:vAlign w:val="center"/>
          </w:tcPr>
          <w:p>
            <w:pPr>
              <w:pStyle w:val="100"/>
              <w:widowControl w:val="0"/>
              <w:bidi w:val="0"/>
              <w:adjustRightInd w:val="0"/>
              <w:snapToGrid w:val="0"/>
            </w:pPr>
            <w:r>
              <w:rPr>
                <w:rFonts w:hint="eastAsia"/>
              </w:rPr>
              <w:t>间接排放</w:t>
            </w:r>
          </w:p>
        </w:tc>
        <w:tc>
          <w:tcPr>
            <w:tcW w:w="3563" w:type="dxa"/>
            <w:shd w:val="clear" w:color="auto" w:fill="80C588" w:themeFill="background1" w:themeFillShade="BF"/>
            <w:vAlign w:val="center"/>
          </w:tcPr>
          <w:p>
            <w:pPr>
              <w:pStyle w:val="100"/>
              <w:widowControl w:val="0"/>
              <w:bidi w:val="0"/>
              <w:adjustRightInd w:val="0"/>
              <w:snapToGrid w:val="0"/>
            </w:pPr>
            <w:r>
              <w:t>—</w:t>
            </w:r>
          </w:p>
        </w:tc>
      </w:tr>
    </w:tbl>
    <w:p>
      <w:pPr>
        <w:pStyle w:val="103"/>
        <w:ind w:left="0" w:leftChars="0" w:firstLine="0" w:firstLineChars="0"/>
      </w:pPr>
    </w:p>
    <w:p>
      <w:pPr>
        <w:pStyle w:val="349"/>
        <w:rPr>
          <w:rStyle w:val="136"/>
        </w:rPr>
      </w:pPr>
      <w:r>
        <w:rPr>
          <w:rFonts w:hint="eastAsia"/>
          <w:highlight w:val="none"/>
        </w:rPr>
        <w:t>评价范围</w:t>
      </w:r>
    </w:p>
    <w:p>
      <w:pPr>
        <w:pStyle w:val="103"/>
        <w:bidi w:val="0"/>
      </w:pPr>
      <w:r>
        <w:rPr>
          <w:rFonts w:hint="eastAsia"/>
          <w:lang w:val="en-US" w:eastAsia="zh-CN"/>
        </w:rPr>
        <w:t>本项目地表水评价等级为三级B，可仅做简单分析。</w:t>
      </w:r>
    </w:p>
    <w:p>
      <w:pPr>
        <w:pStyle w:val="349"/>
      </w:pPr>
      <w:r>
        <w:rPr>
          <w:rFonts w:hint="eastAsia"/>
        </w:rPr>
        <w:t>环境影响评价</w:t>
      </w:r>
    </w:p>
    <w:p>
      <w:pPr>
        <w:pStyle w:val="103"/>
        <w:bidi w:val="0"/>
      </w:pPr>
      <w:r>
        <w:rPr>
          <w:rFonts w:hint="eastAsia"/>
        </w:rPr>
        <w:t>（1）依托污水处理设施的环境可行性分析</w:t>
      </w:r>
    </w:p>
    <w:p>
      <w:pPr>
        <w:pStyle w:val="103"/>
        <w:bidi w:val="0"/>
      </w:pPr>
      <w:r>
        <w:rPr>
          <w:rFonts w:hint="eastAsia"/>
        </w:rPr>
        <w:t>吴江区运东污水处理厂采用A/A/O氧化沟处理工艺，可以处理城市污水，包括生活污水和工业废水，具有良好的脱氮处理效果，并且工艺稳定性高，其设计处理量为6万m3/d，工程于2004年6月建成运行，配套管网的建设与污水处理厂建设同步。目前共接管量为4.1万m3/d，目前剩余处理量为1.9万m3/d。本项目接管生活污水排放总量为2.86m3/d（856.8t/a），仅占吴江经济技术开发区运东污水处理厂处理规模的0.007%。</w:t>
      </w:r>
    </w:p>
    <w:p>
      <w:pPr>
        <w:pStyle w:val="103"/>
        <w:bidi w:val="0"/>
      </w:pPr>
      <w:r>
        <w:rPr>
          <w:rFonts w:hint="eastAsia"/>
        </w:rPr>
        <w:t>可见，从废水水量来看，本项目废水接入吴江经济技术开发区运东污水处理厂完全可行。</w:t>
      </w:r>
    </w:p>
    <w:p>
      <w:pPr>
        <w:pStyle w:val="103"/>
        <w:bidi w:val="0"/>
      </w:pPr>
      <w:r>
        <w:rPr>
          <w:rFonts w:hint="eastAsia"/>
        </w:rPr>
        <w:t>本项目废水水质较为简单，可以达到吴江经济技术开发区运东污水处理厂的接管要求，对污水厂的处理工艺不会造成影响。因此，从废水水质来看，该污水处理厂可以接收本项目废水。</w:t>
      </w:r>
    </w:p>
    <w:p>
      <w:pPr>
        <w:pStyle w:val="103"/>
        <w:bidi w:val="0"/>
      </w:pPr>
      <w:r>
        <w:rPr>
          <w:rFonts w:hint="eastAsia"/>
        </w:rPr>
        <w:t>综上，项目废水可以纳入吴江经济技术开发区运东污水处理厂，在水量、水质等方面都符合要求，目前本项目所在地已建有市政污水管网，因此项目废水排入吴江经济技术开发区运东污水厂处理是可行可靠的。</w:t>
      </w:r>
    </w:p>
    <w:p>
      <w:pPr>
        <w:pStyle w:val="103"/>
        <w:bidi w:val="0"/>
      </w:pPr>
      <w:r>
        <w:t>工艺流程说明</w:t>
      </w:r>
    </w:p>
    <w:p>
      <w:pPr>
        <w:pStyle w:val="103"/>
        <w:bidi w:val="0"/>
      </w:pPr>
      <w:r>
        <w:t>污水进入集水井，首先通过沉砂池去除废水中的大型杂质、颗粒物，经调节池调节水量、水质、pH值以及水温，有预曝气作用，还可用作事故排水；然后进入混凝反应池后进入初沉池，去除废水中的可沉物和漂浮物；再进入水解酸化池，通过厌氧微生物（包括兼氧微生物）的作用，将废水中各种复杂有机物分解转化成甲烷和二氧化碳等物质以达到水质净化的目的；然后进入A/A/O池，采用A/A/O工艺去除污水里的BOD、SS和以各种形式的氮或磷；再进入二沉池，排除剩余污泥和回流污泥；最后通过混凝过滤池和二级混凝过滤池进一步减少SS，然后出水。二沉池的污泥一部分作为水解酸化池的回流污泥，剩下的与混凝过滤池、二级混凝过滤池的污泥一同进入污泥浓缩池再送入污泥脱水间最后脱水外运。</w:t>
      </w:r>
    </w:p>
    <w:p>
      <w:pPr>
        <w:pStyle w:val="103"/>
        <w:bidi w:val="0"/>
      </w:pPr>
      <w:r>
        <w:t>其中A/A/O工艺是在20世纪70年代由美国专家在厌氧－好氧法脱氮工艺在基础上开发的，其主要由厌氧段、缺氧段、好氧段组成。A/A/O法同步脱氮除磷工艺，是在一个反应器内完成脱氮和除磷的任务。原废水和含磷回流污泥一起进入厌氧段，在厌氧反应段中实现磷的释放后进入缺氧段。硝化液通过内循环回流到缺氧段前，在缺氧反应段中完成反硝化脱氮后进入好氧段，在好氧反应段中实现BOD去除、硝化和磷的吸收去除。</w:t>
      </w:r>
    </w:p>
    <w:p>
      <w:pPr>
        <w:pStyle w:val="103"/>
        <w:bidi w:val="0"/>
      </w:pPr>
      <w:r>
        <w:t xml:space="preserve">③污水处理厂接管及排放标准 </w:t>
      </w:r>
    </w:p>
    <w:p>
      <w:pPr>
        <w:pStyle w:val="103"/>
        <w:bidi w:val="0"/>
      </w:pPr>
      <w:r>
        <w:t>吴江经济技术开发区运东污水处理厂接管标准为《污水综合排放标准》(GB8978-1996)表 4 三级标准和《污水排入城镇下水道水质标准》（GB/T31962-2015）表1中B级标准，排放标准执行《城镇污水厂污染物排放标准》（GB18918-2002）表1一级A 标准及《太湖地区城镇污水处理厂及重点工业行业主要水污染物排放限值》（DB32/1072-2018）表2标准。</w:t>
      </w:r>
    </w:p>
    <w:p>
      <w:pPr>
        <w:pStyle w:val="103"/>
        <w:bidi w:val="0"/>
      </w:pPr>
      <w:r>
        <w:t>由附件建设项目污水环评现场勘查意见书可知，本项目所在地已建有市政污水管网，生活污水可达接管标准接管至吴江经济技术开发区运东污水处理厂集中处理，尾水排入</w:t>
      </w:r>
      <w:r>
        <w:rPr>
          <w:rFonts w:hint="eastAsia"/>
        </w:rPr>
        <w:t>吴淞江</w:t>
      </w:r>
      <w:r>
        <w:t>，污水厂污水排放对纳污水体影响较小。本项目生活污水排放量</w:t>
      </w:r>
      <w:r>
        <w:rPr>
          <w:rFonts w:hint="eastAsia"/>
        </w:rPr>
        <w:t>608.4</w:t>
      </w:r>
      <w:r>
        <w:t>t/a，污水厂有剩余容量容纳本项目污水，污水排放对周围水体环境影响较小。</w:t>
      </w:r>
    </w:p>
    <w:p>
      <w:pPr>
        <w:pStyle w:val="103"/>
        <w:bidi w:val="0"/>
      </w:pPr>
      <w:r>
        <w:t>综上，本项目废水进入吴江经济技术开发区运东污水处理厂是可行的。</w:t>
      </w:r>
    </w:p>
    <w:p>
      <w:pPr>
        <w:pStyle w:val="103"/>
        <w:jc w:val="center"/>
      </w:pPr>
    </w:p>
    <w:p>
      <w:pPr>
        <w:pStyle w:val="103"/>
        <w:ind w:firstLine="0" w:firstLineChars="0"/>
        <w:rPr>
          <w:color w:val="FF0000"/>
        </w:rPr>
      </w:pPr>
      <w:r>
        <w:rPr>
          <w:color w:val="000000"/>
        </w:rPr>
        <w:object>
          <v:shape id="_x0000_i1047" o:spt="75" type="#_x0000_t75" style="height:121.2pt;width:420.8pt;" o:ole="t" filled="f" o:preferrelative="t" stroked="f" coordsize="21600,21600">
            <v:path/>
            <v:fill on="f" focussize="0,0"/>
            <v:stroke on="f" joinstyle="miter"/>
            <v:imagedata r:id="rId27" o:title=""/>
            <o:lock v:ext="edit" aspectratio="t"/>
            <w10:wrap type="none"/>
            <w10:anchorlock/>
          </v:shape>
          <o:OLEObject Type="Embed" ProgID="Visio.Drawing.11" ShapeID="_x0000_i1047" DrawAspect="Content" ObjectID="_1468075732" r:id="rId26">
            <o:LockedField>false</o:LockedField>
          </o:OLEObject>
        </w:object>
      </w:r>
    </w:p>
    <w:p>
      <w:pPr>
        <w:pStyle w:val="103"/>
        <w:bidi w:val="0"/>
      </w:pPr>
      <w:r>
        <w:rPr>
          <w:rFonts w:hint="eastAsia"/>
        </w:rPr>
        <w:t>（2）污染源排放量核算</w:t>
      </w:r>
    </w:p>
    <w:p>
      <w:pPr>
        <w:pStyle w:val="103"/>
        <w:bidi w:val="0"/>
        <w:rPr>
          <w:rFonts w:hint="eastAsia"/>
        </w:rPr>
      </w:pPr>
      <w:r>
        <w:rPr>
          <w:rFonts w:hint="eastAsia"/>
        </w:rPr>
        <w:t>项目废水类别、污染物及污染治理设施信息、废水排放量等信息见表7</w:t>
      </w:r>
      <w:r>
        <w:t>-12</w:t>
      </w:r>
      <w:r>
        <w:rPr>
          <w:rFonts w:hint="eastAsia"/>
        </w:rPr>
        <w:t>~</w:t>
      </w:r>
      <w:r>
        <w:t>7-15</w:t>
      </w:r>
      <w:r>
        <w:rPr>
          <w:rFonts w:hint="eastAsia"/>
        </w:rPr>
        <w:t>。</w:t>
      </w: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103"/>
        <w:bidi w:val="0"/>
        <w:rPr>
          <w:rFonts w:hint="eastAsia"/>
        </w:rPr>
      </w:pPr>
    </w:p>
    <w:p>
      <w:pPr>
        <w:pStyle w:val="273"/>
        <w:bidi w:val="0"/>
        <w:rPr>
          <w:rFonts w:hint="eastAsia"/>
        </w:rPr>
      </w:pPr>
      <w:r>
        <w:rPr>
          <w:rFonts w:hint="eastAsia"/>
        </w:rPr>
        <w:t>表7-1</w:t>
      </w:r>
      <w:r>
        <w:rPr>
          <w:rFonts w:hint="eastAsia"/>
          <w:lang w:val="en-US" w:eastAsia="zh-CN"/>
        </w:rPr>
        <w:t>6</w:t>
      </w:r>
      <w:r>
        <w:rPr>
          <w:rFonts w:hint="eastAsia"/>
        </w:rPr>
        <w:t xml:space="preserve">  废水类别、污染物及污染治理设施信息表</w:t>
      </w:r>
    </w:p>
    <w:tbl>
      <w:tblPr>
        <w:tblStyle w:val="260"/>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660"/>
        <w:gridCol w:w="657"/>
        <w:gridCol w:w="659"/>
        <w:gridCol w:w="789"/>
        <w:gridCol w:w="789"/>
        <w:gridCol w:w="925"/>
        <w:gridCol w:w="657"/>
        <w:gridCol w:w="806"/>
        <w:gridCol w:w="1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92" w:type="pct"/>
            <w:vMerge w:val="restart"/>
            <w:vAlign w:val="center"/>
          </w:tcPr>
          <w:p>
            <w:pPr>
              <w:pStyle w:val="100"/>
              <w:widowControl w:val="0"/>
              <w:bidi w:val="0"/>
              <w:adjustRightInd w:val="0"/>
              <w:snapToGrid w:val="0"/>
            </w:pPr>
            <w:r>
              <w:t>废水类别</w:t>
            </w:r>
          </w:p>
        </w:tc>
        <w:tc>
          <w:tcPr>
            <w:tcW w:w="389" w:type="pct"/>
            <w:vMerge w:val="restart"/>
            <w:vAlign w:val="center"/>
          </w:tcPr>
          <w:p>
            <w:pPr>
              <w:pStyle w:val="100"/>
              <w:widowControl w:val="0"/>
              <w:bidi w:val="0"/>
              <w:adjustRightInd w:val="0"/>
              <w:snapToGrid w:val="0"/>
            </w:pPr>
            <w:r>
              <w:t>污染物种类</w:t>
            </w:r>
          </w:p>
        </w:tc>
        <w:tc>
          <w:tcPr>
            <w:tcW w:w="387" w:type="pct"/>
            <w:vMerge w:val="restart"/>
            <w:vAlign w:val="center"/>
          </w:tcPr>
          <w:p>
            <w:pPr>
              <w:pStyle w:val="100"/>
              <w:widowControl w:val="0"/>
              <w:bidi w:val="0"/>
              <w:adjustRightInd w:val="0"/>
              <w:snapToGrid w:val="0"/>
            </w:pPr>
            <w:r>
              <w:t>排放去向</w:t>
            </w:r>
          </w:p>
        </w:tc>
        <w:tc>
          <w:tcPr>
            <w:tcW w:w="388" w:type="pct"/>
            <w:vMerge w:val="restart"/>
            <w:vAlign w:val="center"/>
          </w:tcPr>
          <w:p>
            <w:pPr>
              <w:pStyle w:val="100"/>
              <w:widowControl w:val="0"/>
              <w:bidi w:val="0"/>
              <w:adjustRightInd w:val="0"/>
              <w:snapToGrid w:val="0"/>
            </w:pPr>
            <w:r>
              <w:t>排放规律</w:t>
            </w:r>
          </w:p>
        </w:tc>
        <w:tc>
          <w:tcPr>
            <w:tcW w:w="1475" w:type="pct"/>
            <w:gridSpan w:val="3"/>
            <w:vAlign w:val="center"/>
          </w:tcPr>
          <w:p>
            <w:pPr>
              <w:pStyle w:val="100"/>
              <w:widowControl w:val="0"/>
              <w:bidi w:val="0"/>
              <w:adjustRightInd w:val="0"/>
              <w:snapToGrid w:val="0"/>
            </w:pPr>
            <w:r>
              <w:t>污染治理设施</w:t>
            </w:r>
          </w:p>
        </w:tc>
        <w:tc>
          <w:tcPr>
            <w:tcW w:w="387" w:type="pct"/>
            <w:vMerge w:val="restart"/>
            <w:vAlign w:val="center"/>
          </w:tcPr>
          <w:p>
            <w:pPr>
              <w:pStyle w:val="100"/>
              <w:widowControl w:val="0"/>
              <w:bidi w:val="0"/>
              <w:adjustRightInd w:val="0"/>
              <w:snapToGrid w:val="0"/>
            </w:pPr>
            <w:r>
              <w:t>排放口编号</w:t>
            </w:r>
          </w:p>
        </w:tc>
        <w:tc>
          <w:tcPr>
            <w:tcW w:w="475" w:type="pct"/>
            <w:vMerge w:val="restart"/>
            <w:vAlign w:val="center"/>
          </w:tcPr>
          <w:p>
            <w:pPr>
              <w:pStyle w:val="100"/>
              <w:widowControl w:val="0"/>
              <w:bidi w:val="0"/>
              <w:adjustRightInd w:val="0"/>
              <w:snapToGrid w:val="0"/>
            </w:pPr>
            <w:r>
              <w:t>排放口设置是否符合要求</w:t>
            </w:r>
          </w:p>
        </w:tc>
        <w:tc>
          <w:tcPr>
            <w:tcW w:w="1004" w:type="pct"/>
            <w:vMerge w:val="restart"/>
            <w:vAlign w:val="center"/>
          </w:tcPr>
          <w:p>
            <w:pPr>
              <w:pStyle w:val="100"/>
              <w:widowControl w:val="0"/>
              <w:bidi w:val="0"/>
              <w:adjustRightInd w:val="0"/>
              <w:snapToGrid w:val="0"/>
            </w:pPr>
            <w:r>
              <w:rPr>
                <w:rFonts w:hint="eastAsia"/>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492" w:type="pct"/>
            <w:vMerge w:val="continue"/>
            <w:vAlign w:val="center"/>
          </w:tcPr>
          <w:p>
            <w:pPr>
              <w:pStyle w:val="100"/>
              <w:widowControl w:val="0"/>
              <w:bidi w:val="0"/>
              <w:adjustRightInd w:val="0"/>
              <w:snapToGrid w:val="0"/>
            </w:pPr>
          </w:p>
        </w:tc>
        <w:tc>
          <w:tcPr>
            <w:tcW w:w="389" w:type="pct"/>
            <w:vMerge w:val="continue"/>
            <w:vAlign w:val="center"/>
          </w:tcPr>
          <w:p>
            <w:pPr>
              <w:pStyle w:val="100"/>
              <w:widowControl w:val="0"/>
              <w:bidi w:val="0"/>
              <w:adjustRightInd w:val="0"/>
              <w:snapToGrid w:val="0"/>
            </w:pPr>
          </w:p>
        </w:tc>
        <w:tc>
          <w:tcPr>
            <w:tcW w:w="387" w:type="pct"/>
            <w:vMerge w:val="continue"/>
            <w:vAlign w:val="center"/>
          </w:tcPr>
          <w:p>
            <w:pPr>
              <w:pStyle w:val="100"/>
              <w:widowControl w:val="0"/>
              <w:bidi w:val="0"/>
              <w:adjustRightInd w:val="0"/>
              <w:snapToGrid w:val="0"/>
            </w:pPr>
          </w:p>
        </w:tc>
        <w:tc>
          <w:tcPr>
            <w:tcW w:w="388" w:type="pct"/>
            <w:vMerge w:val="continue"/>
            <w:vAlign w:val="center"/>
          </w:tcPr>
          <w:p>
            <w:pPr>
              <w:pStyle w:val="100"/>
              <w:widowControl w:val="0"/>
              <w:bidi w:val="0"/>
              <w:adjustRightInd w:val="0"/>
              <w:snapToGrid w:val="0"/>
            </w:pPr>
          </w:p>
        </w:tc>
        <w:tc>
          <w:tcPr>
            <w:tcW w:w="465" w:type="pct"/>
            <w:vAlign w:val="center"/>
          </w:tcPr>
          <w:p>
            <w:pPr>
              <w:pStyle w:val="100"/>
              <w:widowControl w:val="0"/>
              <w:bidi w:val="0"/>
              <w:adjustRightInd w:val="0"/>
              <w:snapToGrid w:val="0"/>
            </w:pPr>
            <w:r>
              <w:t>污染治理设施编号</w:t>
            </w:r>
          </w:p>
        </w:tc>
        <w:tc>
          <w:tcPr>
            <w:tcW w:w="465" w:type="pct"/>
            <w:vAlign w:val="center"/>
          </w:tcPr>
          <w:p>
            <w:pPr>
              <w:pStyle w:val="100"/>
              <w:widowControl w:val="0"/>
              <w:bidi w:val="0"/>
              <w:adjustRightInd w:val="0"/>
              <w:snapToGrid w:val="0"/>
            </w:pPr>
            <w:r>
              <w:t>污染治理设施名称</w:t>
            </w:r>
          </w:p>
        </w:tc>
        <w:tc>
          <w:tcPr>
            <w:tcW w:w="544" w:type="pct"/>
            <w:vAlign w:val="center"/>
          </w:tcPr>
          <w:p>
            <w:pPr>
              <w:pStyle w:val="100"/>
              <w:widowControl w:val="0"/>
              <w:bidi w:val="0"/>
              <w:adjustRightInd w:val="0"/>
              <w:snapToGrid w:val="0"/>
            </w:pPr>
            <w:r>
              <w:t>污染治理设施工艺</w:t>
            </w:r>
          </w:p>
        </w:tc>
        <w:tc>
          <w:tcPr>
            <w:tcW w:w="387" w:type="pct"/>
            <w:vMerge w:val="continue"/>
            <w:vAlign w:val="center"/>
          </w:tcPr>
          <w:p>
            <w:pPr>
              <w:pStyle w:val="100"/>
              <w:widowControl w:val="0"/>
              <w:bidi w:val="0"/>
              <w:adjustRightInd w:val="0"/>
              <w:snapToGrid w:val="0"/>
            </w:pPr>
          </w:p>
        </w:tc>
        <w:tc>
          <w:tcPr>
            <w:tcW w:w="475" w:type="pct"/>
            <w:vMerge w:val="continue"/>
            <w:vAlign w:val="center"/>
          </w:tcPr>
          <w:p>
            <w:pPr>
              <w:pStyle w:val="100"/>
              <w:widowControl w:val="0"/>
              <w:bidi w:val="0"/>
              <w:adjustRightInd w:val="0"/>
              <w:snapToGrid w:val="0"/>
            </w:pPr>
          </w:p>
        </w:tc>
        <w:tc>
          <w:tcPr>
            <w:tcW w:w="1004" w:type="pct"/>
            <w:vMerge w:val="continue"/>
            <w:vAlign w:val="center"/>
          </w:tcPr>
          <w:p>
            <w:pPr>
              <w:pStyle w:val="100"/>
              <w:widowControl w:val="0"/>
              <w:bidi w:val="0"/>
              <w:adjustRightInd w:val="0"/>
              <w:snapToGrid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7" w:hRule="atLeast"/>
          <w:jc w:val="center"/>
        </w:trPr>
        <w:tc>
          <w:tcPr>
            <w:tcW w:w="492" w:type="pct"/>
            <w:vAlign w:val="center"/>
          </w:tcPr>
          <w:p>
            <w:pPr>
              <w:pStyle w:val="100"/>
              <w:widowControl w:val="0"/>
              <w:bidi w:val="0"/>
              <w:adjustRightInd w:val="0"/>
              <w:snapToGrid w:val="0"/>
            </w:pPr>
            <w:r>
              <w:t>生活污水</w:t>
            </w:r>
          </w:p>
        </w:tc>
        <w:tc>
          <w:tcPr>
            <w:tcW w:w="389" w:type="pct"/>
            <w:vAlign w:val="center"/>
          </w:tcPr>
          <w:p>
            <w:pPr>
              <w:pStyle w:val="100"/>
              <w:widowControl w:val="0"/>
              <w:bidi w:val="0"/>
              <w:adjustRightInd w:val="0"/>
              <w:snapToGrid w:val="0"/>
            </w:pPr>
            <w:r>
              <w:t>COD</w:t>
            </w:r>
          </w:p>
          <w:p>
            <w:pPr>
              <w:pStyle w:val="100"/>
              <w:widowControl w:val="0"/>
              <w:bidi w:val="0"/>
              <w:adjustRightInd w:val="0"/>
              <w:snapToGrid w:val="0"/>
            </w:pPr>
            <w:r>
              <w:t>SS</w:t>
            </w:r>
          </w:p>
          <w:p>
            <w:pPr>
              <w:pStyle w:val="100"/>
              <w:widowControl w:val="0"/>
              <w:bidi w:val="0"/>
              <w:adjustRightInd w:val="0"/>
              <w:snapToGrid w:val="0"/>
            </w:pPr>
            <w:r>
              <w:t>氨氮</w:t>
            </w:r>
          </w:p>
          <w:p>
            <w:pPr>
              <w:pStyle w:val="100"/>
              <w:widowControl w:val="0"/>
              <w:bidi w:val="0"/>
              <w:adjustRightInd w:val="0"/>
              <w:snapToGrid w:val="0"/>
            </w:pPr>
            <w:r>
              <w:t>总氮</w:t>
            </w:r>
          </w:p>
          <w:p>
            <w:pPr>
              <w:pStyle w:val="100"/>
              <w:widowControl w:val="0"/>
              <w:bidi w:val="0"/>
              <w:adjustRightInd w:val="0"/>
              <w:snapToGrid w:val="0"/>
            </w:pPr>
            <w:r>
              <w:t>总磷</w:t>
            </w:r>
          </w:p>
        </w:tc>
        <w:tc>
          <w:tcPr>
            <w:tcW w:w="387" w:type="pct"/>
            <w:vAlign w:val="center"/>
          </w:tcPr>
          <w:p>
            <w:pPr>
              <w:pStyle w:val="100"/>
              <w:widowControl w:val="0"/>
              <w:bidi w:val="0"/>
              <w:adjustRightInd w:val="0"/>
              <w:snapToGrid w:val="0"/>
            </w:pPr>
            <w:r>
              <w:rPr>
                <w:rFonts w:hint="eastAsia"/>
              </w:rPr>
              <w:t>吴江经济技术开发区运东</w:t>
            </w:r>
            <w:r>
              <w:t>污水处理厂</w:t>
            </w:r>
          </w:p>
        </w:tc>
        <w:tc>
          <w:tcPr>
            <w:tcW w:w="388" w:type="pct"/>
            <w:vAlign w:val="center"/>
          </w:tcPr>
          <w:p>
            <w:pPr>
              <w:pStyle w:val="100"/>
              <w:widowControl w:val="0"/>
              <w:bidi w:val="0"/>
              <w:adjustRightInd w:val="0"/>
              <w:snapToGrid w:val="0"/>
            </w:pPr>
            <w:r>
              <w:t>间歇</w:t>
            </w:r>
          </w:p>
        </w:tc>
        <w:tc>
          <w:tcPr>
            <w:tcW w:w="465" w:type="pct"/>
            <w:vAlign w:val="center"/>
          </w:tcPr>
          <w:p>
            <w:pPr>
              <w:pStyle w:val="100"/>
              <w:widowControl w:val="0"/>
              <w:bidi w:val="0"/>
              <w:adjustRightInd w:val="0"/>
              <w:snapToGrid w:val="0"/>
            </w:pPr>
            <w:r>
              <w:t>/</w:t>
            </w:r>
          </w:p>
        </w:tc>
        <w:tc>
          <w:tcPr>
            <w:tcW w:w="465" w:type="pct"/>
            <w:vAlign w:val="center"/>
          </w:tcPr>
          <w:p>
            <w:pPr>
              <w:pStyle w:val="100"/>
              <w:widowControl w:val="0"/>
              <w:bidi w:val="0"/>
              <w:adjustRightInd w:val="0"/>
              <w:snapToGrid w:val="0"/>
            </w:pPr>
            <w:r>
              <w:t>/</w:t>
            </w:r>
          </w:p>
        </w:tc>
        <w:tc>
          <w:tcPr>
            <w:tcW w:w="544" w:type="pct"/>
            <w:vAlign w:val="center"/>
          </w:tcPr>
          <w:p>
            <w:pPr>
              <w:pStyle w:val="100"/>
              <w:widowControl w:val="0"/>
              <w:bidi w:val="0"/>
              <w:adjustRightInd w:val="0"/>
              <w:snapToGrid w:val="0"/>
            </w:pPr>
            <w:r>
              <w:t>见图7-1</w:t>
            </w:r>
          </w:p>
        </w:tc>
        <w:tc>
          <w:tcPr>
            <w:tcW w:w="387" w:type="pct"/>
            <w:vAlign w:val="center"/>
          </w:tcPr>
          <w:p>
            <w:pPr>
              <w:pStyle w:val="100"/>
              <w:widowControl w:val="0"/>
              <w:bidi w:val="0"/>
              <w:adjustRightInd w:val="0"/>
              <w:snapToGrid w:val="0"/>
            </w:pPr>
            <w:r>
              <w:t>生活污水排放口</w:t>
            </w:r>
          </w:p>
        </w:tc>
        <w:tc>
          <w:tcPr>
            <w:tcW w:w="475" w:type="pct"/>
            <w:vAlign w:val="center"/>
          </w:tcPr>
          <w:p>
            <w:pPr>
              <w:pStyle w:val="100"/>
              <w:widowControl w:val="0"/>
              <w:bidi w:val="0"/>
              <w:adjustRightInd w:val="0"/>
              <w:snapToGrid w:val="0"/>
            </w:pPr>
            <w:r>
              <w:t>是</w:t>
            </w:r>
          </w:p>
        </w:tc>
        <w:tc>
          <w:tcPr>
            <w:tcW w:w="1004" w:type="pct"/>
            <w:vAlign w:val="center"/>
          </w:tcPr>
          <w:p>
            <w:pPr>
              <w:pStyle w:val="100"/>
              <w:widowControl w:val="0"/>
              <w:bidi w:val="0"/>
              <w:adjustRightInd w:val="0"/>
              <w:snapToGrid w:val="0"/>
            </w:pPr>
            <w:r>
              <w:rPr>
                <w:rFonts w:hint="eastAsia"/>
              </w:rPr>
              <w:t>√企业总排</w:t>
            </w:r>
            <w:r>
              <w:rPr>
                <w:rFonts w:hint="eastAsia"/>
              </w:rPr>
              <w:br w:type="textWrapping"/>
            </w:r>
            <w:r>
              <w:rPr>
                <w:rFonts w:hint="eastAsia"/>
              </w:rPr>
              <w:t>□雨水排放</w:t>
            </w:r>
            <w:r>
              <w:rPr>
                <w:rFonts w:hint="eastAsia"/>
              </w:rPr>
              <w:br w:type="textWrapping"/>
            </w:r>
            <w:r>
              <w:rPr>
                <w:rFonts w:hint="eastAsia"/>
              </w:rPr>
              <w:t>□清净下水排放</w:t>
            </w:r>
            <w:r>
              <w:rPr>
                <w:rFonts w:hint="eastAsia"/>
              </w:rPr>
              <w:br w:type="textWrapping"/>
            </w:r>
            <w:r>
              <w:rPr>
                <w:rFonts w:hint="eastAsia"/>
              </w:rPr>
              <w:t>□温排水排放</w:t>
            </w:r>
            <w:r>
              <w:rPr>
                <w:rFonts w:hint="eastAsia"/>
              </w:rPr>
              <w:br w:type="textWrapping"/>
            </w:r>
            <w:r>
              <w:rPr>
                <w:rFonts w:hint="eastAsia"/>
              </w:rPr>
              <w:t>□车间或车间处理设施排放口</w:t>
            </w:r>
          </w:p>
        </w:tc>
      </w:tr>
    </w:tbl>
    <w:p>
      <w:pPr>
        <w:pStyle w:val="273"/>
        <w:bidi w:val="0"/>
        <w:rPr>
          <w:rFonts w:hint="eastAsia"/>
        </w:rPr>
      </w:pPr>
      <w:r>
        <w:rPr>
          <w:rFonts w:hint="eastAsia"/>
        </w:rPr>
        <w:t>表7-1</w:t>
      </w:r>
      <w:r>
        <w:rPr>
          <w:rFonts w:hint="eastAsia"/>
          <w:lang w:val="en-US" w:eastAsia="zh-CN"/>
        </w:rPr>
        <w:t>7</w:t>
      </w:r>
      <w:r>
        <w:rPr>
          <w:rFonts w:hint="eastAsia"/>
        </w:rPr>
        <w:t xml:space="preserve">  废水间接排放口基本情况表</w:t>
      </w:r>
    </w:p>
    <w:tbl>
      <w:tblPr>
        <w:tblStyle w:val="87"/>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768"/>
        <w:gridCol w:w="695"/>
        <w:gridCol w:w="700"/>
        <w:gridCol w:w="734"/>
        <w:gridCol w:w="936"/>
        <w:gridCol w:w="556"/>
        <w:gridCol w:w="695"/>
        <w:gridCol w:w="695"/>
        <w:gridCol w:w="836"/>
        <w:gridCol w:w="1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22" w:type="pct"/>
            <w:vMerge w:val="restart"/>
            <w:shd w:val="clear" w:color="auto" w:fill="auto"/>
            <w:vAlign w:val="center"/>
          </w:tcPr>
          <w:p>
            <w:pPr>
              <w:pStyle w:val="100"/>
              <w:bidi w:val="0"/>
            </w:pPr>
            <w:r>
              <w:t>序号</w:t>
            </w:r>
          </w:p>
        </w:tc>
        <w:tc>
          <w:tcPr>
            <w:tcW w:w="453" w:type="pct"/>
            <w:vMerge w:val="restart"/>
            <w:shd w:val="clear" w:color="auto" w:fill="auto"/>
            <w:vAlign w:val="center"/>
          </w:tcPr>
          <w:p>
            <w:pPr>
              <w:pStyle w:val="100"/>
              <w:bidi w:val="0"/>
            </w:pPr>
            <w:r>
              <w:t>排放口编号</w:t>
            </w:r>
          </w:p>
        </w:tc>
        <w:tc>
          <w:tcPr>
            <w:tcW w:w="823" w:type="pct"/>
            <w:gridSpan w:val="2"/>
            <w:shd w:val="clear" w:color="auto" w:fill="auto"/>
            <w:vAlign w:val="center"/>
          </w:tcPr>
          <w:p>
            <w:pPr>
              <w:pStyle w:val="100"/>
              <w:bidi w:val="0"/>
            </w:pPr>
            <w:r>
              <w:t>排放口地理坐标</w:t>
            </w:r>
          </w:p>
        </w:tc>
        <w:tc>
          <w:tcPr>
            <w:tcW w:w="433" w:type="pct"/>
            <w:vMerge w:val="restart"/>
            <w:shd w:val="clear" w:color="auto" w:fill="auto"/>
            <w:vAlign w:val="center"/>
          </w:tcPr>
          <w:p>
            <w:pPr>
              <w:pStyle w:val="100"/>
              <w:bidi w:val="0"/>
            </w:pPr>
            <w:r>
              <w:t>废水排放量t/a</w:t>
            </w:r>
          </w:p>
        </w:tc>
        <w:tc>
          <w:tcPr>
            <w:tcW w:w="552" w:type="pct"/>
            <w:vMerge w:val="restart"/>
            <w:shd w:val="clear" w:color="auto" w:fill="auto"/>
            <w:vAlign w:val="center"/>
          </w:tcPr>
          <w:p>
            <w:pPr>
              <w:pStyle w:val="100"/>
              <w:bidi w:val="0"/>
            </w:pPr>
            <w:r>
              <w:t>排放去向</w:t>
            </w:r>
          </w:p>
        </w:tc>
        <w:tc>
          <w:tcPr>
            <w:tcW w:w="328" w:type="pct"/>
            <w:vMerge w:val="restart"/>
            <w:shd w:val="clear" w:color="auto" w:fill="auto"/>
            <w:vAlign w:val="center"/>
          </w:tcPr>
          <w:p>
            <w:pPr>
              <w:pStyle w:val="100"/>
              <w:bidi w:val="0"/>
            </w:pPr>
            <w:r>
              <w:t>排放规律</w:t>
            </w:r>
          </w:p>
        </w:tc>
        <w:tc>
          <w:tcPr>
            <w:tcW w:w="410" w:type="pct"/>
            <w:vMerge w:val="restart"/>
            <w:shd w:val="clear" w:color="auto" w:fill="auto"/>
            <w:vAlign w:val="center"/>
          </w:tcPr>
          <w:p>
            <w:pPr>
              <w:pStyle w:val="100"/>
              <w:bidi w:val="0"/>
            </w:pPr>
            <w:r>
              <w:t>间歇排放时段</w:t>
            </w:r>
          </w:p>
        </w:tc>
        <w:tc>
          <w:tcPr>
            <w:tcW w:w="1674" w:type="pct"/>
            <w:gridSpan w:val="3"/>
            <w:shd w:val="clear" w:color="auto" w:fill="auto"/>
            <w:vAlign w:val="center"/>
          </w:tcPr>
          <w:p>
            <w:pPr>
              <w:pStyle w:val="100"/>
              <w:bidi w:val="0"/>
            </w:pPr>
            <w: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322" w:type="pct"/>
            <w:vMerge w:val="continue"/>
            <w:shd w:val="clear" w:color="auto" w:fill="auto"/>
            <w:vAlign w:val="center"/>
          </w:tcPr>
          <w:p>
            <w:pPr>
              <w:pStyle w:val="100"/>
              <w:bidi w:val="0"/>
            </w:pPr>
          </w:p>
        </w:tc>
        <w:tc>
          <w:tcPr>
            <w:tcW w:w="453" w:type="pct"/>
            <w:vMerge w:val="continue"/>
            <w:shd w:val="clear" w:color="auto" w:fill="auto"/>
            <w:vAlign w:val="center"/>
          </w:tcPr>
          <w:p>
            <w:pPr>
              <w:pStyle w:val="100"/>
              <w:bidi w:val="0"/>
            </w:pPr>
          </w:p>
        </w:tc>
        <w:tc>
          <w:tcPr>
            <w:tcW w:w="410" w:type="pct"/>
            <w:shd w:val="clear" w:color="auto" w:fill="auto"/>
            <w:vAlign w:val="center"/>
          </w:tcPr>
          <w:p>
            <w:pPr>
              <w:pStyle w:val="100"/>
              <w:bidi w:val="0"/>
            </w:pPr>
            <w:r>
              <w:t>经度</w:t>
            </w:r>
          </w:p>
        </w:tc>
        <w:tc>
          <w:tcPr>
            <w:tcW w:w="412" w:type="pct"/>
            <w:shd w:val="clear" w:color="auto" w:fill="auto"/>
            <w:vAlign w:val="center"/>
          </w:tcPr>
          <w:p>
            <w:pPr>
              <w:pStyle w:val="100"/>
              <w:bidi w:val="0"/>
            </w:pPr>
            <w:r>
              <w:t>纬度</w:t>
            </w:r>
          </w:p>
        </w:tc>
        <w:tc>
          <w:tcPr>
            <w:tcW w:w="433" w:type="pct"/>
            <w:vMerge w:val="continue"/>
            <w:shd w:val="clear" w:color="auto" w:fill="auto"/>
            <w:vAlign w:val="center"/>
          </w:tcPr>
          <w:p>
            <w:pPr>
              <w:pStyle w:val="100"/>
              <w:bidi w:val="0"/>
            </w:pPr>
          </w:p>
        </w:tc>
        <w:tc>
          <w:tcPr>
            <w:tcW w:w="552" w:type="pct"/>
            <w:vMerge w:val="continue"/>
            <w:shd w:val="clear" w:color="auto" w:fill="auto"/>
            <w:vAlign w:val="center"/>
          </w:tcPr>
          <w:p>
            <w:pPr>
              <w:pStyle w:val="100"/>
              <w:bidi w:val="0"/>
            </w:pPr>
          </w:p>
        </w:tc>
        <w:tc>
          <w:tcPr>
            <w:tcW w:w="328"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0" w:type="pct"/>
            <w:shd w:val="clear" w:color="auto" w:fill="auto"/>
            <w:vAlign w:val="center"/>
          </w:tcPr>
          <w:p>
            <w:pPr>
              <w:pStyle w:val="100"/>
              <w:bidi w:val="0"/>
            </w:pPr>
            <w:r>
              <w:t>名称</w:t>
            </w:r>
          </w:p>
        </w:tc>
        <w:tc>
          <w:tcPr>
            <w:tcW w:w="493" w:type="pct"/>
            <w:shd w:val="clear" w:color="auto" w:fill="auto"/>
            <w:vAlign w:val="center"/>
          </w:tcPr>
          <w:p>
            <w:pPr>
              <w:pStyle w:val="100"/>
              <w:bidi w:val="0"/>
            </w:pPr>
            <w:r>
              <w:t>污染物种类</w:t>
            </w:r>
          </w:p>
        </w:tc>
        <w:tc>
          <w:tcPr>
            <w:tcW w:w="771" w:type="pct"/>
            <w:shd w:val="clear" w:color="auto" w:fill="auto"/>
            <w:vAlign w:val="center"/>
          </w:tcPr>
          <w:p>
            <w:pPr>
              <w:pStyle w:val="100"/>
              <w:bidi w:val="0"/>
            </w:pPr>
            <w: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22" w:type="pct"/>
            <w:shd w:val="clear" w:color="auto" w:fill="auto"/>
            <w:vAlign w:val="center"/>
          </w:tcPr>
          <w:p>
            <w:pPr>
              <w:pStyle w:val="100"/>
              <w:bidi w:val="0"/>
            </w:pPr>
            <w:r>
              <w:t>1</w:t>
            </w:r>
          </w:p>
        </w:tc>
        <w:tc>
          <w:tcPr>
            <w:tcW w:w="453" w:type="pct"/>
            <w:vMerge w:val="restart"/>
            <w:shd w:val="clear" w:color="auto" w:fill="auto"/>
            <w:vAlign w:val="center"/>
          </w:tcPr>
          <w:p>
            <w:pPr>
              <w:pStyle w:val="100"/>
              <w:bidi w:val="0"/>
            </w:pPr>
            <w:r>
              <w:t>生活污水排放口</w:t>
            </w:r>
          </w:p>
        </w:tc>
        <w:tc>
          <w:tcPr>
            <w:tcW w:w="410" w:type="pct"/>
            <w:vMerge w:val="restart"/>
            <w:shd w:val="clear" w:color="auto" w:fill="auto"/>
            <w:vAlign w:val="center"/>
          </w:tcPr>
          <w:p>
            <w:pPr>
              <w:pStyle w:val="100"/>
              <w:bidi w:val="0"/>
            </w:pPr>
            <w:r>
              <w:t>/</w:t>
            </w:r>
          </w:p>
        </w:tc>
        <w:tc>
          <w:tcPr>
            <w:tcW w:w="412" w:type="pct"/>
            <w:vMerge w:val="restart"/>
            <w:shd w:val="clear" w:color="auto" w:fill="auto"/>
            <w:vAlign w:val="center"/>
          </w:tcPr>
          <w:p>
            <w:pPr>
              <w:pStyle w:val="100"/>
              <w:bidi w:val="0"/>
            </w:pPr>
            <w:r>
              <w:t>/</w:t>
            </w:r>
          </w:p>
        </w:tc>
        <w:tc>
          <w:tcPr>
            <w:tcW w:w="433" w:type="pct"/>
            <w:vMerge w:val="restart"/>
            <w:shd w:val="clear" w:color="auto" w:fill="auto"/>
            <w:vAlign w:val="center"/>
          </w:tcPr>
          <w:p>
            <w:pPr>
              <w:pStyle w:val="100"/>
              <w:bidi w:val="0"/>
            </w:pPr>
            <w:r>
              <w:rPr>
                <w:rFonts w:hint="eastAsia"/>
              </w:rPr>
              <w:t>856.8</w:t>
            </w:r>
          </w:p>
        </w:tc>
        <w:tc>
          <w:tcPr>
            <w:tcW w:w="552" w:type="pct"/>
            <w:vMerge w:val="restart"/>
            <w:shd w:val="clear" w:color="auto" w:fill="auto"/>
            <w:vAlign w:val="center"/>
          </w:tcPr>
          <w:p>
            <w:pPr>
              <w:pStyle w:val="100"/>
              <w:bidi w:val="0"/>
            </w:pPr>
            <w:r>
              <w:rPr>
                <w:rFonts w:hint="eastAsia"/>
              </w:rPr>
              <w:t>吴江经济技术开发区运东污水处理厂</w:t>
            </w:r>
          </w:p>
        </w:tc>
        <w:tc>
          <w:tcPr>
            <w:tcW w:w="328" w:type="pct"/>
            <w:vMerge w:val="restart"/>
            <w:shd w:val="clear" w:color="auto" w:fill="auto"/>
            <w:vAlign w:val="center"/>
          </w:tcPr>
          <w:p>
            <w:pPr>
              <w:pStyle w:val="100"/>
              <w:bidi w:val="0"/>
            </w:pPr>
            <w:r>
              <w:rPr>
                <w:rFonts w:hint="eastAsia"/>
              </w:rPr>
              <w:t>间歇</w:t>
            </w:r>
          </w:p>
        </w:tc>
        <w:tc>
          <w:tcPr>
            <w:tcW w:w="410" w:type="pct"/>
            <w:vMerge w:val="restart"/>
            <w:shd w:val="clear" w:color="auto" w:fill="auto"/>
            <w:vAlign w:val="center"/>
          </w:tcPr>
          <w:p>
            <w:pPr>
              <w:pStyle w:val="100"/>
              <w:bidi w:val="0"/>
            </w:pPr>
            <w:r>
              <w:rPr>
                <w:rFonts w:hint="eastAsia"/>
              </w:rPr>
              <w:t>不定时</w:t>
            </w:r>
          </w:p>
        </w:tc>
        <w:tc>
          <w:tcPr>
            <w:tcW w:w="410" w:type="pct"/>
            <w:vMerge w:val="restart"/>
            <w:shd w:val="clear" w:color="auto" w:fill="auto"/>
            <w:vAlign w:val="center"/>
          </w:tcPr>
          <w:p>
            <w:pPr>
              <w:pStyle w:val="100"/>
              <w:bidi w:val="0"/>
            </w:pPr>
            <w:r>
              <w:rPr>
                <w:rFonts w:hint="eastAsia"/>
              </w:rPr>
              <w:t>生活污水</w:t>
            </w:r>
          </w:p>
        </w:tc>
        <w:tc>
          <w:tcPr>
            <w:tcW w:w="493" w:type="pct"/>
            <w:shd w:val="clear" w:color="auto" w:fill="auto"/>
            <w:vAlign w:val="center"/>
          </w:tcPr>
          <w:p>
            <w:pPr>
              <w:pStyle w:val="100"/>
              <w:bidi w:val="0"/>
            </w:pPr>
            <w:r>
              <w:t>COD</w:t>
            </w:r>
          </w:p>
        </w:tc>
        <w:tc>
          <w:tcPr>
            <w:tcW w:w="771" w:type="pct"/>
            <w:shd w:val="clear" w:color="auto" w:fill="auto"/>
            <w:vAlign w:val="center"/>
          </w:tcPr>
          <w:p>
            <w:pPr>
              <w:pStyle w:val="100"/>
              <w:bidi w:val="0"/>
            </w:pPr>
            <w: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22" w:type="pct"/>
            <w:shd w:val="clear" w:color="auto" w:fill="auto"/>
            <w:vAlign w:val="center"/>
          </w:tcPr>
          <w:p>
            <w:pPr>
              <w:pStyle w:val="100"/>
              <w:bidi w:val="0"/>
            </w:pPr>
            <w:r>
              <w:t>2</w:t>
            </w:r>
          </w:p>
        </w:tc>
        <w:tc>
          <w:tcPr>
            <w:tcW w:w="453"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2" w:type="pct"/>
            <w:vMerge w:val="continue"/>
            <w:shd w:val="clear" w:color="auto" w:fill="auto"/>
            <w:vAlign w:val="center"/>
          </w:tcPr>
          <w:p>
            <w:pPr>
              <w:pStyle w:val="100"/>
              <w:bidi w:val="0"/>
            </w:pPr>
          </w:p>
        </w:tc>
        <w:tc>
          <w:tcPr>
            <w:tcW w:w="433" w:type="pct"/>
            <w:vMerge w:val="continue"/>
            <w:shd w:val="clear" w:color="auto" w:fill="auto"/>
            <w:vAlign w:val="center"/>
          </w:tcPr>
          <w:p>
            <w:pPr>
              <w:pStyle w:val="100"/>
              <w:bidi w:val="0"/>
            </w:pPr>
          </w:p>
        </w:tc>
        <w:tc>
          <w:tcPr>
            <w:tcW w:w="552" w:type="pct"/>
            <w:vMerge w:val="continue"/>
            <w:shd w:val="clear" w:color="auto" w:fill="auto"/>
            <w:vAlign w:val="center"/>
          </w:tcPr>
          <w:p>
            <w:pPr>
              <w:pStyle w:val="100"/>
              <w:bidi w:val="0"/>
            </w:pPr>
          </w:p>
        </w:tc>
        <w:tc>
          <w:tcPr>
            <w:tcW w:w="328"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93" w:type="pct"/>
            <w:shd w:val="clear" w:color="auto" w:fill="auto"/>
            <w:vAlign w:val="center"/>
          </w:tcPr>
          <w:p>
            <w:pPr>
              <w:pStyle w:val="100"/>
              <w:bidi w:val="0"/>
            </w:pPr>
            <w:r>
              <w:t>SS</w:t>
            </w:r>
          </w:p>
        </w:tc>
        <w:tc>
          <w:tcPr>
            <w:tcW w:w="771" w:type="pct"/>
            <w:shd w:val="clear" w:color="auto" w:fill="auto"/>
            <w:vAlign w:val="center"/>
          </w:tcPr>
          <w:p>
            <w:pPr>
              <w:pStyle w:val="100"/>
              <w:bidi w:val="0"/>
            </w:pPr>
            <w:r>
              <w:rPr>
                <w:rFonts w:hint="eastAsia"/>
              </w:rPr>
              <w:t>4</w:t>
            </w:r>
            <w: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22" w:type="pct"/>
            <w:shd w:val="clear" w:color="auto" w:fill="auto"/>
            <w:vAlign w:val="center"/>
          </w:tcPr>
          <w:p>
            <w:pPr>
              <w:pStyle w:val="100"/>
              <w:bidi w:val="0"/>
            </w:pPr>
            <w:r>
              <w:t>3</w:t>
            </w:r>
          </w:p>
        </w:tc>
        <w:tc>
          <w:tcPr>
            <w:tcW w:w="453"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2" w:type="pct"/>
            <w:vMerge w:val="continue"/>
            <w:shd w:val="clear" w:color="auto" w:fill="auto"/>
            <w:vAlign w:val="center"/>
          </w:tcPr>
          <w:p>
            <w:pPr>
              <w:pStyle w:val="100"/>
              <w:bidi w:val="0"/>
            </w:pPr>
          </w:p>
        </w:tc>
        <w:tc>
          <w:tcPr>
            <w:tcW w:w="433" w:type="pct"/>
            <w:vMerge w:val="continue"/>
            <w:shd w:val="clear" w:color="auto" w:fill="auto"/>
            <w:vAlign w:val="center"/>
          </w:tcPr>
          <w:p>
            <w:pPr>
              <w:pStyle w:val="100"/>
              <w:bidi w:val="0"/>
            </w:pPr>
          </w:p>
        </w:tc>
        <w:tc>
          <w:tcPr>
            <w:tcW w:w="552" w:type="pct"/>
            <w:vMerge w:val="continue"/>
            <w:shd w:val="clear" w:color="auto" w:fill="auto"/>
            <w:vAlign w:val="center"/>
          </w:tcPr>
          <w:p>
            <w:pPr>
              <w:pStyle w:val="100"/>
              <w:bidi w:val="0"/>
            </w:pPr>
          </w:p>
        </w:tc>
        <w:tc>
          <w:tcPr>
            <w:tcW w:w="328"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93" w:type="pct"/>
            <w:shd w:val="clear" w:color="auto" w:fill="auto"/>
            <w:vAlign w:val="center"/>
          </w:tcPr>
          <w:p>
            <w:pPr>
              <w:pStyle w:val="100"/>
              <w:bidi w:val="0"/>
            </w:pPr>
            <w:r>
              <w:t>氨氮</w:t>
            </w:r>
          </w:p>
        </w:tc>
        <w:tc>
          <w:tcPr>
            <w:tcW w:w="771" w:type="pct"/>
            <w:shd w:val="clear" w:color="auto" w:fill="auto"/>
            <w:vAlign w:val="center"/>
          </w:tcPr>
          <w:p>
            <w:pPr>
              <w:pStyle w:val="100"/>
              <w:bidi w:val="0"/>
            </w:pPr>
            <w:r>
              <w:rPr>
                <w:rFonts w:hint="eastAsia"/>
              </w:rPr>
              <w:t>4</w:t>
            </w: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22" w:type="pct"/>
            <w:shd w:val="clear" w:color="auto" w:fill="auto"/>
            <w:vAlign w:val="center"/>
          </w:tcPr>
          <w:p>
            <w:pPr>
              <w:pStyle w:val="100"/>
              <w:bidi w:val="0"/>
            </w:pPr>
            <w:r>
              <w:t>4</w:t>
            </w:r>
          </w:p>
        </w:tc>
        <w:tc>
          <w:tcPr>
            <w:tcW w:w="453"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2" w:type="pct"/>
            <w:vMerge w:val="continue"/>
            <w:shd w:val="clear" w:color="auto" w:fill="auto"/>
            <w:vAlign w:val="center"/>
          </w:tcPr>
          <w:p>
            <w:pPr>
              <w:pStyle w:val="100"/>
              <w:bidi w:val="0"/>
            </w:pPr>
          </w:p>
        </w:tc>
        <w:tc>
          <w:tcPr>
            <w:tcW w:w="433" w:type="pct"/>
            <w:vMerge w:val="continue"/>
            <w:shd w:val="clear" w:color="auto" w:fill="auto"/>
            <w:vAlign w:val="center"/>
          </w:tcPr>
          <w:p>
            <w:pPr>
              <w:pStyle w:val="100"/>
              <w:bidi w:val="0"/>
            </w:pPr>
          </w:p>
        </w:tc>
        <w:tc>
          <w:tcPr>
            <w:tcW w:w="552" w:type="pct"/>
            <w:vMerge w:val="continue"/>
            <w:shd w:val="clear" w:color="auto" w:fill="auto"/>
            <w:vAlign w:val="center"/>
          </w:tcPr>
          <w:p>
            <w:pPr>
              <w:pStyle w:val="100"/>
              <w:bidi w:val="0"/>
            </w:pPr>
          </w:p>
        </w:tc>
        <w:tc>
          <w:tcPr>
            <w:tcW w:w="328"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93" w:type="pct"/>
            <w:shd w:val="clear" w:color="auto" w:fill="auto"/>
            <w:vAlign w:val="center"/>
          </w:tcPr>
          <w:p>
            <w:pPr>
              <w:pStyle w:val="100"/>
              <w:bidi w:val="0"/>
            </w:pPr>
            <w:r>
              <w:t>总氮</w:t>
            </w:r>
          </w:p>
        </w:tc>
        <w:tc>
          <w:tcPr>
            <w:tcW w:w="771" w:type="pct"/>
            <w:shd w:val="clear" w:color="auto" w:fill="auto"/>
            <w:vAlign w:val="center"/>
          </w:tcPr>
          <w:p>
            <w:pPr>
              <w:pStyle w:val="100"/>
              <w:bidi w:val="0"/>
            </w:pPr>
            <w:r>
              <w:rPr>
                <w:rFonts w:hint="eastAsia"/>
              </w:rPr>
              <w:t>7</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22" w:type="pct"/>
            <w:shd w:val="clear" w:color="auto" w:fill="auto"/>
            <w:vAlign w:val="center"/>
          </w:tcPr>
          <w:p>
            <w:pPr>
              <w:pStyle w:val="100"/>
              <w:bidi w:val="0"/>
            </w:pPr>
            <w:r>
              <w:t>5</w:t>
            </w:r>
          </w:p>
        </w:tc>
        <w:tc>
          <w:tcPr>
            <w:tcW w:w="453"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2" w:type="pct"/>
            <w:vMerge w:val="continue"/>
            <w:shd w:val="clear" w:color="auto" w:fill="auto"/>
            <w:vAlign w:val="center"/>
          </w:tcPr>
          <w:p>
            <w:pPr>
              <w:pStyle w:val="100"/>
              <w:bidi w:val="0"/>
            </w:pPr>
          </w:p>
        </w:tc>
        <w:tc>
          <w:tcPr>
            <w:tcW w:w="433" w:type="pct"/>
            <w:vMerge w:val="continue"/>
            <w:shd w:val="clear" w:color="auto" w:fill="auto"/>
            <w:vAlign w:val="center"/>
          </w:tcPr>
          <w:p>
            <w:pPr>
              <w:pStyle w:val="100"/>
              <w:bidi w:val="0"/>
            </w:pPr>
          </w:p>
        </w:tc>
        <w:tc>
          <w:tcPr>
            <w:tcW w:w="552" w:type="pct"/>
            <w:vMerge w:val="continue"/>
            <w:shd w:val="clear" w:color="auto" w:fill="auto"/>
            <w:vAlign w:val="center"/>
          </w:tcPr>
          <w:p>
            <w:pPr>
              <w:pStyle w:val="100"/>
              <w:bidi w:val="0"/>
            </w:pPr>
          </w:p>
        </w:tc>
        <w:tc>
          <w:tcPr>
            <w:tcW w:w="328"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10" w:type="pct"/>
            <w:vMerge w:val="continue"/>
            <w:shd w:val="clear" w:color="auto" w:fill="auto"/>
            <w:vAlign w:val="center"/>
          </w:tcPr>
          <w:p>
            <w:pPr>
              <w:pStyle w:val="100"/>
              <w:bidi w:val="0"/>
            </w:pPr>
          </w:p>
        </w:tc>
        <w:tc>
          <w:tcPr>
            <w:tcW w:w="493" w:type="pct"/>
            <w:shd w:val="clear" w:color="auto" w:fill="auto"/>
            <w:vAlign w:val="center"/>
          </w:tcPr>
          <w:p>
            <w:pPr>
              <w:pStyle w:val="100"/>
              <w:bidi w:val="0"/>
            </w:pPr>
            <w:r>
              <w:t>总磷</w:t>
            </w:r>
          </w:p>
        </w:tc>
        <w:tc>
          <w:tcPr>
            <w:tcW w:w="771" w:type="pct"/>
            <w:shd w:val="clear" w:color="auto" w:fill="auto"/>
            <w:vAlign w:val="center"/>
          </w:tcPr>
          <w:p>
            <w:pPr>
              <w:pStyle w:val="100"/>
              <w:bidi w:val="0"/>
            </w:pPr>
            <w:r>
              <w:rPr>
                <w:rFonts w:hint="eastAsia"/>
              </w:rPr>
              <w:t>8</w:t>
            </w:r>
          </w:p>
        </w:tc>
      </w:tr>
    </w:tbl>
    <w:p>
      <w:pPr>
        <w:pStyle w:val="273"/>
        <w:bidi w:val="0"/>
        <w:rPr>
          <w:rFonts w:hint="eastAsia"/>
        </w:rPr>
      </w:pPr>
      <w:r>
        <w:rPr>
          <w:rFonts w:hint="eastAsia"/>
        </w:rPr>
        <w:t>表7-1</w:t>
      </w:r>
      <w:r>
        <w:rPr>
          <w:rFonts w:hint="eastAsia"/>
          <w:lang w:val="en-US" w:eastAsia="zh-CN"/>
        </w:rPr>
        <w:t>8</w:t>
      </w:r>
      <w:r>
        <w:rPr>
          <w:rFonts w:hint="eastAsia"/>
        </w:rPr>
        <w:t xml:space="preserve">  废水污染物排放执行标准表</w:t>
      </w:r>
    </w:p>
    <w:tbl>
      <w:tblPr>
        <w:tblStyle w:val="87"/>
        <w:tblW w:w="49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111"/>
        <w:gridCol w:w="1040"/>
        <w:gridCol w:w="3069"/>
        <w:gridCol w:w="2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483" w:type="pct"/>
            <w:vMerge w:val="restart"/>
            <w:shd w:val="clear" w:color="auto" w:fill="auto"/>
            <w:vAlign w:val="center"/>
          </w:tcPr>
          <w:p>
            <w:pPr>
              <w:pStyle w:val="100"/>
              <w:bidi w:val="0"/>
            </w:pPr>
            <w:r>
              <w:t>序号</w:t>
            </w:r>
          </w:p>
        </w:tc>
        <w:tc>
          <w:tcPr>
            <w:tcW w:w="656" w:type="pct"/>
            <w:vMerge w:val="restart"/>
            <w:shd w:val="clear" w:color="auto" w:fill="auto"/>
            <w:vAlign w:val="center"/>
          </w:tcPr>
          <w:p>
            <w:pPr>
              <w:pStyle w:val="100"/>
              <w:bidi w:val="0"/>
            </w:pPr>
            <w:r>
              <w:t>排放口编号</w:t>
            </w:r>
          </w:p>
        </w:tc>
        <w:tc>
          <w:tcPr>
            <w:tcW w:w="614" w:type="pct"/>
            <w:vMerge w:val="restart"/>
            <w:shd w:val="clear" w:color="auto" w:fill="auto"/>
            <w:vAlign w:val="center"/>
          </w:tcPr>
          <w:p>
            <w:pPr>
              <w:pStyle w:val="100"/>
              <w:bidi w:val="0"/>
            </w:pPr>
            <w:r>
              <w:t>污染物种类</w:t>
            </w:r>
          </w:p>
        </w:tc>
        <w:tc>
          <w:tcPr>
            <w:tcW w:w="3245" w:type="pct"/>
            <w:gridSpan w:val="2"/>
            <w:shd w:val="clear" w:color="auto" w:fill="auto"/>
            <w:vAlign w:val="center"/>
          </w:tcPr>
          <w:p>
            <w:pPr>
              <w:pStyle w:val="100"/>
              <w:bidi w:val="0"/>
            </w:pPr>
            <w: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83" w:type="pct"/>
            <w:vMerge w:val="continue"/>
            <w:shd w:val="clear" w:color="auto" w:fill="auto"/>
            <w:vAlign w:val="center"/>
          </w:tcPr>
          <w:p>
            <w:pPr>
              <w:pStyle w:val="100"/>
              <w:bidi w:val="0"/>
            </w:pPr>
          </w:p>
        </w:tc>
        <w:tc>
          <w:tcPr>
            <w:tcW w:w="656" w:type="pct"/>
            <w:vMerge w:val="continue"/>
            <w:shd w:val="clear" w:color="auto" w:fill="auto"/>
            <w:vAlign w:val="center"/>
          </w:tcPr>
          <w:p>
            <w:pPr>
              <w:pStyle w:val="100"/>
              <w:bidi w:val="0"/>
            </w:pPr>
          </w:p>
        </w:tc>
        <w:tc>
          <w:tcPr>
            <w:tcW w:w="614" w:type="pct"/>
            <w:vMerge w:val="continue"/>
            <w:shd w:val="clear" w:color="auto" w:fill="auto"/>
            <w:vAlign w:val="center"/>
          </w:tcPr>
          <w:p>
            <w:pPr>
              <w:pStyle w:val="100"/>
              <w:bidi w:val="0"/>
            </w:pPr>
          </w:p>
        </w:tc>
        <w:tc>
          <w:tcPr>
            <w:tcW w:w="1812" w:type="pct"/>
            <w:shd w:val="clear" w:color="auto" w:fill="auto"/>
            <w:vAlign w:val="center"/>
          </w:tcPr>
          <w:p>
            <w:pPr>
              <w:pStyle w:val="100"/>
              <w:bidi w:val="0"/>
            </w:pPr>
            <w:r>
              <w:t>名称</w:t>
            </w:r>
          </w:p>
        </w:tc>
        <w:tc>
          <w:tcPr>
            <w:tcW w:w="1432" w:type="pct"/>
            <w:shd w:val="clear" w:color="auto" w:fill="auto"/>
            <w:vAlign w:val="center"/>
          </w:tcPr>
          <w:p>
            <w:pPr>
              <w:pStyle w:val="100"/>
              <w:bidi w:val="0"/>
            </w:pPr>
            <w: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83" w:type="pct"/>
            <w:shd w:val="clear" w:color="auto" w:fill="auto"/>
            <w:vAlign w:val="center"/>
          </w:tcPr>
          <w:p>
            <w:pPr>
              <w:pStyle w:val="100"/>
              <w:bidi w:val="0"/>
            </w:pPr>
            <w:r>
              <w:t>1</w:t>
            </w:r>
          </w:p>
        </w:tc>
        <w:tc>
          <w:tcPr>
            <w:tcW w:w="656" w:type="pct"/>
            <w:vMerge w:val="restart"/>
            <w:shd w:val="clear" w:color="auto" w:fill="auto"/>
            <w:vAlign w:val="center"/>
          </w:tcPr>
          <w:p>
            <w:pPr>
              <w:pStyle w:val="100"/>
              <w:bidi w:val="0"/>
            </w:pPr>
            <w:r>
              <w:t>生活污水排放口</w:t>
            </w:r>
          </w:p>
        </w:tc>
        <w:tc>
          <w:tcPr>
            <w:tcW w:w="614" w:type="pct"/>
            <w:shd w:val="clear" w:color="auto" w:fill="auto"/>
            <w:vAlign w:val="center"/>
          </w:tcPr>
          <w:p>
            <w:pPr>
              <w:pStyle w:val="100"/>
              <w:bidi w:val="0"/>
            </w:pPr>
            <w:r>
              <w:t>COD</w:t>
            </w:r>
          </w:p>
        </w:tc>
        <w:tc>
          <w:tcPr>
            <w:tcW w:w="1812" w:type="pct"/>
            <w:vMerge w:val="restart"/>
            <w:shd w:val="clear" w:color="auto" w:fill="auto"/>
            <w:vAlign w:val="center"/>
          </w:tcPr>
          <w:p>
            <w:pPr>
              <w:pStyle w:val="100"/>
              <w:bidi w:val="0"/>
            </w:pPr>
            <w:r>
              <w:rPr>
                <w:rFonts w:hint="eastAsia"/>
              </w:rPr>
              <w:t>《污水综合排放标准》（GB8978-1996）三级标准</w:t>
            </w:r>
          </w:p>
        </w:tc>
        <w:tc>
          <w:tcPr>
            <w:tcW w:w="1432" w:type="pct"/>
            <w:shd w:val="clear" w:color="auto" w:fill="auto"/>
            <w:vAlign w:val="center"/>
          </w:tcPr>
          <w:p>
            <w:pPr>
              <w:pStyle w:val="100"/>
              <w:bidi w:val="0"/>
            </w:pPr>
            <w:r>
              <w:rPr>
                <w:rFonts w:hint="eastAsia"/>
              </w:rPr>
              <w:t>5</w:t>
            </w:r>
            <w: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83" w:type="pct"/>
            <w:shd w:val="clear" w:color="auto" w:fill="auto"/>
            <w:vAlign w:val="center"/>
          </w:tcPr>
          <w:p>
            <w:pPr>
              <w:pStyle w:val="100"/>
              <w:bidi w:val="0"/>
            </w:pPr>
            <w:r>
              <w:t>2</w:t>
            </w:r>
          </w:p>
        </w:tc>
        <w:tc>
          <w:tcPr>
            <w:tcW w:w="656" w:type="pct"/>
            <w:vMerge w:val="continue"/>
            <w:shd w:val="clear" w:color="auto" w:fill="auto"/>
            <w:vAlign w:val="center"/>
          </w:tcPr>
          <w:p>
            <w:pPr>
              <w:pStyle w:val="100"/>
              <w:bidi w:val="0"/>
            </w:pPr>
          </w:p>
        </w:tc>
        <w:tc>
          <w:tcPr>
            <w:tcW w:w="614" w:type="pct"/>
            <w:shd w:val="clear" w:color="auto" w:fill="auto"/>
            <w:vAlign w:val="center"/>
          </w:tcPr>
          <w:p>
            <w:pPr>
              <w:pStyle w:val="100"/>
              <w:bidi w:val="0"/>
            </w:pPr>
            <w:r>
              <w:t>SS</w:t>
            </w:r>
          </w:p>
        </w:tc>
        <w:tc>
          <w:tcPr>
            <w:tcW w:w="1812" w:type="pct"/>
            <w:vMerge w:val="continue"/>
            <w:shd w:val="clear" w:color="auto" w:fill="auto"/>
            <w:vAlign w:val="center"/>
          </w:tcPr>
          <w:p>
            <w:pPr>
              <w:pStyle w:val="100"/>
              <w:bidi w:val="0"/>
            </w:pPr>
          </w:p>
        </w:tc>
        <w:tc>
          <w:tcPr>
            <w:tcW w:w="1432" w:type="pct"/>
            <w:shd w:val="clear" w:color="auto" w:fill="auto"/>
            <w:vAlign w:val="center"/>
          </w:tcPr>
          <w:p>
            <w:pPr>
              <w:pStyle w:val="100"/>
              <w:bidi w:val="0"/>
            </w:pPr>
            <w:r>
              <w:rPr>
                <w:rFonts w:hint="eastAsia"/>
              </w:rPr>
              <w:t>4</w:t>
            </w:r>
            <w: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83" w:type="pct"/>
            <w:shd w:val="clear" w:color="auto" w:fill="auto"/>
            <w:vAlign w:val="center"/>
          </w:tcPr>
          <w:p>
            <w:pPr>
              <w:pStyle w:val="100"/>
              <w:bidi w:val="0"/>
            </w:pPr>
            <w:r>
              <w:t>3</w:t>
            </w:r>
          </w:p>
        </w:tc>
        <w:tc>
          <w:tcPr>
            <w:tcW w:w="656" w:type="pct"/>
            <w:vMerge w:val="continue"/>
            <w:shd w:val="clear" w:color="auto" w:fill="auto"/>
            <w:vAlign w:val="center"/>
          </w:tcPr>
          <w:p>
            <w:pPr>
              <w:pStyle w:val="100"/>
              <w:bidi w:val="0"/>
            </w:pPr>
          </w:p>
        </w:tc>
        <w:tc>
          <w:tcPr>
            <w:tcW w:w="614" w:type="pct"/>
            <w:shd w:val="clear" w:color="auto" w:fill="auto"/>
            <w:vAlign w:val="center"/>
          </w:tcPr>
          <w:p>
            <w:pPr>
              <w:pStyle w:val="100"/>
              <w:bidi w:val="0"/>
            </w:pPr>
            <w:r>
              <w:t>氨氮</w:t>
            </w:r>
          </w:p>
        </w:tc>
        <w:tc>
          <w:tcPr>
            <w:tcW w:w="1812" w:type="pct"/>
            <w:vMerge w:val="restart"/>
            <w:shd w:val="clear" w:color="auto" w:fill="auto"/>
            <w:vAlign w:val="center"/>
          </w:tcPr>
          <w:p>
            <w:pPr>
              <w:pStyle w:val="100"/>
              <w:bidi w:val="0"/>
            </w:pPr>
            <w:r>
              <w:rPr>
                <w:rFonts w:hint="eastAsia"/>
              </w:rPr>
              <w:t>《污水排入城市下水道水质标准》（GB/T31962-2015）表1中B级标准</w:t>
            </w:r>
          </w:p>
        </w:tc>
        <w:tc>
          <w:tcPr>
            <w:tcW w:w="1432" w:type="pct"/>
            <w:shd w:val="clear" w:color="auto" w:fill="auto"/>
            <w:vAlign w:val="center"/>
          </w:tcPr>
          <w:p>
            <w:pPr>
              <w:pStyle w:val="100"/>
              <w:bidi w:val="0"/>
            </w:pPr>
            <w:r>
              <w:rPr>
                <w:rFonts w:hint="eastAsia"/>
              </w:rPr>
              <w:t>4</w:t>
            </w: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83" w:type="pct"/>
            <w:shd w:val="clear" w:color="auto" w:fill="auto"/>
            <w:vAlign w:val="center"/>
          </w:tcPr>
          <w:p>
            <w:pPr>
              <w:pStyle w:val="100"/>
              <w:bidi w:val="0"/>
            </w:pPr>
            <w:r>
              <w:t>4</w:t>
            </w:r>
          </w:p>
        </w:tc>
        <w:tc>
          <w:tcPr>
            <w:tcW w:w="656" w:type="pct"/>
            <w:vMerge w:val="continue"/>
            <w:shd w:val="clear" w:color="auto" w:fill="auto"/>
            <w:vAlign w:val="center"/>
          </w:tcPr>
          <w:p>
            <w:pPr>
              <w:pStyle w:val="100"/>
              <w:bidi w:val="0"/>
            </w:pPr>
          </w:p>
        </w:tc>
        <w:tc>
          <w:tcPr>
            <w:tcW w:w="614" w:type="pct"/>
            <w:shd w:val="clear" w:color="auto" w:fill="auto"/>
            <w:vAlign w:val="center"/>
          </w:tcPr>
          <w:p>
            <w:pPr>
              <w:pStyle w:val="100"/>
              <w:bidi w:val="0"/>
            </w:pPr>
            <w:r>
              <w:t>总氮</w:t>
            </w:r>
          </w:p>
        </w:tc>
        <w:tc>
          <w:tcPr>
            <w:tcW w:w="1812" w:type="pct"/>
            <w:vMerge w:val="continue"/>
            <w:shd w:val="clear" w:color="auto" w:fill="auto"/>
            <w:vAlign w:val="center"/>
          </w:tcPr>
          <w:p>
            <w:pPr>
              <w:pStyle w:val="100"/>
              <w:bidi w:val="0"/>
            </w:pPr>
          </w:p>
        </w:tc>
        <w:tc>
          <w:tcPr>
            <w:tcW w:w="1432" w:type="pct"/>
            <w:shd w:val="clear" w:color="auto" w:fill="auto"/>
            <w:vAlign w:val="center"/>
          </w:tcPr>
          <w:p>
            <w:pPr>
              <w:pStyle w:val="100"/>
              <w:bidi w:val="0"/>
            </w:pPr>
            <w:r>
              <w:rPr>
                <w:rFonts w:hint="eastAsia"/>
              </w:rPr>
              <w:t>7</w:t>
            </w: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83" w:type="pct"/>
            <w:shd w:val="clear" w:color="auto" w:fill="auto"/>
            <w:vAlign w:val="center"/>
          </w:tcPr>
          <w:p>
            <w:pPr>
              <w:pStyle w:val="100"/>
              <w:bidi w:val="0"/>
            </w:pPr>
            <w:r>
              <w:t>5</w:t>
            </w:r>
          </w:p>
        </w:tc>
        <w:tc>
          <w:tcPr>
            <w:tcW w:w="656" w:type="pct"/>
            <w:vMerge w:val="continue"/>
            <w:shd w:val="clear" w:color="auto" w:fill="auto"/>
            <w:vAlign w:val="center"/>
          </w:tcPr>
          <w:p>
            <w:pPr>
              <w:pStyle w:val="100"/>
              <w:bidi w:val="0"/>
            </w:pPr>
          </w:p>
        </w:tc>
        <w:tc>
          <w:tcPr>
            <w:tcW w:w="614" w:type="pct"/>
            <w:shd w:val="clear" w:color="auto" w:fill="auto"/>
            <w:vAlign w:val="center"/>
          </w:tcPr>
          <w:p>
            <w:pPr>
              <w:pStyle w:val="100"/>
              <w:bidi w:val="0"/>
            </w:pPr>
            <w:r>
              <w:t>总磷</w:t>
            </w:r>
          </w:p>
        </w:tc>
        <w:tc>
          <w:tcPr>
            <w:tcW w:w="1812" w:type="pct"/>
            <w:vMerge w:val="continue"/>
            <w:shd w:val="clear" w:color="auto" w:fill="auto"/>
            <w:vAlign w:val="center"/>
          </w:tcPr>
          <w:p>
            <w:pPr>
              <w:pStyle w:val="100"/>
              <w:bidi w:val="0"/>
            </w:pPr>
          </w:p>
        </w:tc>
        <w:tc>
          <w:tcPr>
            <w:tcW w:w="1432" w:type="pct"/>
            <w:shd w:val="clear" w:color="auto" w:fill="auto"/>
            <w:vAlign w:val="center"/>
          </w:tcPr>
          <w:p>
            <w:pPr>
              <w:pStyle w:val="100"/>
              <w:bidi w:val="0"/>
            </w:pPr>
            <w:r>
              <w:rPr>
                <w:rFonts w:hint="eastAsia"/>
              </w:rPr>
              <w:t>8</w:t>
            </w:r>
          </w:p>
        </w:tc>
      </w:tr>
    </w:tbl>
    <w:p>
      <w:pPr>
        <w:pStyle w:val="273"/>
        <w:bidi w:val="0"/>
        <w:rPr>
          <w:rFonts w:hint="eastAsia"/>
        </w:rPr>
      </w:pPr>
      <w:r>
        <w:rPr>
          <w:rFonts w:hint="eastAsia"/>
        </w:rPr>
        <w:t>表7-1</w:t>
      </w:r>
      <w:r>
        <w:rPr>
          <w:rFonts w:hint="eastAsia"/>
          <w:lang w:val="en-US" w:eastAsia="zh-CN"/>
        </w:rPr>
        <w:t>9</w:t>
      </w:r>
      <w:r>
        <w:rPr>
          <w:rFonts w:hint="eastAsia"/>
        </w:rPr>
        <w:t xml:space="preserve"> 废水污染物排放信息表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177"/>
        <w:gridCol w:w="902"/>
        <w:gridCol w:w="1097"/>
        <w:gridCol w:w="1219"/>
        <w:gridCol w:w="1219"/>
        <w:gridCol w:w="1211"/>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87" w:type="pct"/>
            <w:shd w:val="clear" w:color="auto" w:fill="auto"/>
            <w:noWrap/>
            <w:vAlign w:val="center"/>
          </w:tcPr>
          <w:p>
            <w:pPr>
              <w:pStyle w:val="100"/>
              <w:bidi w:val="0"/>
            </w:pPr>
            <w:r>
              <w:rPr>
                <w:rFonts w:hint="eastAsia"/>
              </w:rPr>
              <w:t>序号</w:t>
            </w:r>
          </w:p>
        </w:tc>
        <w:tc>
          <w:tcPr>
            <w:tcW w:w="690" w:type="pct"/>
            <w:shd w:val="clear" w:color="auto" w:fill="auto"/>
            <w:noWrap/>
            <w:vAlign w:val="center"/>
          </w:tcPr>
          <w:p>
            <w:pPr>
              <w:pStyle w:val="100"/>
              <w:bidi w:val="0"/>
            </w:pPr>
            <w:r>
              <w:rPr>
                <w:rFonts w:hint="eastAsia"/>
              </w:rPr>
              <w:t>排放口编号</w:t>
            </w:r>
          </w:p>
        </w:tc>
        <w:tc>
          <w:tcPr>
            <w:tcW w:w="528" w:type="pct"/>
            <w:shd w:val="clear" w:color="auto" w:fill="auto"/>
            <w:noWrap/>
            <w:vAlign w:val="center"/>
          </w:tcPr>
          <w:p>
            <w:pPr>
              <w:pStyle w:val="100"/>
              <w:bidi w:val="0"/>
            </w:pPr>
            <w:r>
              <w:rPr>
                <w:rFonts w:hint="eastAsia"/>
              </w:rPr>
              <w:t>污染物种类</w:t>
            </w:r>
          </w:p>
        </w:tc>
        <w:tc>
          <w:tcPr>
            <w:tcW w:w="643" w:type="pct"/>
            <w:shd w:val="clear" w:color="auto" w:fill="auto"/>
            <w:noWrap/>
            <w:vAlign w:val="center"/>
          </w:tcPr>
          <w:p>
            <w:pPr>
              <w:pStyle w:val="100"/>
              <w:bidi w:val="0"/>
            </w:pPr>
            <w:r>
              <w:t>排放浓度mg/L</w:t>
            </w:r>
          </w:p>
        </w:tc>
        <w:tc>
          <w:tcPr>
            <w:tcW w:w="714" w:type="pct"/>
            <w:shd w:val="clear" w:color="auto" w:fill="auto"/>
            <w:noWrap/>
            <w:vAlign w:val="center"/>
          </w:tcPr>
          <w:p>
            <w:pPr>
              <w:pStyle w:val="100"/>
              <w:bidi w:val="0"/>
            </w:pPr>
            <w:r>
              <w:t>新增日排放量t/d</w:t>
            </w:r>
          </w:p>
        </w:tc>
        <w:tc>
          <w:tcPr>
            <w:tcW w:w="714" w:type="pct"/>
            <w:shd w:val="clear" w:color="auto" w:fill="auto"/>
            <w:noWrap/>
            <w:vAlign w:val="center"/>
          </w:tcPr>
          <w:p>
            <w:pPr>
              <w:pStyle w:val="100"/>
              <w:bidi w:val="0"/>
            </w:pPr>
            <w:r>
              <w:t>全厂日排放量t/d</w:t>
            </w:r>
          </w:p>
        </w:tc>
        <w:tc>
          <w:tcPr>
            <w:tcW w:w="710" w:type="pct"/>
            <w:shd w:val="clear" w:color="auto" w:fill="auto"/>
            <w:noWrap/>
            <w:vAlign w:val="center"/>
          </w:tcPr>
          <w:p>
            <w:pPr>
              <w:pStyle w:val="100"/>
              <w:bidi w:val="0"/>
            </w:pPr>
            <w:r>
              <w:t>新增年排放量t/a</w:t>
            </w:r>
          </w:p>
        </w:tc>
        <w:tc>
          <w:tcPr>
            <w:tcW w:w="710" w:type="pct"/>
            <w:shd w:val="clear" w:color="auto" w:fill="auto"/>
            <w:noWrap/>
            <w:vAlign w:val="center"/>
          </w:tcPr>
          <w:p>
            <w:pPr>
              <w:pStyle w:val="100"/>
              <w:bidi w:val="0"/>
            </w:pPr>
            <w:r>
              <w:t>全厂年排放量t/a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87" w:type="pct"/>
            <w:shd w:val="clear" w:color="auto" w:fill="auto"/>
            <w:vAlign w:val="center"/>
          </w:tcPr>
          <w:p>
            <w:pPr>
              <w:pStyle w:val="100"/>
              <w:bidi w:val="0"/>
            </w:pPr>
            <w:r>
              <w:t>1</w:t>
            </w:r>
          </w:p>
        </w:tc>
        <w:tc>
          <w:tcPr>
            <w:tcW w:w="690" w:type="pct"/>
            <w:vMerge w:val="restart"/>
            <w:shd w:val="clear" w:color="auto" w:fill="auto"/>
            <w:noWrap/>
            <w:vAlign w:val="center"/>
          </w:tcPr>
          <w:p>
            <w:pPr>
              <w:pStyle w:val="100"/>
              <w:bidi w:val="0"/>
            </w:pPr>
            <w:r>
              <w:rPr>
                <w:rFonts w:hint="eastAsia"/>
              </w:rPr>
              <w:t>生活污水排放口</w:t>
            </w:r>
          </w:p>
        </w:tc>
        <w:tc>
          <w:tcPr>
            <w:tcW w:w="528" w:type="pct"/>
            <w:shd w:val="clear" w:color="auto" w:fill="auto"/>
            <w:vAlign w:val="center"/>
          </w:tcPr>
          <w:p>
            <w:pPr>
              <w:pStyle w:val="100"/>
              <w:bidi w:val="0"/>
            </w:pPr>
            <w:r>
              <w:t>COD</w:t>
            </w:r>
          </w:p>
        </w:tc>
        <w:tc>
          <w:tcPr>
            <w:tcW w:w="643" w:type="pct"/>
            <w:shd w:val="clear" w:color="auto" w:fill="auto"/>
            <w:vAlign w:val="center"/>
          </w:tcPr>
          <w:p>
            <w:pPr>
              <w:pStyle w:val="100"/>
              <w:bidi w:val="0"/>
            </w:pPr>
            <w:r>
              <w:rPr>
                <w:rFonts w:hint="eastAsia"/>
                <w:lang w:val="en-US" w:eastAsia="zh-CN"/>
              </w:rPr>
              <w:t>3</w:t>
            </w:r>
            <w:r>
              <w:t>50</w:t>
            </w:r>
          </w:p>
        </w:tc>
        <w:tc>
          <w:tcPr>
            <w:tcW w:w="714" w:type="pct"/>
            <w:shd w:val="clear" w:color="auto" w:fill="auto"/>
            <w:noWrap/>
            <w:vAlign w:val="center"/>
          </w:tcPr>
          <w:p>
            <w:pPr>
              <w:pStyle w:val="100"/>
              <w:bidi w:val="0"/>
              <w:rPr>
                <w:rFonts w:hint="default"/>
                <w:lang w:val="en-US" w:eastAsia="zh-CN"/>
              </w:rPr>
            </w:pPr>
            <w:r>
              <w:rPr>
                <w:rFonts w:hint="eastAsia"/>
              </w:rPr>
              <w:t>0.</w:t>
            </w:r>
            <w:r>
              <w:rPr>
                <w:rFonts w:hint="eastAsia"/>
                <w:lang w:val="en-US" w:eastAsia="zh-CN"/>
              </w:rPr>
              <w:t>0005</w:t>
            </w:r>
          </w:p>
        </w:tc>
        <w:tc>
          <w:tcPr>
            <w:tcW w:w="714" w:type="pct"/>
            <w:shd w:val="clear" w:color="auto" w:fill="auto"/>
            <w:noWrap/>
            <w:vAlign w:val="center"/>
          </w:tcPr>
          <w:p>
            <w:pPr>
              <w:pStyle w:val="100"/>
              <w:bidi w:val="0"/>
            </w:pPr>
            <w:r>
              <w:rPr>
                <w:rFonts w:hint="eastAsia"/>
              </w:rPr>
              <w:t>0.001</w:t>
            </w:r>
          </w:p>
        </w:tc>
        <w:tc>
          <w:tcPr>
            <w:tcW w:w="710" w:type="pct"/>
            <w:shd w:val="clear" w:color="auto" w:fill="auto"/>
            <w:noWrap/>
            <w:vAlign w:val="center"/>
          </w:tcPr>
          <w:p>
            <w:pPr>
              <w:pStyle w:val="100"/>
              <w:bidi w:val="0"/>
              <w:rPr>
                <w:rFonts w:hint="default"/>
                <w:lang w:val="en-US" w:eastAsia="zh-CN"/>
              </w:rPr>
            </w:pPr>
            <w:r>
              <w:rPr>
                <w:rFonts w:hint="eastAsia"/>
                <w:lang w:val="en-US" w:eastAsia="zh-CN"/>
              </w:rPr>
              <w:t>0.151</w:t>
            </w:r>
          </w:p>
        </w:tc>
        <w:tc>
          <w:tcPr>
            <w:tcW w:w="710" w:type="pct"/>
            <w:shd w:val="clear" w:color="auto" w:fill="auto"/>
            <w:noWrap/>
            <w:vAlign w:val="center"/>
          </w:tcPr>
          <w:p>
            <w:pPr>
              <w:pStyle w:val="100"/>
              <w:bidi w:val="0"/>
            </w:pPr>
            <w:r>
              <w:rPr>
                <w:rFonts w:hint="eastAsia"/>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87" w:type="pct"/>
            <w:shd w:val="clear" w:color="auto" w:fill="auto"/>
            <w:vAlign w:val="center"/>
          </w:tcPr>
          <w:p>
            <w:pPr>
              <w:pStyle w:val="100"/>
              <w:bidi w:val="0"/>
            </w:pPr>
            <w:r>
              <w:t>2</w:t>
            </w:r>
          </w:p>
        </w:tc>
        <w:tc>
          <w:tcPr>
            <w:tcW w:w="690" w:type="pct"/>
            <w:vMerge w:val="continue"/>
            <w:shd w:val="clear" w:color="auto" w:fill="auto"/>
            <w:vAlign w:val="center"/>
          </w:tcPr>
          <w:p>
            <w:pPr>
              <w:pStyle w:val="100"/>
              <w:bidi w:val="0"/>
            </w:pPr>
          </w:p>
        </w:tc>
        <w:tc>
          <w:tcPr>
            <w:tcW w:w="528" w:type="pct"/>
            <w:shd w:val="clear" w:color="auto" w:fill="auto"/>
            <w:vAlign w:val="center"/>
          </w:tcPr>
          <w:p>
            <w:pPr>
              <w:pStyle w:val="100"/>
              <w:bidi w:val="0"/>
            </w:pPr>
            <w:r>
              <w:t>SS</w:t>
            </w:r>
          </w:p>
        </w:tc>
        <w:tc>
          <w:tcPr>
            <w:tcW w:w="643" w:type="pct"/>
            <w:shd w:val="clear" w:color="auto" w:fill="auto"/>
            <w:vAlign w:val="center"/>
          </w:tcPr>
          <w:p>
            <w:pPr>
              <w:pStyle w:val="100"/>
              <w:bidi w:val="0"/>
            </w:pPr>
            <w:r>
              <w:rPr>
                <w:rFonts w:hint="eastAsia"/>
                <w:lang w:val="en-US" w:eastAsia="zh-CN"/>
              </w:rPr>
              <w:t>22</w:t>
            </w:r>
            <w:r>
              <w:t>0</w:t>
            </w:r>
          </w:p>
        </w:tc>
        <w:tc>
          <w:tcPr>
            <w:tcW w:w="714" w:type="pct"/>
            <w:shd w:val="clear" w:color="auto" w:fill="auto"/>
            <w:noWrap/>
            <w:vAlign w:val="center"/>
          </w:tcPr>
          <w:p>
            <w:pPr>
              <w:pStyle w:val="100"/>
              <w:bidi w:val="0"/>
              <w:rPr>
                <w:rFonts w:hint="default"/>
                <w:lang w:val="en-US" w:eastAsia="zh-CN"/>
              </w:rPr>
            </w:pPr>
            <w:r>
              <w:rPr>
                <w:rFonts w:hint="eastAsia"/>
              </w:rPr>
              <w:t>0.0</w:t>
            </w:r>
            <w:r>
              <w:rPr>
                <w:rFonts w:hint="eastAsia"/>
                <w:lang w:val="en-US" w:eastAsia="zh-CN"/>
              </w:rPr>
              <w:t>0032</w:t>
            </w:r>
          </w:p>
        </w:tc>
        <w:tc>
          <w:tcPr>
            <w:tcW w:w="714" w:type="pct"/>
            <w:shd w:val="clear" w:color="auto" w:fill="auto"/>
            <w:noWrap/>
            <w:vAlign w:val="center"/>
          </w:tcPr>
          <w:p>
            <w:pPr>
              <w:pStyle w:val="100"/>
              <w:bidi w:val="0"/>
            </w:pPr>
            <w:r>
              <w:rPr>
                <w:rFonts w:hint="eastAsia"/>
              </w:rPr>
              <w:t>0.00063</w:t>
            </w:r>
          </w:p>
        </w:tc>
        <w:tc>
          <w:tcPr>
            <w:tcW w:w="710" w:type="pct"/>
            <w:shd w:val="clear" w:color="auto" w:fill="auto"/>
            <w:noWrap/>
            <w:vAlign w:val="center"/>
          </w:tcPr>
          <w:p>
            <w:pPr>
              <w:pStyle w:val="100"/>
              <w:bidi w:val="0"/>
              <w:rPr>
                <w:rFonts w:hint="default"/>
                <w:lang w:val="en-US" w:eastAsia="zh-CN"/>
              </w:rPr>
            </w:pPr>
            <w:r>
              <w:rPr>
                <w:rFonts w:hint="eastAsia"/>
                <w:lang w:val="en-US" w:eastAsia="zh-CN"/>
              </w:rPr>
              <w:t>0.096</w:t>
            </w:r>
          </w:p>
        </w:tc>
        <w:tc>
          <w:tcPr>
            <w:tcW w:w="710" w:type="pct"/>
            <w:shd w:val="clear" w:color="auto" w:fill="auto"/>
            <w:noWrap/>
            <w:vAlign w:val="center"/>
          </w:tcPr>
          <w:p>
            <w:pPr>
              <w:pStyle w:val="100"/>
              <w:bidi w:val="0"/>
            </w:pPr>
            <w:r>
              <w:rPr>
                <w:rFonts w:hint="eastAsia"/>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87" w:type="pct"/>
            <w:shd w:val="clear" w:color="auto" w:fill="auto"/>
            <w:vAlign w:val="center"/>
          </w:tcPr>
          <w:p>
            <w:pPr>
              <w:pStyle w:val="100"/>
              <w:bidi w:val="0"/>
            </w:pPr>
            <w:r>
              <w:t>3</w:t>
            </w:r>
          </w:p>
        </w:tc>
        <w:tc>
          <w:tcPr>
            <w:tcW w:w="690" w:type="pct"/>
            <w:vMerge w:val="continue"/>
            <w:shd w:val="clear" w:color="auto" w:fill="auto"/>
            <w:vAlign w:val="center"/>
          </w:tcPr>
          <w:p>
            <w:pPr>
              <w:pStyle w:val="100"/>
              <w:bidi w:val="0"/>
            </w:pPr>
          </w:p>
        </w:tc>
        <w:tc>
          <w:tcPr>
            <w:tcW w:w="528" w:type="pct"/>
            <w:shd w:val="clear" w:color="auto" w:fill="auto"/>
            <w:vAlign w:val="center"/>
          </w:tcPr>
          <w:p>
            <w:pPr>
              <w:pStyle w:val="100"/>
              <w:bidi w:val="0"/>
            </w:pPr>
            <w:r>
              <w:rPr>
                <w:rFonts w:hint="eastAsia"/>
              </w:rPr>
              <w:t>氨氮</w:t>
            </w:r>
          </w:p>
        </w:tc>
        <w:tc>
          <w:tcPr>
            <w:tcW w:w="643" w:type="pct"/>
            <w:shd w:val="clear" w:color="auto" w:fill="auto"/>
            <w:vAlign w:val="center"/>
          </w:tcPr>
          <w:p>
            <w:pPr>
              <w:pStyle w:val="100"/>
              <w:bidi w:val="0"/>
              <w:rPr>
                <w:rFonts w:hint="default"/>
                <w:lang w:val="en-US" w:eastAsia="zh-CN"/>
              </w:rPr>
            </w:pPr>
            <w:r>
              <w:rPr>
                <w:rFonts w:hint="eastAsia"/>
                <w:lang w:val="en-US" w:eastAsia="zh-CN"/>
              </w:rPr>
              <w:t>30</w:t>
            </w:r>
          </w:p>
        </w:tc>
        <w:tc>
          <w:tcPr>
            <w:tcW w:w="714" w:type="pct"/>
            <w:shd w:val="clear" w:color="auto" w:fill="auto"/>
            <w:noWrap/>
            <w:vAlign w:val="center"/>
          </w:tcPr>
          <w:p>
            <w:pPr>
              <w:pStyle w:val="100"/>
              <w:bidi w:val="0"/>
              <w:rPr>
                <w:rFonts w:hint="default"/>
                <w:lang w:val="en-US" w:eastAsia="zh-CN"/>
              </w:rPr>
            </w:pPr>
            <w:r>
              <w:rPr>
                <w:rFonts w:hint="eastAsia"/>
              </w:rPr>
              <w:t>0.00</w:t>
            </w:r>
            <w:r>
              <w:rPr>
                <w:rFonts w:hint="eastAsia"/>
                <w:lang w:val="en-US" w:eastAsia="zh-CN"/>
              </w:rPr>
              <w:t>0044</w:t>
            </w:r>
          </w:p>
        </w:tc>
        <w:tc>
          <w:tcPr>
            <w:tcW w:w="714" w:type="pct"/>
            <w:shd w:val="clear" w:color="auto" w:fill="auto"/>
            <w:noWrap/>
            <w:vAlign w:val="center"/>
          </w:tcPr>
          <w:p>
            <w:pPr>
              <w:pStyle w:val="100"/>
              <w:bidi w:val="0"/>
            </w:pPr>
            <w:r>
              <w:rPr>
                <w:rFonts w:hint="eastAsia"/>
              </w:rPr>
              <w:t>0.00009</w:t>
            </w:r>
          </w:p>
        </w:tc>
        <w:tc>
          <w:tcPr>
            <w:tcW w:w="710" w:type="pct"/>
            <w:shd w:val="clear" w:color="auto" w:fill="auto"/>
            <w:noWrap/>
            <w:vAlign w:val="center"/>
          </w:tcPr>
          <w:p>
            <w:pPr>
              <w:pStyle w:val="100"/>
              <w:bidi w:val="0"/>
              <w:rPr>
                <w:rFonts w:hint="default"/>
                <w:lang w:val="en-US" w:eastAsia="zh-CN"/>
              </w:rPr>
            </w:pPr>
            <w:r>
              <w:rPr>
                <w:rFonts w:hint="eastAsia"/>
                <w:lang w:val="en-US" w:eastAsia="zh-CN"/>
              </w:rPr>
              <w:t>0.0132</w:t>
            </w:r>
          </w:p>
        </w:tc>
        <w:tc>
          <w:tcPr>
            <w:tcW w:w="710" w:type="pct"/>
            <w:shd w:val="clear" w:color="auto" w:fill="auto"/>
            <w:noWrap/>
            <w:vAlign w:val="center"/>
          </w:tcPr>
          <w:p>
            <w:pPr>
              <w:pStyle w:val="100"/>
              <w:bidi w:val="0"/>
            </w:pPr>
            <w:r>
              <w:rPr>
                <w:rFonts w:hint="eastAsia"/>
              </w:rPr>
              <w:t>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87" w:type="pct"/>
            <w:shd w:val="clear" w:color="auto" w:fill="auto"/>
            <w:vAlign w:val="center"/>
          </w:tcPr>
          <w:p>
            <w:pPr>
              <w:pStyle w:val="100"/>
              <w:bidi w:val="0"/>
            </w:pPr>
            <w:r>
              <w:rPr>
                <w:rFonts w:hint="eastAsia"/>
              </w:rPr>
              <w:t>4</w:t>
            </w:r>
          </w:p>
        </w:tc>
        <w:tc>
          <w:tcPr>
            <w:tcW w:w="690" w:type="pct"/>
            <w:vMerge w:val="continue"/>
            <w:shd w:val="clear" w:color="auto" w:fill="auto"/>
            <w:vAlign w:val="center"/>
          </w:tcPr>
          <w:p>
            <w:pPr>
              <w:pStyle w:val="100"/>
              <w:bidi w:val="0"/>
            </w:pPr>
          </w:p>
        </w:tc>
        <w:tc>
          <w:tcPr>
            <w:tcW w:w="528" w:type="pct"/>
            <w:shd w:val="clear" w:color="auto" w:fill="auto"/>
            <w:vAlign w:val="center"/>
          </w:tcPr>
          <w:p>
            <w:pPr>
              <w:pStyle w:val="100"/>
              <w:bidi w:val="0"/>
            </w:pPr>
            <w:r>
              <w:rPr>
                <w:rFonts w:hint="eastAsia"/>
              </w:rPr>
              <w:t>总氮</w:t>
            </w:r>
          </w:p>
        </w:tc>
        <w:tc>
          <w:tcPr>
            <w:tcW w:w="643" w:type="pct"/>
            <w:shd w:val="clear" w:color="auto" w:fill="auto"/>
            <w:vAlign w:val="center"/>
          </w:tcPr>
          <w:p>
            <w:pPr>
              <w:pStyle w:val="100"/>
              <w:bidi w:val="0"/>
              <w:rPr>
                <w:rFonts w:hint="default"/>
                <w:lang w:val="en-US" w:eastAsia="zh-CN"/>
              </w:rPr>
            </w:pPr>
            <w:r>
              <w:rPr>
                <w:rFonts w:hint="eastAsia"/>
                <w:lang w:val="en-US" w:eastAsia="zh-CN"/>
              </w:rPr>
              <w:t>40</w:t>
            </w:r>
          </w:p>
        </w:tc>
        <w:tc>
          <w:tcPr>
            <w:tcW w:w="714" w:type="pct"/>
            <w:shd w:val="clear" w:color="auto" w:fill="auto"/>
            <w:noWrap/>
            <w:vAlign w:val="center"/>
          </w:tcPr>
          <w:p>
            <w:pPr>
              <w:pStyle w:val="100"/>
              <w:bidi w:val="0"/>
              <w:rPr>
                <w:rFonts w:hint="default"/>
                <w:lang w:val="en-US" w:eastAsia="zh-CN"/>
              </w:rPr>
            </w:pPr>
            <w:r>
              <w:rPr>
                <w:rFonts w:hint="eastAsia"/>
                <w:lang w:val="en-US" w:eastAsia="zh-CN"/>
              </w:rPr>
              <w:t>0.000057</w:t>
            </w:r>
          </w:p>
        </w:tc>
        <w:tc>
          <w:tcPr>
            <w:tcW w:w="714" w:type="pct"/>
            <w:shd w:val="clear" w:color="auto" w:fill="auto"/>
            <w:noWrap/>
            <w:vAlign w:val="center"/>
          </w:tcPr>
          <w:p>
            <w:pPr>
              <w:pStyle w:val="100"/>
              <w:bidi w:val="0"/>
            </w:pPr>
            <w:r>
              <w:rPr>
                <w:rFonts w:hint="eastAsia"/>
              </w:rPr>
              <w:t>0.00011</w:t>
            </w:r>
          </w:p>
        </w:tc>
        <w:tc>
          <w:tcPr>
            <w:tcW w:w="710" w:type="pct"/>
            <w:shd w:val="clear" w:color="auto" w:fill="auto"/>
            <w:noWrap/>
            <w:vAlign w:val="center"/>
          </w:tcPr>
          <w:p>
            <w:pPr>
              <w:pStyle w:val="100"/>
              <w:bidi w:val="0"/>
              <w:rPr>
                <w:rFonts w:hint="default"/>
                <w:lang w:val="en-US" w:eastAsia="zh-CN"/>
              </w:rPr>
            </w:pPr>
            <w:r>
              <w:rPr>
                <w:rFonts w:hint="eastAsia"/>
                <w:lang w:val="en-US" w:eastAsia="zh-CN"/>
              </w:rPr>
              <w:t>0.017</w:t>
            </w:r>
          </w:p>
        </w:tc>
        <w:tc>
          <w:tcPr>
            <w:tcW w:w="710" w:type="pct"/>
            <w:shd w:val="clear" w:color="auto" w:fill="auto"/>
            <w:noWrap/>
            <w:vAlign w:val="center"/>
          </w:tcPr>
          <w:p>
            <w:pPr>
              <w:pStyle w:val="100"/>
              <w:bidi w:val="0"/>
            </w:pPr>
            <w:r>
              <w:rPr>
                <w:rFonts w:hint="eastAsia"/>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7" w:type="pct"/>
            <w:shd w:val="clear" w:color="auto" w:fill="auto"/>
            <w:vAlign w:val="center"/>
          </w:tcPr>
          <w:p>
            <w:pPr>
              <w:pStyle w:val="100"/>
              <w:bidi w:val="0"/>
            </w:pPr>
            <w:r>
              <w:rPr>
                <w:rFonts w:hint="eastAsia"/>
              </w:rPr>
              <w:t>5</w:t>
            </w:r>
          </w:p>
        </w:tc>
        <w:tc>
          <w:tcPr>
            <w:tcW w:w="690" w:type="pct"/>
            <w:vMerge w:val="continue"/>
            <w:shd w:val="clear" w:color="auto" w:fill="auto"/>
            <w:vAlign w:val="center"/>
          </w:tcPr>
          <w:p>
            <w:pPr>
              <w:pStyle w:val="100"/>
              <w:bidi w:val="0"/>
            </w:pPr>
          </w:p>
        </w:tc>
        <w:tc>
          <w:tcPr>
            <w:tcW w:w="528" w:type="pct"/>
            <w:shd w:val="clear" w:color="auto" w:fill="auto"/>
            <w:vAlign w:val="center"/>
          </w:tcPr>
          <w:p>
            <w:pPr>
              <w:pStyle w:val="100"/>
              <w:bidi w:val="0"/>
            </w:pPr>
            <w:r>
              <w:rPr>
                <w:rFonts w:hint="eastAsia"/>
              </w:rPr>
              <w:t>总磷</w:t>
            </w:r>
          </w:p>
        </w:tc>
        <w:tc>
          <w:tcPr>
            <w:tcW w:w="643" w:type="pct"/>
            <w:shd w:val="clear" w:color="auto" w:fill="auto"/>
            <w:vAlign w:val="center"/>
          </w:tcPr>
          <w:p>
            <w:pPr>
              <w:pStyle w:val="100"/>
              <w:bidi w:val="0"/>
              <w:rPr>
                <w:rFonts w:hint="eastAsia"/>
                <w:lang w:val="en-US" w:eastAsia="zh-CN"/>
              </w:rPr>
            </w:pPr>
            <w:r>
              <w:rPr>
                <w:rFonts w:hint="eastAsia"/>
                <w:lang w:val="en-US" w:eastAsia="zh-CN"/>
              </w:rPr>
              <w:t>4</w:t>
            </w:r>
          </w:p>
        </w:tc>
        <w:tc>
          <w:tcPr>
            <w:tcW w:w="714" w:type="pct"/>
            <w:shd w:val="clear" w:color="auto" w:fill="auto"/>
            <w:noWrap/>
            <w:vAlign w:val="center"/>
          </w:tcPr>
          <w:p>
            <w:pPr>
              <w:pStyle w:val="100"/>
              <w:bidi w:val="0"/>
              <w:rPr>
                <w:rFonts w:hint="default"/>
                <w:lang w:val="en-US" w:eastAsia="zh-CN"/>
              </w:rPr>
            </w:pPr>
            <w:r>
              <w:rPr>
                <w:rFonts w:hint="eastAsia"/>
                <w:lang w:val="en-US" w:eastAsia="zh-CN"/>
              </w:rPr>
              <w:t>0.0000043</w:t>
            </w:r>
          </w:p>
        </w:tc>
        <w:tc>
          <w:tcPr>
            <w:tcW w:w="714" w:type="pct"/>
            <w:shd w:val="clear" w:color="auto" w:fill="auto"/>
            <w:noWrap/>
            <w:vAlign w:val="center"/>
          </w:tcPr>
          <w:p>
            <w:pPr>
              <w:pStyle w:val="100"/>
              <w:bidi w:val="0"/>
            </w:pPr>
            <w:r>
              <w:rPr>
                <w:rFonts w:hint="eastAsia"/>
              </w:rPr>
              <w:t>0.00001</w:t>
            </w:r>
          </w:p>
        </w:tc>
        <w:tc>
          <w:tcPr>
            <w:tcW w:w="710" w:type="pct"/>
            <w:shd w:val="clear" w:color="auto" w:fill="auto"/>
            <w:noWrap/>
            <w:vAlign w:val="center"/>
          </w:tcPr>
          <w:p>
            <w:pPr>
              <w:pStyle w:val="100"/>
              <w:bidi w:val="0"/>
              <w:rPr>
                <w:rFonts w:hint="default"/>
                <w:lang w:val="en-US" w:eastAsia="zh-CN"/>
              </w:rPr>
            </w:pPr>
            <w:r>
              <w:rPr>
                <w:rFonts w:hint="eastAsia"/>
              </w:rPr>
              <w:t>0.</w:t>
            </w:r>
            <w:r>
              <w:rPr>
                <w:rFonts w:hint="eastAsia"/>
                <w:lang w:val="en-US" w:eastAsia="zh-CN"/>
              </w:rPr>
              <w:t>0013</w:t>
            </w:r>
          </w:p>
        </w:tc>
        <w:tc>
          <w:tcPr>
            <w:tcW w:w="710" w:type="pct"/>
            <w:shd w:val="clear" w:color="auto" w:fill="auto"/>
            <w:noWrap/>
            <w:vAlign w:val="center"/>
          </w:tcPr>
          <w:p>
            <w:pPr>
              <w:pStyle w:val="100"/>
              <w:bidi w:val="0"/>
            </w:pPr>
            <w:r>
              <w:rPr>
                <w:rFonts w:hint="eastAsia"/>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77" w:type="pct"/>
            <w:gridSpan w:val="2"/>
            <w:vMerge w:val="restart"/>
            <w:shd w:val="clear" w:color="auto" w:fill="auto"/>
            <w:noWrap/>
            <w:vAlign w:val="center"/>
          </w:tcPr>
          <w:p>
            <w:pPr>
              <w:pStyle w:val="100"/>
              <w:bidi w:val="0"/>
            </w:pPr>
            <w:r>
              <w:rPr>
                <w:rFonts w:hint="eastAsia"/>
              </w:rPr>
              <w:t>全厂排放口合计</w:t>
            </w:r>
          </w:p>
        </w:tc>
        <w:tc>
          <w:tcPr>
            <w:tcW w:w="2601" w:type="pct"/>
            <w:gridSpan w:val="4"/>
            <w:shd w:val="clear" w:color="auto" w:fill="auto"/>
            <w:noWrap/>
            <w:vAlign w:val="center"/>
          </w:tcPr>
          <w:p>
            <w:pPr>
              <w:pStyle w:val="100"/>
              <w:bidi w:val="0"/>
            </w:pPr>
            <w:r>
              <w:rPr>
                <w:rFonts w:hint="eastAsia"/>
              </w:rPr>
              <w:t>COD</w:t>
            </w:r>
          </w:p>
        </w:tc>
        <w:tc>
          <w:tcPr>
            <w:tcW w:w="710" w:type="pct"/>
            <w:shd w:val="clear" w:color="auto" w:fill="auto"/>
            <w:noWrap/>
            <w:vAlign w:val="center"/>
          </w:tcPr>
          <w:p>
            <w:pPr>
              <w:pStyle w:val="100"/>
              <w:bidi w:val="0"/>
            </w:pPr>
            <w:r>
              <w:rPr>
                <w:rFonts w:hint="eastAsia"/>
              </w:rPr>
              <w:t>16.81</w:t>
            </w:r>
          </w:p>
        </w:tc>
        <w:tc>
          <w:tcPr>
            <w:tcW w:w="710" w:type="pct"/>
            <w:shd w:val="clear" w:color="auto" w:fill="auto"/>
            <w:noWrap/>
            <w:vAlign w:val="center"/>
          </w:tcPr>
          <w:p>
            <w:pPr>
              <w:pStyle w:val="100"/>
              <w:bidi w:val="0"/>
            </w:pPr>
            <w:r>
              <w:rPr>
                <w:rFonts w:hint="eastAsia"/>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77" w:type="pct"/>
            <w:gridSpan w:val="2"/>
            <w:vMerge w:val="continue"/>
            <w:shd w:val="clear" w:color="auto" w:fill="auto"/>
            <w:vAlign w:val="center"/>
          </w:tcPr>
          <w:p>
            <w:pPr>
              <w:pStyle w:val="100"/>
              <w:bidi w:val="0"/>
            </w:pPr>
          </w:p>
        </w:tc>
        <w:tc>
          <w:tcPr>
            <w:tcW w:w="2601" w:type="pct"/>
            <w:gridSpan w:val="4"/>
            <w:shd w:val="clear" w:color="auto" w:fill="auto"/>
            <w:noWrap/>
            <w:vAlign w:val="center"/>
          </w:tcPr>
          <w:p>
            <w:pPr>
              <w:pStyle w:val="100"/>
              <w:bidi w:val="0"/>
            </w:pPr>
            <w:r>
              <w:rPr>
                <w:rFonts w:hint="eastAsia"/>
              </w:rPr>
              <w:t>SS</w:t>
            </w:r>
          </w:p>
        </w:tc>
        <w:tc>
          <w:tcPr>
            <w:tcW w:w="710" w:type="pct"/>
            <w:shd w:val="clear" w:color="auto" w:fill="auto"/>
            <w:noWrap/>
            <w:vAlign w:val="center"/>
          </w:tcPr>
          <w:p>
            <w:pPr>
              <w:pStyle w:val="100"/>
              <w:bidi w:val="0"/>
            </w:pPr>
            <w:r>
              <w:rPr>
                <w:rFonts w:hint="eastAsia"/>
              </w:rPr>
              <w:t>10.56</w:t>
            </w:r>
          </w:p>
        </w:tc>
        <w:tc>
          <w:tcPr>
            <w:tcW w:w="710" w:type="pct"/>
            <w:shd w:val="clear" w:color="auto" w:fill="auto"/>
            <w:noWrap/>
            <w:vAlign w:val="center"/>
          </w:tcPr>
          <w:p>
            <w:pPr>
              <w:pStyle w:val="100"/>
              <w:bidi w:val="0"/>
            </w:pPr>
            <w:r>
              <w:rPr>
                <w:rFonts w:hint="eastAsia"/>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77" w:type="pct"/>
            <w:gridSpan w:val="2"/>
            <w:vMerge w:val="continue"/>
            <w:shd w:val="clear" w:color="auto" w:fill="auto"/>
            <w:vAlign w:val="center"/>
          </w:tcPr>
          <w:p>
            <w:pPr>
              <w:pStyle w:val="100"/>
              <w:bidi w:val="0"/>
            </w:pPr>
          </w:p>
        </w:tc>
        <w:tc>
          <w:tcPr>
            <w:tcW w:w="2601" w:type="pct"/>
            <w:gridSpan w:val="4"/>
            <w:shd w:val="clear" w:color="auto" w:fill="auto"/>
            <w:noWrap/>
            <w:vAlign w:val="center"/>
          </w:tcPr>
          <w:p>
            <w:pPr>
              <w:pStyle w:val="100"/>
              <w:bidi w:val="0"/>
            </w:pPr>
            <w:r>
              <w:rPr>
                <w:rFonts w:hint="eastAsia"/>
              </w:rPr>
              <w:t>氨氮</w:t>
            </w:r>
          </w:p>
        </w:tc>
        <w:tc>
          <w:tcPr>
            <w:tcW w:w="710" w:type="pct"/>
            <w:shd w:val="clear" w:color="auto" w:fill="auto"/>
            <w:noWrap/>
            <w:vAlign w:val="center"/>
          </w:tcPr>
          <w:p>
            <w:pPr>
              <w:pStyle w:val="100"/>
              <w:bidi w:val="0"/>
            </w:pPr>
            <w:r>
              <w:rPr>
                <w:rFonts w:hint="eastAsia"/>
              </w:rPr>
              <w:t>1.44</w:t>
            </w:r>
          </w:p>
        </w:tc>
        <w:tc>
          <w:tcPr>
            <w:tcW w:w="710" w:type="pct"/>
            <w:shd w:val="clear" w:color="auto" w:fill="auto"/>
            <w:noWrap/>
            <w:vAlign w:val="center"/>
          </w:tcPr>
          <w:p>
            <w:pPr>
              <w:pStyle w:val="100"/>
              <w:bidi w:val="0"/>
            </w:pPr>
            <w:r>
              <w:rPr>
                <w:rFonts w:hint="eastAsia"/>
              </w:rPr>
              <w:t>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77" w:type="pct"/>
            <w:gridSpan w:val="2"/>
            <w:vMerge w:val="continue"/>
            <w:shd w:val="clear" w:color="auto" w:fill="auto"/>
            <w:vAlign w:val="center"/>
          </w:tcPr>
          <w:p>
            <w:pPr>
              <w:pStyle w:val="100"/>
              <w:bidi w:val="0"/>
            </w:pPr>
          </w:p>
        </w:tc>
        <w:tc>
          <w:tcPr>
            <w:tcW w:w="2601" w:type="pct"/>
            <w:gridSpan w:val="4"/>
            <w:shd w:val="clear" w:color="auto" w:fill="auto"/>
            <w:noWrap/>
            <w:vAlign w:val="center"/>
          </w:tcPr>
          <w:p>
            <w:pPr>
              <w:pStyle w:val="100"/>
              <w:bidi w:val="0"/>
            </w:pPr>
            <w:r>
              <w:rPr>
                <w:rFonts w:hint="eastAsia"/>
              </w:rPr>
              <w:t>总氮</w:t>
            </w:r>
          </w:p>
        </w:tc>
        <w:tc>
          <w:tcPr>
            <w:tcW w:w="710" w:type="pct"/>
            <w:shd w:val="clear" w:color="auto" w:fill="auto"/>
            <w:noWrap/>
            <w:vAlign w:val="center"/>
          </w:tcPr>
          <w:p>
            <w:pPr>
              <w:pStyle w:val="100"/>
              <w:bidi w:val="0"/>
            </w:pPr>
            <w:r>
              <w:rPr>
                <w:rFonts w:hint="eastAsia"/>
              </w:rPr>
              <w:t>0.192</w:t>
            </w:r>
          </w:p>
        </w:tc>
        <w:tc>
          <w:tcPr>
            <w:tcW w:w="710" w:type="pct"/>
            <w:shd w:val="clear" w:color="auto" w:fill="auto"/>
            <w:noWrap/>
            <w:vAlign w:val="center"/>
          </w:tcPr>
          <w:p>
            <w:pPr>
              <w:pStyle w:val="100"/>
              <w:bidi w:val="0"/>
            </w:pPr>
            <w:r>
              <w:rPr>
                <w:rFonts w:hint="eastAsia"/>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77" w:type="pct"/>
            <w:gridSpan w:val="2"/>
            <w:vMerge w:val="continue"/>
            <w:shd w:val="clear" w:color="auto" w:fill="auto"/>
            <w:vAlign w:val="center"/>
          </w:tcPr>
          <w:p>
            <w:pPr>
              <w:pStyle w:val="100"/>
              <w:bidi w:val="0"/>
            </w:pPr>
          </w:p>
        </w:tc>
        <w:tc>
          <w:tcPr>
            <w:tcW w:w="2601" w:type="pct"/>
            <w:gridSpan w:val="4"/>
            <w:shd w:val="clear" w:color="auto" w:fill="auto"/>
            <w:noWrap/>
            <w:vAlign w:val="center"/>
          </w:tcPr>
          <w:p>
            <w:pPr>
              <w:pStyle w:val="100"/>
              <w:bidi w:val="0"/>
            </w:pPr>
            <w:r>
              <w:rPr>
                <w:rFonts w:hint="eastAsia"/>
              </w:rPr>
              <w:t>总磷</w:t>
            </w:r>
          </w:p>
        </w:tc>
        <w:tc>
          <w:tcPr>
            <w:tcW w:w="710" w:type="pct"/>
            <w:shd w:val="clear" w:color="auto" w:fill="auto"/>
            <w:noWrap/>
            <w:vAlign w:val="center"/>
          </w:tcPr>
          <w:p>
            <w:pPr>
              <w:pStyle w:val="100"/>
              <w:bidi w:val="0"/>
            </w:pPr>
          </w:p>
        </w:tc>
        <w:tc>
          <w:tcPr>
            <w:tcW w:w="710" w:type="pct"/>
            <w:shd w:val="clear" w:color="auto" w:fill="auto"/>
            <w:noWrap/>
            <w:vAlign w:val="center"/>
          </w:tcPr>
          <w:p>
            <w:pPr>
              <w:pStyle w:val="100"/>
              <w:bidi w:val="0"/>
            </w:pPr>
            <w:r>
              <w:rPr>
                <w:rFonts w:hint="eastAsia"/>
              </w:rPr>
              <w:t>0.003</w:t>
            </w:r>
          </w:p>
        </w:tc>
      </w:tr>
    </w:tbl>
    <w:p>
      <w:pPr>
        <w:pStyle w:val="103"/>
      </w:pPr>
    </w:p>
    <w:p>
      <w:pPr>
        <w:pStyle w:val="349"/>
      </w:pPr>
      <w:r>
        <w:rPr>
          <w:rFonts w:hint="eastAsia"/>
        </w:rPr>
        <w:t>环境影响评价自查表</w:t>
      </w:r>
    </w:p>
    <w:p>
      <w:pPr>
        <w:pStyle w:val="273"/>
        <w:bidi w:val="0"/>
        <w:rPr>
          <w:rFonts w:hint="eastAsia"/>
        </w:rPr>
      </w:pPr>
      <w:r>
        <w:rPr>
          <w:rFonts w:hint="eastAsia"/>
        </w:rPr>
        <w:t>表7-</w:t>
      </w:r>
      <w:r>
        <w:rPr>
          <w:rFonts w:hint="eastAsia"/>
          <w:lang w:val="en-US" w:eastAsia="zh-CN"/>
        </w:rPr>
        <w:t>20</w:t>
      </w:r>
      <w:r>
        <w:rPr>
          <w:rFonts w:hint="eastAsia"/>
        </w:rPr>
        <w:t xml:space="preserve"> 地表水环境影响评价自查表</w:t>
      </w:r>
    </w:p>
    <w:tbl>
      <w:tblPr>
        <w:tblStyle w:val="87"/>
        <w:tblW w:w="8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34"/>
        <w:gridCol w:w="1685"/>
        <w:gridCol w:w="346"/>
        <w:gridCol w:w="490"/>
        <w:gridCol w:w="329"/>
        <w:gridCol w:w="1303"/>
        <w:gridCol w:w="1171"/>
        <w:gridCol w:w="164"/>
        <w:gridCol w:w="1260"/>
        <w:gridCol w:w="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1" w:type="dxa"/>
          <w:jc w:val="center"/>
        </w:trPr>
        <w:tc>
          <w:tcPr>
            <w:tcW w:w="1701" w:type="dxa"/>
            <w:gridSpan w:val="2"/>
            <w:shd w:val="clear" w:color="auto" w:fill="auto"/>
            <w:vAlign w:val="center"/>
          </w:tcPr>
          <w:p>
            <w:pPr>
              <w:pStyle w:val="100"/>
              <w:bidi w:val="0"/>
            </w:pPr>
            <w:r>
              <w:t>工作内容</w:t>
            </w:r>
          </w:p>
        </w:tc>
        <w:tc>
          <w:tcPr>
            <w:tcW w:w="6748" w:type="dxa"/>
            <w:gridSpan w:val="8"/>
            <w:shd w:val="clear" w:color="auto" w:fill="auto"/>
            <w:vAlign w:val="center"/>
          </w:tcPr>
          <w:p>
            <w:pPr>
              <w:pStyle w:val="100"/>
              <w:bidi w:val="0"/>
            </w:pPr>
            <w: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restart"/>
            <w:shd w:val="clear" w:color="auto" w:fill="auto"/>
            <w:vAlign w:val="center"/>
          </w:tcPr>
          <w:p>
            <w:pPr>
              <w:pStyle w:val="100"/>
              <w:bidi w:val="0"/>
            </w:pPr>
            <w:r>
              <w:t>影响识别</w:t>
            </w:r>
          </w:p>
        </w:tc>
        <w:tc>
          <w:tcPr>
            <w:tcW w:w="1134" w:type="dxa"/>
            <w:shd w:val="clear" w:color="auto" w:fill="auto"/>
            <w:vAlign w:val="center"/>
          </w:tcPr>
          <w:p>
            <w:pPr>
              <w:pStyle w:val="100"/>
              <w:bidi w:val="0"/>
            </w:pPr>
            <w:r>
              <w:t>影响类型</w:t>
            </w:r>
          </w:p>
        </w:tc>
        <w:tc>
          <w:tcPr>
            <w:tcW w:w="6748" w:type="dxa"/>
            <w:gridSpan w:val="8"/>
            <w:shd w:val="clear" w:color="auto" w:fill="auto"/>
            <w:vAlign w:val="center"/>
          </w:tcPr>
          <w:p>
            <w:pPr>
              <w:pStyle w:val="100"/>
              <w:bidi w:val="0"/>
            </w:pPr>
            <w:r>
              <w:t>水污染影响型☑；水文要素影响型□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水环境保护目标</w:t>
            </w:r>
          </w:p>
        </w:tc>
        <w:tc>
          <w:tcPr>
            <w:tcW w:w="6748" w:type="dxa"/>
            <w:gridSpan w:val="8"/>
            <w:shd w:val="clear" w:color="auto" w:fill="auto"/>
            <w:vAlign w:val="center"/>
          </w:tcPr>
          <w:p>
            <w:pPr>
              <w:pStyle w:val="100"/>
              <w:bidi w:val="0"/>
            </w:pPr>
            <w:r>
              <w:t>饮用水水源保护区□；饮用水取水口□；涉水的自然保护区□；重要湿地☑；重要保护与珍稀水生生物的栖息地□；重要水生生物的自然产卵场及索饵场、越冬场和洄游通道、天然渔场等渔业水体□；涉水的风景名胜区□；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restart"/>
            <w:shd w:val="clear" w:color="auto" w:fill="auto"/>
            <w:vAlign w:val="center"/>
          </w:tcPr>
          <w:p>
            <w:pPr>
              <w:pStyle w:val="100"/>
              <w:bidi w:val="0"/>
            </w:pPr>
            <w:r>
              <w:t>影响途径</w:t>
            </w:r>
          </w:p>
        </w:tc>
        <w:tc>
          <w:tcPr>
            <w:tcW w:w="4153" w:type="dxa"/>
            <w:gridSpan w:val="5"/>
            <w:shd w:val="clear" w:color="auto" w:fill="auto"/>
            <w:vAlign w:val="center"/>
          </w:tcPr>
          <w:p>
            <w:pPr>
              <w:pStyle w:val="100"/>
              <w:bidi w:val="0"/>
            </w:pPr>
            <w:r>
              <w:t>水污染影响型</w:t>
            </w:r>
          </w:p>
        </w:tc>
        <w:tc>
          <w:tcPr>
            <w:tcW w:w="2595" w:type="dxa"/>
            <w:gridSpan w:val="3"/>
            <w:shd w:val="clear" w:color="auto" w:fill="auto"/>
            <w:vAlign w:val="center"/>
          </w:tcPr>
          <w:p>
            <w:pPr>
              <w:pStyle w:val="100"/>
              <w:bidi w:val="0"/>
            </w:pPr>
            <w: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4153" w:type="dxa"/>
            <w:gridSpan w:val="5"/>
            <w:shd w:val="clear" w:color="auto" w:fill="auto"/>
            <w:vAlign w:val="center"/>
          </w:tcPr>
          <w:p>
            <w:pPr>
              <w:pStyle w:val="100"/>
              <w:bidi w:val="0"/>
            </w:pPr>
            <w:r>
              <w:t>直接排放□；间接排放☑；其他□</w:t>
            </w:r>
          </w:p>
        </w:tc>
        <w:tc>
          <w:tcPr>
            <w:tcW w:w="2595" w:type="dxa"/>
            <w:gridSpan w:val="3"/>
            <w:shd w:val="clear" w:color="auto" w:fill="auto"/>
            <w:vAlign w:val="center"/>
          </w:tcPr>
          <w:p>
            <w:pPr>
              <w:pStyle w:val="100"/>
              <w:bidi w:val="0"/>
            </w:pPr>
            <w:r>
              <w:t>水温□；径流□；水域面积□</w:t>
            </w:r>
          </w:p>
        </w:tc>
      </w:tr>
      <w:tr>
        <w:tblPrEx>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影响因子</w:t>
            </w:r>
          </w:p>
        </w:tc>
        <w:tc>
          <w:tcPr>
            <w:tcW w:w="4153" w:type="dxa"/>
            <w:gridSpan w:val="5"/>
            <w:shd w:val="clear" w:color="auto" w:fill="auto"/>
            <w:vAlign w:val="center"/>
          </w:tcPr>
          <w:p>
            <w:pPr>
              <w:pStyle w:val="100"/>
              <w:bidi w:val="0"/>
            </w:pPr>
            <w:r>
              <w:t>持久性污染物□；有毒有害污染物□；非持久性污染物□；pH值□；热污染□；富营养化☑；其他□</w:t>
            </w:r>
          </w:p>
        </w:tc>
        <w:tc>
          <w:tcPr>
            <w:tcW w:w="2595" w:type="dxa"/>
            <w:gridSpan w:val="3"/>
            <w:shd w:val="clear" w:color="auto" w:fill="auto"/>
            <w:vAlign w:val="center"/>
          </w:tcPr>
          <w:p>
            <w:pPr>
              <w:pStyle w:val="100"/>
              <w:bidi w:val="0"/>
            </w:pPr>
            <w:r>
              <w:t>水温□；水位（水深） □；流速□；流量□；其他□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1" w:type="dxa"/>
          <w:jc w:val="center"/>
        </w:trPr>
        <w:tc>
          <w:tcPr>
            <w:tcW w:w="1701" w:type="dxa"/>
            <w:gridSpan w:val="2"/>
            <w:vMerge w:val="restart"/>
            <w:shd w:val="clear" w:color="auto" w:fill="auto"/>
            <w:vAlign w:val="center"/>
          </w:tcPr>
          <w:p>
            <w:pPr>
              <w:pStyle w:val="100"/>
              <w:bidi w:val="0"/>
            </w:pPr>
            <w:r>
              <w:t>评价等级</w:t>
            </w:r>
          </w:p>
        </w:tc>
        <w:tc>
          <w:tcPr>
            <w:tcW w:w="4153" w:type="dxa"/>
            <w:gridSpan w:val="5"/>
            <w:shd w:val="clear" w:color="auto" w:fill="auto"/>
            <w:vAlign w:val="center"/>
          </w:tcPr>
          <w:p>
            <w:pPr>
              <w:pStyle w:val="100"/>
              <w:bidi w:val="0"/>
            </w:pPr>
            <w:r>
              <w:t>水污染影响型</w:t>
            </w:r>
          </w:p>
        </w:tc>
        <w:tc>
          <w:tcPr>
            <w:tcW w:w="2595" w:type="dxa"/>
            <w:gridSpan w:val="3"/>
            <w:shd w:val="clear" w:color="auto" w:fill="auto"/>
            <w:vAlign w:val="center"/>
          </w:tcPr>
          <w:p>
            <w:pPr>
              <w:pStyle w:val="100"/>
              <w:bidi w:val="0"/>
            </w:pPr>
            <w: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1701" w:type="dxa"/>
            <w:gridSpan w:val="2"/>
            <w:vMerge w:val="continue"/>
            <w:shd w:val="clear" w:color="auto" w:fill="auto"/>
            <w:vAlign w:val="center"/>
          </w:tcPr>
          <w:p>
            <w:pPr>
              <w:pStyle w:val="100"/>
              <w:bidi w:val="0"/>
            </w:pPr>
          </w:p>
        </w:tc>
        <w:tc>
          <w:tcPr>
            <w:tcW w:w="4153" w:type="dxa"/>
            <w:gridSpan w:val="5"/>
            <w:shd w:val="clear" w:color="auto" w:fill="auto"/>
            <w:vAlign w:val="center"/>
          </w:tcPr>
          <w:p>
            <w:pPr>
              <w:pStyle w:val="100"/>
              <w:bidi w:val="0"/>
            </w:pPr>
            <w:r>
              <w:t>一级□；二级□；三级A□；三级B☑</w:t>
            </w:r>
          </w:p>
        </w:tc>
        <w:tc>
          <w:tcPr>
            <w:tcW w:w="2595" w:type="dxa"/>
            <w:gridSpan w:val="3"/>
            <w:shd w:val="clear" w:color="auto" w:fill="auto"/>
            <w:vAlign w:val="center"/>
          </w:tcPr>
          <w:p>
            <w:pPr>
              <w:pStyle w:val="100"/>
              <w:bidi w:val="0"/>
            </w:pPr>
            <w:r>
              <w:t>一级□；二级□；三级□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restart"/>
            <w:shd w:val="clear" w:color="auto" w:fill="auto"/>
            <w:vAlign w:val="center"/>
          </w:tcPr>
          <w:p>
            <w:pPr>
              <w:pStyle w:val="100"/>
              <w:bidi w:val="0"/>
            </w:pPr>
            <w:r>
              <w:t>现状调查</w:t>
            </w:r>
          </w:p>
        </w:tc>
        <w:tc>
          <w:tcPr>
            <w:tcW w:w="1134" w:type="dxa"/>
            <w:vMerge w:val="restart"/>
            <w:shd w:val="clear" w:color="auto" w:fill="auto"/>
            <w:vAlign w:val="center"/>
          </w:tcPr>
          <w:p>
            <w:pPr>
              <w:pStyle w:val="100"/>
              <w:bidi w:val="0"/>
            </w:pPr>
            <w:r>
              <w:t>区域污染源</w:t>
            </w:r>
          </w:p>
        </w:tc>
        <w:tc>
          <w:tcPr>
            <w:tcW w:w="4153" w:type="dxa"/>
            <w:gridSpan w:val="5"/>
            <w:shd w:val="clear" w:color="auto" w:fill="auto"/>
            <w:vAlign w:val="center"/>
          </w:tcPr>
          <w:p>
            <w:pPr>
              <w:pStyle w:val="100"/>
              <w:bidi w:val="0"/>
            </w:pPr>
            <w:r>
              <w:t>调查项目</w:t>
            </w:r>
          </w:p>
        </w:tc>
        <w:tc>
          <w:tcPr>
            <w:tcW w:w="2595" w:type="dxa"/>
            <w:gridSpan w:val="3"/>
            <w:shd w:val="clear" w:color="auto" w:fill="auto"/>
            <w:vAlign w:val="center"/>
          </w:tcPr>
          <w:p>
            <w:pPr>
              <w:pStyle w:val="100"/>
              <w:bidi w:val="0"/>
            </w:pPr>
            <w: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2521" w:type="dxa"/>
            <w:gridSpan w:val="3"/>
            <w:shd w:val="clear" w:color="auto" w:fill="auto"/>
            <w:vAlign w:val="center"/>
          </w:tcPr>
          <w:p>
            <w:pPr>
              <w:pStyle w:val="100"/>
              <w:bidi w:val="0"/>
            </w:pPr>
            <w:r>
              <w:t>已建□；在建□；拟建□；其他□</w:t>
            </w:r>
          </w:p>
        </w:tc>
        <w:tc>
          <w:tcPr>
            <w:tcW w:w="1632" w:type="dxa"/>
            <w:gridSpan w:val="2"/>
            <w:shd w:val="clear" w:color="auto" w:fill="auto"/>
            <w:vAlign w:val="center"/>
          </w:tcPr>
          <w:p>
            <w:pPr>
              <w:pStyle w:val="100"/>
              <w:bidi w:val="0"/>
            </w:pPr>
            <w:r>
              <w:t>拟替代的污染源□</w:t>
            </w:r>
          </w:p>
        </w:tc>
        <w:tc>
          <w:tcPr>
            <w:tcW w:w="2595" w:type="dxa"/>
            <w:gridSpan w:val="3"/>
            <w:shd w:val="clear" w:color="auto" w:fill="auto"/>
            <w:vAlign w:val="center"/>
          </w:tcPr>
          <w:p>
            <w:pPr>
              <w:pStyle w:val="100"/>
              <w:bidi w:val="0"/>
            </w:pPr>
            <w:r>
              <w:t>排污许可证□；环评□；环保验收□；既有实测□；现场监测□；入河排放口数据□；其他□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restart"/>
            <w:shd w:val="clear" w:color="auto" w:fill="auto"/>
            <w:vAlign w:val="center"/>
          </w:tcPr>
          <w:p>
            <w:pPr>
              <w:pStyle w:val="100"/>
              <w:bidi w:val="0"/>
            </w:pPr>
            <w:r>
              <w:t>受影响水体水环境质量</w:t>
            </w:r>
          </w:p>
        </w:tc>
        <w:tc>
          <w:tcPr>
            <w:tcW w:w="4153" w:type="dxa"/>
            <w:gridSpan w:val="5"/>
            <w:shd w:val="clear" w:color="auto" w:fill="auto"/>
            <w:vAlign w:val="center"/>
          </w:tcPr>
          <w:p>
            <w:pPr>
              <w:pStyle w:val="100"/>
              <w:bidi w:val="0"/>
            </w:pPr>
            <w:r>
              <w:t>调查时期</w:t>
            </w:r>
          </w:p>
        </w:tc>
        <w:tc>
          <w:tcPr>
            <w:tcW w:w="2595" w:type="dxa"/>
            <w:gridSpan w:val="3"/>
            <w:shd w:val="clear" w:color="auto" w:fill="auto"/>
            <w:vAlign w:val="center"/>
          </w:tcPr>
          <w:p>
            <w:pPr>
              <w:pStyle w:val="100"/>
              <w:bidi w:val="0"/>
            </w:pPr>
            <w: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4153" w:type="dxa"/>
            <w:gridSpan w:val="5"/>
            <w:shd w:val="clear" w:color="auto" w:fill="auto"/>
            <w:vAlign w:val="center"/>
          </w:tcPr>
          <w:p>
            <w:pPr>
              <w:pStyle w:val="100"/>
              <w:bidi w:val="0"/>
            </w:pPr>
            <w:r>
              <w:t>丰水期☑；平水期□；枯水期□；冰封期□</w:t>
            </w:r>
          </w:p>
          <w:p>
            <w:pPr>
              <w:pStyle w:val="100"/>
              <w:bidi w:val="0"/>
            </w:pPr>
            <w:r>
              <w:t>春季□；夏季☑；秋季□；冬季□</w:t>
            </w:r>
          </w:p>
        </w:tc>
        <w:tc>
          <w:tcPr>
            <w:tcW w:w="2595" w:type="dxa"/>
            <w:gridSpan w:val="3"/>
            <w:shd w:val="clear" w:color="auto" w:fill="auto"/>
            <w:vAlign w:val="center"/>
          </w:tcPr>
          <w:p>
            <w:pPr>
              <w:pStyle w:val="100"/>
              <w:bidi w:val="0"/>
            </w:pPr>
            <w:r>
              <w:t>生态环境保护主管部门☑；补充监测 □；其他</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区域水资源开发利用状况</w:t>
            </w:r>
          </w:p>
        </w:tc>
        <w:tc>
          <w:tcPr>
            <w:tcW w:w="6748" w:type="dxa"/>
            <w:gridSpan w:val="8"/>
            <w:shd w:val="clear" w:color="auto" w:fill="auto"/>
            <w:vAlign w:val="center"/>
          </w:tcPr>
          <w:p>
            <w:pPr>
              <w:pStyle w:val="100"/>
              <w:bidi w:val="0"/>
            </w:pPr>
            <w:r>
              <w:t>未开发□；开发量40%以下□；开发量40%以上☑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restart"/>
            <w:shd w:val="clear" w:color="auto" w:fill="auto"/>
            <w:vAlign w:val="center"/>
          </w:tcPr>
          <w:p>
            <w:pPr>
              <w:pStyle w:val="100"/>
              <w:bidi w:val="0"/>
            </w:pPr>
            <w:r>
              <w:t>水文情势调查</w:t>
            </w:r>
          </w:p>
        </w:tc>
        <w:tc>
          <w:tcPr>
            <w:tcW w:w="5488" w:type="dxa"/>
            <w:gridSpan w:val="7"/>
            <w:shd w:val="clear" w:color="auto" w:fill="auto"/>
            <w:vAlign w:val="center"/>
          </w:tcPr>
          <w:p>
            <w:pPr>
              <w:pStyle w:val="100"/>
              <w:bidi w:val="0"/>
            </w:pPr>
            <w:r>
              <w:t>调查时期</w:t>
            </w:r>
          </w:p>
        </w:tc>
        <w:tc>
          <w:tcPr>
            <w:tcW w:w="1260" w:type="dxa"/>
            <w:shd w:val="clear" w:color="auto" w:fill="auto"/>
            <w:vAlign w:val="center"/>
          </w:tcPr>
          <w:p>
            <w:pPr>
              <w:pStyle w:val="100"/>
              <w:bidi w:val="0"/>
            </w:pPr>
            <w: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5488" w:type="dxa"/>
            <w:gridSpan w:val="7"/>
            <w:shd w:val="clear" w:color="auto" w:fill="auto"/>
            <w:vAlign w:val="center"/>
          </w:tcPr>
          <w:p>
            <w:pPr>
              <w:pStyle w:val="100"/>
              <w:bidi w:val="0"/>
            </w:pPr>
            <w:r>
              <w:t>丰水期□；平水期□；枯水期□；冰封期□</w:t>
            </w:r>
          </w:p>
          <w:p>
            <w:pPr>
              <w:pStyle w:val="100"/>
              <w:bidi w:val="0"/>
            </w:pPr>
            <w:r>
              <w:t>春季□；夏季□；秋季□；冬季□</w:t>
            </w:r>
          </w:p>
        </w:tc>
        <w:tc>
          <w:tcPr>
            <w:tcW w:w="1260" w:type="dxa"/>
            <w:shd w:val="clear" w:color="auto" w:fill="auto"/>
            <w:vAlign w:val="center"/>
          </w:tcPr>
          <w:p>
            <w:pPr>
              <w:pStyle w:val="100"/>
              <w:bidi w:val="0"/>
            </w:pPr>
            <w:r>
              <w:t>水行政主管部门☑；补充监测 □；其他□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restart"/>
            <w:shd w:val="clear" w:color="auto" w:fill="auto"/>
            <w:vAlign w:val="center"/>
          </w:tcPr>
          <w:p>
            <w:pPr>
              <w:pStyle w:val="100"/>
              <w:bidi w:val="0"/>
            </w:pPr>
            <w:r>
              <w:t>补充监测</w:t>
            </w:r>
          </w:p>
        </w:tc>
        <w:tc>
          <w:tcPr>
            <w:tcW w:w="2031" w:type="dxa"/>
            <w:gridSpan w:val="2"/>
            <w:shd w:val="clear" w:color="auto" w:fill="auto"/>
            <w:vAlign w:val="center"/>
          </w:tcPr>
          <w:p>
            <w:pPr>
              <w:pStyle w:val="100"/>
              <w:bidi w:val="0"/>
            </w:pPr>
            <w:r>
              <w:t>监测时期</w:t>
            </w:r>
          </w:p>
        </w:tc>
        <w:tc>
          <w:tcPr>
            <w:tcW w:w="2122" w:type="dxa"/>
            <w:gridSpan w:val="3"/>
            <w:shd w:val="clear" w:color="auto" w:fill="auto"/>
            <w:vAlign w:val="center"/>
          </w:tcPr>
          <w:p>
            <w:pPr>
              <w:pStyle w:val="100"/>
              <w:bidi w:val="0"/>
            </w:pPr>
            <w:r>
              <w:t>监测因子</w:t>
            </w:r>
          </w:p>
        </w:tc>
        <w:tc>
          <w:tcPr>
            <w:tcW w:w="2595" w:type="dxa"/>
            <w:gridSpan w:val="3"/>
            <w:shd w:val="clear" w:color="auto" w:fill="auto"/>
            <w:vAlign w:val="center"/>
          </w:tcPr>
          <w:p>
            <w:pPr>
              <w:pStyle w:val="100"/>
              <w:bidi w:val="0"/>
            </w:pPr>
            <w:r>
              <w:t>监测断面或点位个数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2031" w:type="dxa"/>
            <w:gridSpan w:val="2"/>
            <w:shd w:val="clear" w:color="auto" w:fill="auto"/>
            <w:vAlign w:val="center"/>
          </w:tcPr>
          <w:p>
            <w:pPr>
              <w:pStyle w:val="100"/>
              <w:bidi w:val="0"/>
            </w:pPr>
            <w:r>
              <w:t>丰水期□；平水期□；枯水期□；冰封期□</w:t>
            </w:r>
          </w:p>
          <w:p>
            <w:pPr>
              <w:pStyle w:val="100"/>
              <w:bidi w:val="0"/>
            </w:pPr>
            <w:r>
              <w:t>春季□；夏季□；秋季□；冬季□</w:t>
            </w:r>
          </w:p>
        </w:tc>
        <w:tc>
          <w:tcPr>
            <w:tcW w:w="2122" w:type="dxa"/>
            <w:gridSpan w:val="3"/>
            <w:shd w:val="clear" w:color="auto" w:fill="auto"/>
            <w:vAlign w:val="center"/>
          </w:tcPr>
          <w:p>
            <w:pPr>
              <w:pStyle w:val="100"/>
              <w:bidi w:val="0"/>
            </w:pPr>
            <w:r>
              <w:t>（/）</w:t>
            </w:r>
          </w:p>
        </w:tc>
        <w:tc>
          <w:tcPr>
            <w:tcW w:w="2595" w:type="dxa"/>
            <w:gridSpan w:val="3"/>
            <w:shd w:val="clear" w:color="auto" w:fill="auto"/>
            <w:vAlign w:val="center"/>
          </w:tcPr>
          <w:p>
            <w:pPr>
              <w:pStyle w:val="100"/>
              <w:bidi w:val="0"/>
            </w:pPr>
            <w:r>
              <w:t>监测断面或点位个数</w:t>
            </w:r>
          </w:p>
          <w:p>
            <w:pPr>
              <w:pStyle w:val="100"/>
              <w:bidi w:val="0"/>
            </w:pPr>
            <w:r>
              <w:t>（  / ）个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restart"/>
            <w:shd w:val="clear" w:color="auto" w:fill="auto"/>
            <w:vAlign w:val="center"/>
          </w:tcPr>
          <w:p>
            <w:pPr>
              <w:pStyle w:val="100"/>
              <w:bidi w:val="0"/>
            </w:pPr>
            <w:r>
              <w:t>现状评价</w:t>
            </w:r>
          </w:p>
        </w:tc>
        <w:tc>
          <w:tcPr>
            <w:tcW w:w="1134" w:type="dxa"/>
            <w:shd w:val="clear" w:color="auto" w:fill="auto"/>
            <w:vAlign w:val="center"/>
          </w:tcPr>
          <w:p>
            <w:pPr>
              <w:pStyle w:val="100"/>
              <w:bidi w:val="0"/>
            </w:pPr>
            <w:r>
              <w:t>评价范围</w:t>
            </w:r>
          </w:p>
        </w:tc>
        <w:tc>
          <w:tcPr>
            <w:tcW w:w="6748" w:type="dxa"/>
            <w:gridSpan w:val="8"/>
            <w:shd w:val="clear" w:color="auto" w:fill="auto"/>
            <w:vAlign w:val="center"/>
          </w:tcPr>
          <w:p>
            <w:pPr>
              <w:pStyle w:val="100"/>
              <w:bidi w:val="0"/>
            </w:pPr>
            <w:r>
              <w:t>河流：长度（ 1442 ）km；湖库、河口及近岸海域：面积（ 2427.8 ）km2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评价因子</w:t>
            </w:r>
          </w:p>
        </w:tc>
        <w:tc>
          <w:tcPr>
            <w:tcW w:w="6748" w:type="dxa"/>
            <w:gridSpan w:val="8"/>
            <w:shd w:val="clear" w:color="auto" w:fill="auto"/>
            <w:vAlign w:val="center"/>
          </w:tcPr>
          <w:p>
            <w:pPr>
              <w:pStyle w:val="100"/>
              <w:bidi w:val="0"/>
            </w:pPr>
            <w:r>
              <w:t>（COD、SS、氨氮、总氮、总磷）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评价标准</w:t>
            </w:r>
          </w:p>
        </w:tc>
        <w:tc>
          <w:tcPr>
            <w:tcW w:w="6748" w:type="dxa"/>
            <w:gridSpan w:val="8"/>
            <w:shd w:val="clear" w:color="auto" w:fill="auto"/>
            <w:vAlign w:val="center"/>
          </w:tcPr>
          <w:p>
            <w:pPr>
              <w:pStyle w:val="100"/>
              <w:bidi w:val="0"/>
            </w:pPr>
            <w:r>
              <w:t>河流、湖库、河口：Ⅰ类□；Ⅱ类□；Ⅲ类□；Ⅳ类☑；Ⅴ类□</w:t>
            </w:r>
          </w:p>
          <w:p>
            <w:pPr>
              <w:pStyle w:val="100"/>
              <w:bidi w:val="0"/>
            </w:pPr>
            <w:r>
              <w:t>近岸海域：第一类□；第二类□；第三类□；第四类□</w:t>
            </w:r>
          </w:p>
          <w:p>
            <w:pPr>
              <w:pStyle w:val="100"/>
              <w:bidi w:val="0"/>
            </w:pPr>
            <w:r>
              <w:t>规划年评价标准（ / ）</w:t>
            </w:r>
          </w:p>
        </w:tc>
      </w:tr>
      <w:tr>
        <w:tblPrEx>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评价时期</w:t>
            </w:r>
          </w:p>
        </w:tc>
        <w:tc>
          <w:tcPr>
            <w:tcW w:w="6748" w:type="dxa"/>
            <w:gridSpan w:val="8"/>
            <w:shd w:val="clear" w:color="auto" w:fill="auto"/>
            <w:vAlign w:val="center"/>
          </w:tcPr>
          <w:p>
            <w:pPr>
              <w:pStyle w:val="100"/>
              <w:bidi w:val="0"/>
            </w:pPr>
            <w:r>
              <w:t>丰水期□；平水期□；枯水期□；冰封期□</w:t>
            </w:r>
          </w:p>
          <w:p>
            <w:pPr>
              <w:pStyle w:val="100"/>
              <w:bidi w:val="0"/>
            </w:pPr>
            <w:r>
              <w:t>春季□；夏季□；秋季□；冬季□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评价结论</w:t>
            </w:r>
          </w:p>
        </w:tc>
        <w:tc>
          <w:tcPr>
            <w:tcW w:w="5488" w:type="dxa"/>
            <w:gridSpan w:val="7"/>
            <w:shd w:val="clear" w:color="auto" w:fill="auto"/>
            <w:vAlign w:val="center"/>
          </w:tcPr>
          <w:p>
            <w:pPr>
              <w:pStyle w:val="100"/>
              <w:bidi w:val="0"/>
            </w:pPr>
            <w:r>
              <w:t>水环境功能区或达标状况水功能区、近岸海域环境功能区水质达标状况□；达标☑；不达标□</w:t>
            </w:r>
          </w:p>
          <w:p>
            <w:pPr>
              <w:pStyle w:val="100"/>
              <w:bidi w:val="0"/>
            </w:pPr>
            <w:r>
              <w:t>水环境控制单元或断面水质达标状况□；达标☑；不达标□</w:t>
            </w:r>
          </w:p>
          <w:p>
            <w:pPr>
              <w:pStyle w:val="100"/>
              <w:bidi w:val="0"/>
            </w:pPr>
            <w:r>
              <w:t>水环境保护目标质量状况□；达标☑；不达标□</w:t>
            </w:r>
          </w:p>
          <w:p>
            <w:pPr>
              <w:pStyle w:val="100"/>
              <w:bidi w:val="0"/>
            </w:pPr>
            <w:r>
              <w:t>对照断面、控制断面等代表性断面的水质状况□；达标☑；不达标□</w:t>
            </w:r>
          </w:p>
          <w:p>
            <w:pPr>
              <w:pStyle w:val="100"/>
              <w:bidi w:val="0"/>
            </w:pPr>
            <w:r>
              <w:t>底泥污染评价□</w:t>
            </w:r>
          </w:p>
          <w:p>
            <w:pPr>
              <w:pStyle w:val="100"/>
              <w:bidi w:val="0"/>
            </w:pPr>
            <w:r>
              <w:t>水资源与开发利用程度及其水文情势评价□</w:t>
            </w:r>
          </w:p>
          <w:p>
            <w:pPr>
              <w:pStyle w:val="100"/>
              <w:bidi w:val="0"/>
            </w:pPr>
            <w:r>
              <w:t>水环境质量回顾评□</w:t>
            </w:r>
          </w:p>
          <w:p>
            <w:pPr>
              <w:pStyle w:val="100"/>
              <w:bidi w:val="0"/>
            </w:pPr>
            <w:r>
              <w:t>流域（区域）水资源（包括水能资源）与开发利用总体状况、生态流量管理要求与现状满足程度、建设项目占用水域空间的水流状况与河湖演变状况□</w:t>
            </w:r>
          </w:p>
        </w:tc>
        <w:tc>
          <w:tcPr>
            <w:tcW w:w="1260" w:type="dxa"/>
            <w:shd w:val="clear" w:color="auto" w:fill="auto"/>
            <w:vAlign w:val="center"/>
          </w:tcPr>
          <w:p>
            <w:pPr>
              <w:pStyle w:val="100"/>
              <w:bidi w:val="0"/>
            </w:pPr>
            <w:r>
              <w:t>达标区☑</w:t>
            </w:r>
          </w:p>
          <w:p>
            <w:pPr>
              <w:pStyle w:val="100"/>
              <w:bidi w:val="0"/>
            </w:pPr>
            <w: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restart"/>
            <w:shd w:val="clear" w:color="auto" w:fill="auto"/>
            <w:vAlign w:val="center"/>
          </w:tcPr>
          <w:p>
            <w:pPr>
              <w:pStyle w:val="100"/>
              <w:bidi w:val="0"/>
            </w:pPr>
            <w:r>
              <w:t>影响预测</w:t>
            </w:r>
          </w:p>
        </w:tc>
        <w:tc>
          <w:tcPr>
            <w:tcW w:w="1134" w:type="dxa"/>
            <w:shd w:val="clear" w:color="auto" w:fill="auto"/>
            <w:vAlign w:val="center"/>
          </w:tcPr>
          <w:p>
            <w:pPr>
              <w:pStyle w:val="100"/>
              <w:bidi w:val="0"/>
            </w:pPr>
            <w:r>
              <w:t>预测范围</w:t>
            </w:r>
          </w:p>
        </w:tc>
        <w:tc>
          <w:tcPr>
            <w:tcW w:w="6748" w:type="dxa"/>
            <w:gridSpan w:val="8"/>
            <w:shd w:val="clear" w:color="auto" w:fill="auto"/>
            <w:vAlign w:val="center"/>
          </w:tcPr>
          <w:p>
            <w:pPr>
              <w:pStyle w:val="100"/>
              <w:bidi w:val="0"/>
            </w:pPr>
            <w:r>
              <w:t>河流：长度（ 1442 ）km；湖库、河口及近岸海域：面积（ 2427.8 ）km2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预测因子</w:t>
            </w:r>
          </w:p>
        </w:tc>
        <w:tc>
          <w:tcPr>
            <w:tcW w:w="6748" w:type="dxa"/>
            <w:gridSpan w:val="8"/>
            <w:shd w:val="clear" w:color="auto" w:fill="auto"/>
            <w:vAlign w:val="center"/>
          </w:tcPr>
          <w:p>
            <w:pPr>
              <w:pStyle w:val="100"/>
              <w:bidi w:val="0"/>
            </w:pPr>
            <w:r>
              <w:t>（COD、SS、氨氮、总氮、总磷）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预测时期</w:t>
            </w:r>
          </w:p>
        </w:tc>
        <w:tc>
          <w:tcPr>
            <w:tcW w:w="6748" w:type="dxa"/>
            <w:gridSpan w:val="8"/>
            <w:shd w:val="clear" w:color="auto" w:fill="auto"/>
            <w:vAlign w:val="center"/>
          </w:tcPr>
          <w:p>
            <w:pPr>
              <w:pStyle w:val="100"/>
              <w:bidi w:val="0"/>
            </w:pPr>
            <w:r>
              <w:t>丰水期□；平水期□；枯水期□；冰封期□</w:t>
            </w:r>
          </w:p>
          <w:p>
            <w:pPr>
              <w:pStyle w:val="100"/>
              <w:bidi w:val="0"/>
            </w:pPr>
            <w:r>
              <w:t>春季□；夏季□；秋季□；冬季□</w:t>
            </w:r>
          </w:p>
          <w:p>
            <w:pPr>
              <w:pStyle w:val="100"/>
              <w:bidi w:val="0"/>
            </w:pPr>
            <w:r>
              <w:t>设计水文条件□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预测情景</w:t>
            </w:r>
          </w:p>
        </w:tc>
        <w:tc>
          <w:tcPr>
            <w:tcW w:w="6748" w:type="dxa"/>
            <w:gridSpan w:val="8"/>
            <w:shd w:val="clear" w:color="auto" w:fill="auto"/>
            <w:vAlign w:val="center"/>
          </w:tcPr>
          <w:p>
            <w:pPr>
              <w:pStyle w:val="100"/>
              <w:bidi w:val="0"/>
            </w:pPr>
            <w:r>
              <w:t>建设期□；生产运行期□；服务期满后□</w:t>
            </w:r>
          </w:p>
          <w:p>
            <w:pPr>
              <w:pStyle w:val="100"/>
              <w:bidi w:val="0"/>
            </w:pPr>
            <w:r>
              <w:t>正常工况□；非正常工况□</w:t>
            </w:r>
          </w:p>
          <w:p>
            <w:pPr>
              <w:pStyle w:val="100"/>
              <w:bidi w:val="0"/>
            </w:pPr>
            <w:r>
              <w:t>污染控制和减缓措施方案□</w:t>
            </w:r>
          </w:p>
          <w:p>
            <w:pPr>
              <w:pStyle w:val="100"/>
              <w:bidi w:val="0"/>
            </w:pPr>
            <w:r>
              <w:t>区（流）域环境质量改善目标要求情景□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预测方法</w:t>
            </w:r>
          </w:p>
        </w:tc>
        <w:tc>
          <w:tcPr>
            <w:tcW w:w="6748" w:type="dxa"/>
            <w:gridSpan w:val="8"/>
            <w:shd w:val="clear" w:color="auto" w:fill="auto"/>
            <w:vAlign w:val="center"/>
          </w:tcPr>
          <w:p>
            <w:pPr>
              <w:pStyle w:val="100"/>
              <w:bidi w:val="0"/>
            </w:pPr>
            <w:r>
              <w:t>数值解□；解析解□；其他□</w:t>
            </w:r>
          </w:p>
          <w:p>
            <w:pPr>
              <w:pStyle w:val="100"/>
              <w:bidi w:val="0"/>
            </w:pPr>
            <w:r>
              <w:t>导则推荐模式□；其他□</w:t>
            </w:r>
          </w:p>
        </w:tc>
      </w:tr>
      <w:tr>
        <w:tblPrEx>
          <w:tblCellMar>
            <w:top w:w="0" w:type="dxa"/>
            <w:left w:w="108" w:type="dxa"/>
            <w:bottom w:w="0" w:type="dxa"/>
            <w:right w:w="108" w:type="dxa"/>
          </w:tblCellMar>
        </w:tblPrEx>
        <w:trPr>
          <w:gridAfter w:val="1"/>
          <w:wAfter w:w="11" w:type="dxa"/>
          <w:jc w:val="center"/>
        </w:trPr>
        <w:tc>
          <w:tcPr>
            <w:tcW w:w="567" w:type="dxa"/>
            <w:vMerge w:val="restart"/>
            <w:shd w:val="clear" w:color="auto" w:fill="auto"/>
            <w:vAlign w:val="center"/>
          </w:tcPr>
          <w:p>
            <w:pPr>
              <w:pStyle w:val="100"/>
              <w:bidi w:val="0"/>
            </w:pPr>
            <w:r>
              <w:t>影响评价</w:t>
            </w:r>
          </w:p>
        </w:tc>
        <w:tc>
          <w:tcPr>
            <w:tcW w:w="1134" w:type="dxa"/>
            <w:shd w:val="clear" w:color="auto" w:fill="auto"/>
            <w:vAlign w:val="center"/>
          </w:tcPr>
          <w:p>
            <w:pPr>
              <w:pStyle w:val="100"/>
              <w:bidi w:val="0"/>
            </w:pPr>
            <w:r>
              <w:t>水污染控制和水环境影响减缓措施有效性评价</w:t>
            </w:r>
          </w:p>
        </w:tc>
        <w:tc>
          <w:tcPr>
            <w:tcW w:w="6748" w:type="dxa"/>
            <w:gridSpan w:val="8"/>
            <w:shd w:val="clear" w:color="auto" w:fill="auto"/>
            <w:vAlign w:val="center"/>
          </w:tcPr>
          <w:p>
            <w:pPr>
              <w:pStyle w:val="100"/>
              <w:bidi w:val="0"/>
            </w:pPr>
            <w:r>
              <w:t>区（流）域水环境质量改善目标☑；替代削减源□</w:t>
            </w:r>
          </w:p>
        </w:tc>
      </w:tr>
      <w:tr>
        <w:tblPrEx>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水环境影响评价</w:t>
            </w:r>
          </w:p>
        </w:tc>
        <w:tc>
          <w:tcPr>
            <w:tcW w:w="6748" w:type="dxa"/>
            <w:gridSpan w:val="8"/>
            <w:shd w:val="clear" w:color="auto" w:fill="auto"/>
            <w:vAlign w:val="center"/>
          </w:tcPr>
          <w:p>
            <w:pPr>
              <w:pStyle w:val="100"/>
              <w:bidi w:val="0"/>
            </w:pPr>
            <w:r>
              <w:t>排放口混合区外满足水环境管理要求☑</w:t>
            </w:r>
          </w:p>
          <w:p>
            <w:pPr>
              <w:pStyle w:val="100"/>
              <w:bidi w:val="0"/>
            </w:pPr>
            <w:r>
              <w:t>水环境功能区或水功能区、近岸海域环境功能区水质达标☑</w:t>
            </w:r>
          </w:p>
          <w:p>
            <w:pPr>
              <w:pStyle w:val="100"/>
              <w:bidi w:val="0"/>
            </w:pPr>
            <w:r>
              <w:t>满足水环境保护目标水域水环境质量要求☑</w:t>
            </w:r>
          </w:p>
          <w:p>
            <w:pPr>
              <w:pStyle w:val="100"/>
              <w:bidi w:val="0"/>
            </w:pPr>
            <w:r>
              <w:t>水环境控制单元或断面水质达标☑</w:t>
            </w:r>
          </w:p>
          <w:p>
            <w:pPr>
              <w:pStyle w:val="100"/>
              <w:bidi w:val="0"/>
            </w:pPr>
            <w:r>
              <w:t>满足重点水污染物排放总量控制指标要求，重点行业建设项目，主要污染物排放满足等量或减量替代要求☑</w:t>
            </w:r>
          </w:p>
          <w:p>
            <w:pPr>
              <w:pStyle w:val="100"/>
              <w:bidi w:val="0"/>
            </w:pPr>
            <w:r>
              <w:t>满足区（流）域水环境质量改善目标要求☑</w:t>
            </w:r>
          </w:p>
          <w:p>
            <w:pPr>
              <w:pStyle w:val="100"/>
              <w:bidi w:val="0"/>
            </w:pPr>
            <w:r>
              <w:t>水文要素影响型建设项目同时应包括水文情势变化评价、主要水文特征值影响评价、生态流量符合性评价☑</w:t>
            </w:r>
          </w:p>
          <w:p>
            <w:pPr>
              <w:pStyle w:val="100"/>
              <w:bidi w:val="0"/>
            </w:pPr>
            <w:r>
              <w:t>对于新设或调整入河（湖库、近岸海域）排放口的建设项目，应包括排放口设置的环境合理性评价☑</w:t>
            </w:r>
          </w:p>
          <w:p>
            <w:pPr>
              <w:pStyle w:val="100"/>
              <w:bidi w:val="0"/>
            </w:pPr>
            <w:r>
              <w:t>满足生态保护红线、水环境质量底线、资源利用上线和环境准入清单管理要求☑</w:t>
            </w:r>
          </w:p>
        </w:tc>
      </w:tr>
      <w:tr>
        <w:tblPrEx>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restart"/>
            <w:shd w:val="clear" w:color="auto" w:fill="auto"/>
            <w:vAlign w:val="center"/>
          </w:tcPr>
          <w:p>
            <w:pPr>
              <w:pStyle w:val="100"/>
              <w:bidi w:val="0"/>
            </w:pPr>
            <w:r>
              <w:t>污染源排放量核算</w:t>
            </w:r>
          </w:p>
        </w:tc>
        <w:tc>
          <w:tcPr>
            <w:tcW w:w="2031" w:type="dxa"/>
            <w:gridSpan w:val="2"/>
            <w:shd w:val="clear" w:color="auto" w:fill="auto"/>
            <w:vAlign w:val="center"/>
          </w:tcPr>
          <w:p>
            <w:pPr>
              <w:pStyle w:val="100"/>
              <w:bidi w:val="0"/>
            </w:pPr>
            <w:r>
              <w:t>污染物名称</w:t>
            </w:r>
          </w:p>
        </w:tc>
        <w:tc>
          <w:tcPr>
            <w:tcW w:w="2122" w:type="dxa"/>
            <w:gridSpan w:val="3"/>
            <w:shd w:val="clear" w:color="auto" w:fill="auto"/>
            <w:vAlign w:val="center"/>
          </w:tcPr>
          <w:p>
            <w:pPr>
              <w:pStyle w:val="100"/>
              <w:bidi w:val="0"/>
            </w:pPr>
            <w:r>
              <w:t>排放量/（t/a)</w:t>
            </w:r>
          </w:p>
        </w:tc>
        <w:tc>
          <w:tcPr>
            <w:tcW w:w="2595" w:type="dxa"/>
            <w:gridSpan w:val="3"/>
            <w:shd w:val="clear" w:color="auto" w:fill="auto"/>
            <w:vAlign w:val="center"/>
          </w:tcPr>
          <w:p>
            <w:pPr>
              <w:pStyle w:val="100"/>
              <w:bidi w:val="0"/>
            </w:pPr>
            <w: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2031" w:type="dxa"/>
            <w:gridSpan w:val="2"/>
            <w:shd w:val="clear" w:color="auto" w:fill="auto"/>
            <w:vAlign w:val="center"/>
          </w:tcPr>
          <w:p>
            <w:pPr>
              <w:pStyle w:val="100"/>
              <w:bidi w:val="0"/>
            </w:pPr>
            <w:r>
              <w:t>（COD、SS、氨氮、总磷）</w:t>
            </w:r>
          </w:p>
        </w:tc>
        <w:tc>
          <w:tcPr>
            <w:tcW w:w="2122" w:type="dxa"/>
            <w:gridSpan w:val="3"/>
            <w:shd w:val="clear" w:color="auto" w:fill="auto"/>
            <w:vAlign w:val="center"/>
          </w:tcPr>
          <w:p>
            <w:pPr>
              <w:pStyle w:val="100"/>
              <w:bidi w:val="0"/>
            </w:pPr>
            <w:r>
              <w:t>（3.060</w:t>
            </w:r>
            <w:r>
              <w:rPr>
                <w:rFonts w:hint="eastAsia"/>
              </w:rPr>
              <w:t>、</w:t>
            </w:r>
            <w:r>
              <w:t>2.295</w:t>
            </w:r>
            <w:r>
              <w:rPr>
                <w:rFonts w:hint="eastAsia"/>
              </w:rPr>
              <w:t>、</w:t>
            </w:r>
            <w:r>
              <w:t>0.268</w:t>
            </w:r>
            <w:r>
              <w:rPr>
                <w:rFonts w:hint="eastAsia"/>
              </w:rPr>
              <w:t>、</w:t>
            </w:r>
            <w:r>
              <w:t>0.038）</w:t>
            </w:r>
          </w:p>
        </w:tc>
        <w:tc>
          <w:tcPr>
            <w:tcW w:w="2595" w:type="dxa"/>
            <w:gridSpan w:val="3"/>
            <w:shd w:val="clear" w:color="auto" w:fill="auto"/>
            <w:vAlign w:val="center"/>
          </w:tcPr>
          <w:p>
            <w:pPr>
              <w:pStyle w:val="100"/>
              <w:bidi w:val="0"/>
            </w:pPr>
            <w:r>
              <w:t>（400</w:t>
            </w:r>
            <w:r>
              <w:rPr>
                <w:rFonts w:hint="eastAsia"/>
              </w:rPr>
              <w:t>、</w:t>
            </w:r>
            <w:r>
              <w:t>300</w:t>
            </w:r>
            <w:r>
              <w:rPr>
                <w:rFonts w:hint="eastAsia"/>
              </w:rPr>
              <w:t>、</w:t>
            </w:r>
            <w:r>
              <w:t>35</w:t>
            </w:r>
            <w:r>
              <w:rPr>
                <w:rFonts w:hint="eastAsia"/>
              </w:rPr>
              <w:t>、</w:t>
            </w: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1" w:type="dxa"/>
          <w:jc w:val="center"/>
        </w:trPr>
        <w:tc>
          <w:tcPr>
            <w:tcW w:w="567" w:type="dxa"/>
            <w:vMerge w:val="continue"/>
            <w:shd w:val="clear" w:color="auto" w:fill="auto"/>
            <w:vAlign w:val="center"/>
          </w:tcPr>
          <w:p>
            <w:pPr>
              <w:pStyle w:val="100"/>
              <w:bidi w:val="0"/>
            </w:pPr>
          </w:p>
        </w:tc>
        <w:tc>
          <w:tcPr>
            <w:tcW w:w="1134" w:type="dxa"/>
            <w:vMerge w:val="restart"/>
            <w:shd w:val="clear" w:color="auto" w:fill="auto"/>
            <w:vAlign w:val="center"/>
          </w:tcPr>
          <w:p>
            <w:pPr>
              <w:pStyle w:val="100"/>
              <w:bidi w:val="0"/>
            </w:pPr>
            <w:r>
              <w:t>替代源排放情况</w:t>
            </w:r>
          </w:p>
        </w:tc>
        <w:tc>
          <w:tcPr>
            <w:tcW w:w="1685" w:type="dxa"/>
            <w:shd w:val="clear" w:color="auto" w:fill="auto"/>
            <w:vAlign w:val="center"/>
          </w:tcPr>
          <w:p>
            <w:pPr>
              <w:pStyle w:val="100"/>
              <w:bidi w:val="0"/>
            </w:pPr>
            <w:r>
              <w:t>污染源名称</w:t>
            </w:r>
          </w:p>
        </w:tc>
        <w:tc>
          <w:tcPr>
            <w:tcW w:w="1165" w:type="dxa"/>
            <w:gridSpan w:val="3"/>
            <w:shd w:val="clear" w:color="auto" w:fill="auto"/>
            <w:vAlign w:val="center"/>
          </w:tcPr>
          <w:p>
            <w:pPr>
              <w:pStyle w:val="100"/>
              <w:bidi w:val="0"/>
            </w:pPr>
            <w:r>
              <w:t>排污许可证编号</w:t>
            </w:r>
          </w:p>
        </w:tc>
        <w:tc>
          <w:tcPr>
            <w:tcW w:w="1303" w:type="dxa"/>
            <w:shd w:val="clear" w:color="auto" w:fill="auto"/>
            <w:vAlign w:val="center"/>
          </w:tcPr>
          <w:p>
            <w:pPr>
              <w:pStyle w:val="100"/>
              <w:bidi w:val="0"/>
            </w:pPr>
            <w:r>
              <w:t>污染物名称</w:t>
            </w:r>
          </w:p>
        </w:tc>
        <w:tc>
          <w:tcPr>
            <w:tcW w:w="1171" w:type="dxa"/>
            <w:shd w:val="clear" w:color="auto" w:fill="auto"/>
            <w:vAlign w:val="center"/>
          </w:tcPr>
          <w:p>
            <w:pPr>
              <w:pStyle w:val="100"/>
              <w:bidi w:val="0"/>
            </w:pPr>
            <w:r>
              <w:t>排放量/（t/a)</w:t>
            </w:r>
          </w:p>
        </w:tc>
        <w:tc>
          <w:tcPr>
            <w:tcW w:w="1424" w:type="dxa"/>
            <w:gridSpan w:val="2"/>
            <w:shd w:val="clear" w:color="auto" w:fill="auto"/>
            <w:vAlign w:val="center"/>
          </w:tcPr>
          <w:p>
            <w:pPr>
              <w:pStyle w:val="100"/>
              <w:bidi w:val="0"/>
            </w:pPr>
            <w:r>
              <w:t>排放浓度/（mg/L）</w:t>
            </w:r>
          </w:p>
        </w:tc>
      </w:tr>
      <w:tr>
        <w:tblPrEx>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1685" w:type="dxa"/>
            <w:shd w:val="clear" w:color="auto" w:fill="auto"/>
            <w:vAlign w:val="center"/>
          </w:tcPr>
          <w:p>
            <w:pPr>
              <w:pStyle w:val="100"/>
              <w:bidi w:val="0"/>
            </w:pPr>
            <w:r>
              <w:t>（/）</w:t>
            </w:r>
          </w:p>
        </w:tc>
        <w:tc>
          <w:tcPr>
            <w:tcW w:w="1165" w:type="dxa"/>
            <w:gridSpan w:val="3"/>
            <w:shd w:val="clear" w:color="auto" w:fill="auto"/>
            <w:vAlign w:val="center"/>
          </w:tcPr>
          <w:p>
            <w:pPr>
              <w:pStyle w:val="100"/>
              <w:bidi w:val="0"/>
            </w:pPr>
            <w:r>
              <w:t>（/）</w:t>
            </w:r>
          </w:p>
        </w:tc>
        <w:tc>
          <w:tcPr>
            <w:tcW w:w="1303" w:type="dxa"/>
            <w:shd w:val="clear" w:color="auto" w:fill="auto"/>
            <w:vAlign w:val="center"/>
          </w:tcPr>
          <w:p>
            <w:pPr>
              <w:pStyle w:val="100"/>
              <w:bidi w:val="0"/>
            </w:pPr>
            <w:r>
              <w:t>（/）</w:t>
            </w:r>
          </w:p>
        </w:tc>
        <w:tc>
          <w:tcPr>
            <w:tcW w:w="1171" w:type="dxa"/>
            <w:shd w:val="clear" w:color="auto" w:fill="auto"/>
            <w:vAlign w:val="center"/>
          </w:tcPr>
          <w:p>
            <w:pPr>
              <w:pStyle w:val="100"/>
              <w:bidi w:val="0"/>
            </w:pPr>
            <w:r>
              <w:t>（/）</w:t>
            </w:r>
          </w:p>
        </w:tc>
        <w:tc>
          <w:tcPr>
            <w:tcW w:w="1424" w:type="dxa"/>
            <w:gridSpan w:val="2"/>
            <w:shd w:val="clear" w:color="auto" w:fill="auto"/>
            <w:vAlign w:val="center"/>
          </w:tcPr>
          <w:p>
            <w:pPr>
              <w:pStyle w:val="100"/>
              <w:bidi w:val="0"/>
            </w:pPr>
            <w:r>
              <w:t>（/）</w:t>
            </w:r>
          </w:p>
        </w:tc>
      </w:tr>
      <w:tr>
        <w:tblPrEx>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生态流量确定</w:t>
            </w:r>
          </w:p>
        </w:tc>
        <w:tc>
          <w:tcPr>
            <w:tcW w:w="6748" w:type="dxa"/>
            <w:gridSpan w:val="8"/>
            <w:shd w:val="clear" w:color="auto" w:fill="auto"/>
            <w:vAlign w:val="center"/>
          </w:tcPr>
          <w:p>
            <w:pPr>
              <w:pStyle w:val="100"/>
              <w:bidi w:val="0"/>
            </w:pPr>
            <w:r>
              <w:t>生态流量：一般水期（/ ）m3/s；鱼类繁殖期（ /）m3/s；其他（ /）m3/s</w:t>
            </w:r>
          </w:p>
          <w:p>
            <w:pPr>
              <w:pStyle w:val="100"/>
              <w:bidi w:val="0"/>
            </w:pPr>
            <w:r>
              <w:t>生态水位：一般水期（ /）m；鱼类繁殖期（ /）m；其他（/ ）m</w:t>
            </w:r>
          </w:p>
        </w:tc>
      </w:tr>
      <w:tr>
        <w:tblPrEx>
          <w:tblCellMar>
            <w:top w:w="0" w:type="dxa"/>
            <w:left w:w="108" w:type="dxa"/>
            <w:bottom w:w="0" w:type="dxa"/>
            <w:right w:w="108" w:type="dxa"/>
          </w:tblCellMar>
        </w:tblPrEx>
        <w:trPr>
          <w:gridAfter w:val="1"/>
          <w:wAfter w:w="11" w:type="dxa"/>
          <w:jc w:val="center"/>
        </w:trPr>
        <w:tc>
          <w:tcPr>
            <w:tcW w:w="567" w:type="dxa"/>
            <w:vMerge w:val="restart"/>
            <w:shd w:val="clear" w:color="auto" w:fill="auto"/>
            <w:vAlign w:val="center"/>
          </w:tcPr>
          <w:p>
            <w:pPr>
              <w:pStyle w:val="100"/>
              <w:bidi w:val="0"/>
            </w:pPr>
            <w:r>
              <w:t>防治措施</w:t>
            </w:r>
          </w:p>
        </w:tc>
        <w:tc>
          <w:tcPr>
            <w:tcW w:w="1134" w:type="dxa"/>
            <w:shd w:val="clear" w:color="auto" w:fill="auto"/>
            <w:vAlign w:val="center"/>
          </w:tcPr>
          <w:p>
            <w:pPr>
              <w:pStyle w:val="100"/>
              <w:bidi w:val="0"/>
            </w:pPr>
            <w:r>
              <w:t>环保措施</w:t>
            </w:r>
          </w:p>
        </w:tc>
        <w:tc>
          <w:tcPr>
            <w:tcW w:w="6748" w:type="dxa"/>
            <w:gridSpan w:val="8"/>
            <w:shd w:val="clear" w:color="auto" w:fill="auto"/>
            <w:vAlign w:val="center"/>
          </w:tcPr>
          <w:p>
            <w:pPr>
              <w:pStyle w:val="100"/>
              <w:bidi w:val="0"/>
            </w:pPr>
            <w:r>
              <w:t>污水处理设施☑；水文减缓设施□；生态流量保障设施□；区域削减□；依托其他工程措施□；其他□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restart"/>
            <w:shd w:val="clear" w:color="auto" w:fill="auto"/>
            <w:vAlign w:val="center"/>
          </w:tcPr>
          <w:p>
            <w:pPr>
              <w:pStyle w:val="100"/>
              <w:bidi w:val="0"/>
            </w:pPr>
            <w:r>
              <w:t>监测计划</w:t>
            </w:r>
          </w:p>
        </w:tc>
        <w:tc>
          <w:tcPr>
            <w:tcW w:w="2031" w:type="dxa"/>
            <w:gridSpan w:val="2"/>
            <w:shd w:val="clear" w:color="auto" w:fill="auto"/>
            <w:vAlign w:val="center"/>
          </w:tcPr>
          <w:p>
            <w:pPr>
              <w:pStyle w:val="100"/>
              <w:bidi w:val="0"/>
            </w:pPr>
          </w:p>
        </w:tc>
        <w:tc>
          <w:tcPr>
            <w:tcW w:w="2122" w:type="dxa"/>
            <w:gridSpan w:val="3"/>
            <w:shd w:val="clear" w:color="auto" w:fill="auto"/>
            <w:vAlign w:val="center"/>
          </w:tcPr>
          <w:p>
            <w:pPr>
              <w:pStyle w:val="100"/>
              <w:bidi w:val="0"/>
            </w:pPr>
            <w:r>
              <w:t>环境质量</w:t>
            </w:r>
          </w:p>
        </w:tc>
        <w:tc>
          <w:tcPr>
            <w:tcW w:w="2595" w:type="dxa"/>
            <w:gridSpan w:val="3"/>
            <w:shd w:val="clear" w:color="auto" w:fill="auto"/>
            <w:vAlign w:val="center"/>
          </w:tcPr>
          <w:p>
            <w:pPr>
              <w:pStyle w:val="100"/>
              <w:bidi w:val="0"/>
            </w:pPr>
            <w:r>
              <w:t>污染源</w:t>
            </w:r>
          </w:p>
        </w:tc>
      </w:tr>
      <w:tr>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2031" w:type="dxa"/>
            <w:gridSpan w:val="2"/>
            <w:shd w:val="clear" w:color="auto" w:fill="auto"/>
            <w:vAlign w:val="center"/>
          </w:tcPr>
          <w:p>
            <w:pPr>
              <w:pStyle w:val="100"/>
              <w:bidi w:val="0"/>
            </w:pPr>
            <w:r>
              <w:t>监测方式</w:t>
            </w:r>
          </w:p>
        </w:tc>
        <w:tc>
          <w:tcPr>
            <w:tcW w:w="2122" w:type="dxa"/>
            <w:gridSpan w:val="3"/>
            <w:shd w:val="clear" w:color="auto" w:fill="auto"/>
            <w:vAlign w:val="center"/>
          </w:tcPr>
          <w:p>
            <w:pPr>
              <w:pStyle w:val="100"/>
              <w:bidi w:val="0"/>
            </w:pPr>
            <w:r>
              <w:t>手动□；自动□；无监测☑</w:t>
            </w:r>
          </w:p>
        </w:tc>
        <w:tc>
          <w:tcPr>
            <w:tcW w:w="2595" w:type="dxa"/>
            <w:gridSpan w:val="3"/>
            <w:shd w:val="clear" w:color="auto" w:fill="auto"/>
            <w:vAlign w:val="center"/>
          </w:tcPr>
          <w:p>
            <w:pPr>
              <w:pStyle w:val="100"/>
              <w:bidi w:val="0"/>
            </w:pPr>
            <w:r>
              <w:t>手动□；自动□；无监测☑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2031" w:type="dxa"/>
            <w:gridSpan w:val="2"/>
            <w:shd w:val="clear" w:color="auto" w:fill="auto"/>
            <w:vAlign w:val="center"/>
          </w:tcPr>
          <w:p>
            <w:pPr>
              <w:pStyle w:val="100"/>
              <w:bidi w:val="0"/>
            </w:pPr>
            <w:r>
              <w:t>监测点位</w:t>
            </w:r>
          </w:p>
        </w:tc>
        <w:tc>
          <w:tcPr>
            <w:tcW w:w="2122" w:type="dxa"/>
            <w:gridSpan w:val="3"/>
            <w:shd w:val="clear" w:color="auto" w:fill="auto"/>
            <w:vAlign w:val="center"/>
          </w:tcPr>
          <w:p>
            <w:pPr>
              <w:pStyle w:val="100"/>
              <w:bidi w:val="0"/>
            </w:pPr>
            <w:r>
              <w:t>（）</w:t>
            </w:r>
          </w:p>
        </w:tc>
        <w:tc>
          <w:tcPr>
            <w:tcW w:w="2595" w:type="dxa"/>
            <w:gridSpan w:val="3"/>
            <w:shd w:val="clear" w:color="auto" w:fill="auto"/>
            <w:vAlign w:val="center"/>
          </w:tcPr>
          <w:p>
            <w:pPr>
              <w:pStyle w:val="100"/>
              <w:bidi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vMerge w:val="continue"/>
            <w:shd w:val="clear" w:color="auto" w:fill="auto"/>
            <w:vAlign w:val="center"/>
          </w:tcPr>
          <w:p>
            <w:pPr>
              <w:pStyle w:val="100"/>
              <w:bidi w:val="0"/>
            </w:pPr>
          </w:p>
        </w:tc>
        <w:tc>
          <w:tcPr>
            <w:tcW w:w="2031" w:type="dxa"/>
            <w:gridSpan w:val="2"/>
            <w:shd w:val="clear" w:color="auto" w:fill="auto"/>
            <w:vAlign w:val="center"/>
          </w:tcPr>
          <w:p>
            <w:pPr>
              <w:pStyle w:val="100"/>
              <w:bidi w:val="0"/>
            </w:pPr>
            <w:r>
              <w:t>监测因子</w:t>
            </w:r>
          </w:p>
        </w:tc>
        <w:tc>
          <w:tcPr>
            <w:tcW w:w="2122" w:type="dxa"/>
            <w:gridSpan w:val="3"/>
            <w:shd w:val="clear" w:color="auto" w:fill="auto"/>
            <w:vAlign w:val="center"/>
          </w:tcPr>
          <w:p>
            <w:pPr>
              <w:pStyle w:val="100"/>
              <w:bidi w:val="0"/>
            </w:pPr>
            <w:r>
              <w:t>（）</w:t>
            </w:r>
          </w:p>
        </w:tc>
        <w:tc>
          <w:tcPr>
            <w:tcW w:w="2595" w:type="dxa"/>
            <w:gridSpan w:val="3"/>
            <w:shd w:val="clear" w:color="auto" w:fill="auto"/>
            <w:vAlign w:val="center"/>
          </w:tcPr>
          <w:p>
            <w:pPr>
              <w:pStyle w:val="100"/>
              <w:bidi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1" w:type="dxa"/>
          <w:jc w:val="center"/>
        </w:trPr>
        <w:tc>
          <w:tcPr>
            <w:tcW w:w="567" w:type="dxa"/>
            <w:vMerge w:val="continue"/>
            <w:shd w:val="clear" w:color="auto" w:fill="auto"/>
            <w:vAlign w:val="center"/>
          </w:tcPr>
          <w:p>
            <w:pPr>
              <w:pStyle w:val="100"/>
              <w:bidi w:val="0"/>
            </w:pPr>
          </w:p>
        </w:tc>
        <w:tc>
          <w:tcPr>
            <w:tcW w:w="1134" w:type="dxa"/>
            <w:shd w:val="clear" w:color="auto" w:fill="auto"/>
            <w:vAlign w:val="center"/>
          </w:tcPr>
          <w:p>
            <w:pPr>
              <w:pStyle w:val="100"/>
              <w:bidi w:val="0"/>
            </w:pPr>
            <w:r>
              <w:t>污染物排放清单</w:t>
            </w:r>
          </w:p>
        </w:tc>
        <w:tc>
          <w:tcPr>
            <w:tcW w:w="6748" w:type="dxa"/>
            <w:gridSpan w:val="8"/>
            <w:shd w:val="clear" w:color="auto" w:fill="auto"/>
            <w:vAlign w:val="center"/>
          </w:tcPr>
          <w:p>
            <w:pPr>
              <w:pStyle w:val="100"/>
              <w:bidi w:val="0"/>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1" w:type="dxa"/>
          <w:jc w:val="center"/>
        </w:trPr>
        <w:tc>
          <w:tcPr>
            <w:tcW w:w="1701" w:type="dxa"/>
            <w:gridSpan w:val="2"/>
            <w:shd w:val="clear" w:color="auto" w:fill="auto"/>
            <w:vAlign w:val="center"/>
          </w:tcPr>
          <w:p>
            <w:pPr>
              <w:pStyle w:val="100"/>
              <w:bidi w:val="0"/>
            </w:pPr>
            <w:r>
              <w:t>评价结论</w:t>
            </w:r>
          </w:p>
        </w:tc>
        <w:tc>
          <w:tcPr>
            <w:tcW w:w="6748" w:type="dxa"/>
            <w:gridSpan w:val="8"/>
            <w:shd w:val="clear" w:color="auto" w:fill="auto"/>
            <w:vAlign w:val="center"/>
          </w:tcPr>
          <w:p>
            <w:pPr>
              <w:pStyle w:val="100"/>
              <w:bidi w:val="0"/>
            </w:pPr>
            <w:r>
              <w:t>可以接受☑；不可以接受□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60" w:type="dxa"/>
            <w:gridSpan w:val="11"/>
            <w:shd w:val="clear" w:color="auto" w:fill="auto"/>
            <w:vAlign w:val="center"/>
          </w:tcPr>
          <w:p>
            <w:pPr>
              <w:pStyle w:val="100"/>
              <w:bidi w:val="0"/>
            </w:pPr>
            <w:r>
              <w:t>注：“ □”为勾选项，可√；“（）”为内容填写项；“备注”为其他补充内容。</w:t>
            </w:r>
          </w:p>
        </w:tc>
      </w:tr>
    </w:tbl>
    <w:p>
      <w:pPr>
        <w:pStyle w:val="103"/>
        <w:bidi w:val="0"/>
      </w:pPr>
      <w:r>
        <w:rPr>
          <w:rFonts w:hint="eastAsia"/>
        </w:rPr>
        <w:t>本项目所依托吴江经济技术开发区运东污水处理厂水环境影响减缓措施有效、地表水环境影响可接受。</w:t>
      </w:r>
    </w:p>
    <w:p>
      <w:pPr>
        <w:pStyle w:val="105"/>
        <w:rPr>
          <w:color w:val="auto"/>
          <w:highlight w:val="none"/>
        </w:rPr>
      </w:pPr>
      <w:r>
        <w:rPr>
          <w:rFonts w:hint="eastAsia"/>
          <w:color w:val="auto"/>
          <w:highlight w:val="none"/>
        </w:rPr>
        <w:t>监测计划</w:t>
      </w:r>
    </w:p>
    <w:p>
      <w:pPr>
        <w:pStyle w:val="103"/>
        <w:bidi w:val="0"/>
      </w:pPr>
      <w:r>
        <w:t>为了掌握本项目投产后的排污情况，监督排放标准的执行，减少对环境的影响，达到本报告表提出的排放要求，必须加强环境监测制度。</w:t>
      </w:r>
      <w:r>
        <w:rPr>
          <w:rFonts w:hint="eastAsia"/>
        </w:rPr>
        <w:t>详见表7-</w:t>
      </w:r>
      <w:r>
        <w:rPr>
          <w:rFonts w:hint="eastAsia"/>
          <w:lang w:val="en-US" w:eastAsia="zh-CN"/>
        </w:rPr>
        <w:t>21</w:t>
      </w:r>
      <w:r>
        <w:rPr>
          <w:rFonts w:hint="eastAsia"/>
        </w:rPr>
        <w:t>。</w:t>
      </w:r>
    </w:p>
    <w:p>
      <w:pPr>
        <w:pStyle w:val="273"/>
        <w:bidi w:val="0"/>
        <w:rPr>
          <w:rFonts w:hint="eastAsia"/>
        </w:rPr>
      </w:pPr>
      <w:r>
        <w:rPr>
          <w:rFonts w:hint="eastAsia"/>
        </w:rPr>
        <w:t>表7-</w:t>
      </w:r>
      <w:r>
        <w:rPr>
          <w:rFonts w:hint="eastAsia"/>
          <w:lang w:val="en-US" w:eastAsia="zh-CN"/>
        </w:rPr>
        <w:t>21</w:t>
      </w:r>
      <w:r>
        <w:rPr>
          <w:rFonts w:hint="eastAsia"/>
        </w:rPr>
        <w:t xml:space="preserve">  环境监测计划及记录信息表</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8"/>
        <w:gridCol w:w="883"/>
        <w:gridCol w:w="782"/>
        <w:gridCol w:w="709"/>
        <w:gridCol w:w="708"/>
        <w:gridCol w:w="993"/>
        <w:gridCol w:w="708"/>
        <w:gridCol w:w="709"/>
        <w:gridCol w:w="1164"/>
        <w:gridCol w:w="734"/>
        <w:gridCol w:w="7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8" w:type="dxa"/>
            <w:shd w:val="clear" w:color="auto" w:fill="CCE8CF" w:themeFill="background1"/>
            <w:vAlign w:val="center"/>
          </w:tcPr>
          <w:p>
            <w:pPr>
              <w:pStyle w:val="100"/>
              <w:bidi w:val="0"/>
            </w:pPr>
            <w:r>
              <w:t>序号</w:t>
            </w:r>
          </w:p>
        </w:tc>
        <w:tc>
          <w:tcPr>
            <w:tcW w:w="883" w:type="dxa"/>
            <w:shd w:val="clear" w:color="auto" w:fill="CCE8CF" w:themeFill="background1"/>
            <w:vAlign w:val="center"/>
          </w:tcPr>
          <w:p>
            <w:pPr>
              <w:pStyle w:val="100"/>
              <w:bidi w:val="0"/>
            </w:pPr>
            <w:r>
              <w:t>排放口编号</w:t>
            </w:r>
          </w:p>
        </w:tc>
        <w:tc>
          <w:tcPr>
            <w:tcW w:w="782" w:type="dxa"/>
            <w:shd w:val="clear" w:color="auto" w:fill="CCE8CF" w:themeFill="background1"/>
            <w:vAlign w:val="center"/>
          </w:tcPr>
          <w:p>
            <w:pPr>
              <w:pStyle w:val="100"/>
              <w:bidi w:val="0"/>
            </w:pPr>
            <w:r>
              <w:t>污染物名称</w:t>
            </w:r>
          </w:p>
        </w:tc>
        <w:tc>
          <w:tcPr>
            <w:tcW w:w="709" w:type="dxa"/>
            <w:shd w:val="clear" w:color="auto" w:fill="CCE8CF" w:themeFill="background1"/>
            <w:vAlign w:val="center"/>
          </w:tcPr>
          <w:p>
            <w:pPr>
              <w:pStyle w:val="100"/>
              <w:bidi w:val="0"/>
            </w:pPr>
            <w:r>
              <w:t>监测设施</w:t>
            </w:r>
          </w:p>
        </w:tc>
        <w:tc>
          <w:tcPr>
            <w:tcW w:w="708" w:type="dxa"/>
            <w:shd w:val="clear" w:color="auto" w:fill="CCE8CF" w:themeFill="background1"/>
            <w:vAlign w:val="center"/>
          </w:tcPr>
          <w:p>
            <w:pPr>
              <w:pStyle w:val="100"/>
              <w:bidi w:val="0"/>
            </w:pPr>
            <w:r>
              <w:t>自动监测设施安装位置</w:t>
            </w:r>
          </w:p>
        </w:tc>
        <w:tc>
          <w:tcPr>
            <w:tcW w:w="993" w:type="dxa"/>
            <w:shd w:val="clear" w:color="auto" w:fill="CCE8CF" w:themeFill="background1"/>
            <w:vAlign w:val="center"/>
          </w:tcPr>
          <w:p>
            <w:pPr>
              <w:pStyle w:val="100"/>
              <w:bidi w:val="0"/>
            </w:pPr>
            <w:r>
              <w:t>自动监测设施的安装、运行、维护等相关管理要求</w:t>
            </w:r>
          </w:p>
        </w:tc>
        <w:tc>
          <w:tcPr>
            <w:tcW w:w="708" w:type="dxa"/>
            <w:shd w:val="clear" w:color="auto" w:fill="CCE8CF" w:themeFill="background1"/>
            <w:vAlign w:val="center"/>
          </w:tcPr>
          <w:p>
            <w:pPr>
              <w:pStyle w:val="100"/>
              <w:bidi w:val="0"/>
            </w:pPr>
            <w:r>
              <w:t>自动监测是否联网</w:t>
            </w:r>
          </w:p>
        </w:tc>
        <w:tc>
          <w:tcPr>
            <w:tcW w:w="709" w:type="dxa"/>
            <w:shd w:val="clear" w:color="auto" w:fill="CCE8CF" w:themeFill="background1"/>
            <w:vAlign w:val="center"/>
          </w:tcPr>
          <w:p>
            <w:pPr>
              <w:pStyle w:val="100"/>
              <w:bidi w:val="0"/>
            </w:pPr>
            <w:r>
              <w:t>自动监测仪器名称</w:t>
            </w:r>
          </w:p>
        </w:tc>
        <w:tc>
          <w:tcPr>
            <w:tcW w:w="1164" w:type="dxa"/>
            <w:shd w:val="clear" w:color="auto" w:fill="CCE8CF" w:themeFill="background1"/>
            <w:vAlign w:val="center"/>
          </w:tcPr>
          <w:p>
            <w:pPr>
              <w:pStyle w:val="100"/>
              <w:bidi w:val="0"/>
            </w:pPr>
            <w:r>
              <w:t>手工监测采样方法及个数</w:t>
            </w:r>
          </w:p>
        </w:tc>
        <w:tc>
          <w:tcPr>
            <w:tcW w:w="734" w:type="dxa"/>
            <w:shd w:val="clear" w:color="auto" w:fill="CCE8CF" w:themeFill="background1"/>
            <w:vAlign w:val="center"/>
          </w:tcPr>
          <w:p>
            <w:pPr>
              <w:pStyle w:val="100"/>
              <w:bidi w:val="0"/>
            </w:pPr>
            <w:r>
              <w:t>手工监测频次</w:t>
            </w:r>
          </w:p>
        </w:tc>
        <w:tc>
          <w:tcPr>
            <w:tcW w:w="710" w:type="dxa"/>
            <w:shd w:val="clear" w:color="auto" w:fill="CCE8CF" w:themeFill="background1"/>
            <w:vAlign w:val="center"/>
          </w:tcPr>
          <w:p>
            <w:pPr>
              <w:pStyle w:val="100"/>
              <w:bidi w:val="0"/>
            </w:pPr>
            <w:r>
              <w:t>手工测定方法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8" w:type="dxa"/>
            <w:vAlign w:val="center"/>
          </w:tcPr>
          <w:p>
            <w:pPr>
              <w:pStyle w:val="100"/>
              <w:bidi w:val="0"/>
            </w:pPr>
            <w:r>
              <w:t>1</w:t>
            </w:r>
          </w:p>
        </w:tc>
        <w:tc>
          <w:tcPr>
            <w:tcW w:w="883" w:type="dxa"/>
            <w:vMerge w:val="restart"/>
            <w:vAlign w:val="center"/>
          </w:tcPr>
          <w:p>
            <w:pPr>
              <w:pStyle w:val="100"/>
              <w:bidi w:val="0"/>
            </w:pPr>
            <w:r>
              <w:t>DW001</w:t>
            </w:r>
          </w:p>
        </w:tc>
        <w:tc>
          <w:tcPr>
            <w:tcW w:w="782" w:type="dxa"/>
            <w:vAlign w:val="center"/>
          </w:tcPr>
          <w:p>
            <w:pPr>
              <w:pStyle w:val="100"/>
              <w:bidi w:val="0"/>
            </w:pPr>
            <w:r>
              <w:t>COD</w:t>
            </w:r>
          </w:p>
        </w:tc>
        <w:tc>
          <w:tcPr>
            <w:tcW w:w="709" w:type="dxa"/>
            <w:vAlign w:val="center"/>
          </w:tcPr>
          <w:p>
            <w:pPr>
              <w:pStyle w:val="100"/>
              <w:bidi w:val="0"/>
            </w:pPr>
            <w:r>
              <w:t>手动</w:t>
            </w:r>
          </w:p>
        </w:tc>
        <w:tc>
          <w:tcPr>
            <w:tcW w:w="708" w:type="dxa"/>
            <w:vAlign w:val="center"/>
          </w:tcPr>
          <w:p>
            <w:pPr>
              <w:pStyle w:val="100"/>
              <w:bidi w:val="0"/>
            </w:pPr>
            <w:r>
              <w:t>/</w:t>
            </w:r>
          </w:p>
        </w:tc>
        <w:tc>
          <w:tcPr>
            <w:tcW w:w="993" w:type="dxa"/>
            <w:vAlign w:val="center"/>
          </w:tcPr>
          <w:p>
            <w:pPr>
              <w:pStyle w:val="100"/>
              <w:bidi w:val="0"/>
            </w:pPr>
            <w:r>
              <w:t>/</w:t>
            </w:r>
          </w:p>
        </w:tc>
        <w:tc>
          <w:tcPr>
            <w:tcW w:w="708" w:type="dxa"/>
            <w:vAlign w:val="center"/>
          </w:tcPr>
          <w:p>
            <w:pPr>
              <w:pStyle w:val="100"/>
              <w:bidi w:val="0"/>
            </w:pPr>
            <w:r>
              <w:t>/</w:t>
            </w:r>
          </w:p>
        </w:tc>
        <w:tc>
          <w:tcPr>
            <w:tcW w:w="709" w:type="dxa"/>
            <w:vAlign w:val="center"/>
          </w:tcPr>
          <w:p>
            <w:pPr>
              <w:pStyle w:val="100"/>
              <w:bidi w:val="0"/>
            </w:pPr>
            <w:r>
              <w:t>/</w:t>
            </w:r>
          </w:p>
        </w:tc>
        <w:tc>
          <w:tcPr>
            <w:tcW w:w="1164" w:type="dxa"/>
            <w:vAlign w:val="center"/>
          </w:tcPr>
          <w:p>
            <w:pPr>
              <w:pStyle w:val="100"/>
              <w:bidi w:val="0"/>
            </w:pPr>
            <w:r>
              <w:t>瞬时采样，至少3个</w:t>
            </w:r>
          </w:p>
        </w:tc>
        <w:tc>
          <w:tcPr>
            <w:tcW w:w="734" w:type="dxa"/>
            <w:vAlign w:val="center"/>
          </w:tcPr>
          <w:p>
            <w:pPr>
              <w:pStyle w:val="100"/>
              <w:bidi w:val="0"/>
            </w:pPr>
            <w:r>
              <w:t>1次/1季</w:t>
            </w:r>
          </w:p>
        </w:tc>
        <w:tc>
          <w:tcPr>
            <w:tcW w:w="710" w:type="dxa"/>
            <w:vAlign w:val="center"/>
          </w:tcPr>
          <w:p>
            <w:pPr>
              <w:pStyle w:val="100"/>
              <w:bidi w:val="0"/>
            </w:pPr>
            <w:r>
              <w:t>重铬酸盐法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8" w:type="dxa"/>
            <w:vAlign w:val="center"/>
          </w:tcPr>
          <w:p>
            <w:pPr>
              <w:pStyle w:val="100"/>
              <w:bidi w:val="0"/>
            </w:pPr>
            <w:r>
              <w:t>2</w:t>
            </w:r>
          </w:p>
        </w:tc>
        <w:tc>
          <w:tcPr>
            <w:tcW w:w="883" w:type="dxa"/>
            <w:vMerge w:val="continue"/>
            <w:vAlign w:val="center"/>
          </w:tcPr>
          <w:p>
            <w:pPr>
              <w:pStyle w:val="100"/>
              <w:bidi w:val="0"/>
            </w:pPr>
          </w:p>
        </w:tc>
        <w:tc>
          <w:tcPr>
            <w:tcW w:w="782" w:type="dxa"/>
            <w:vAlign w:val="center"/>
          </w:tcPr>
          <w:p>
            <w:pPr>
              <w:pStyle w:val="100"/>
              <w:bidi w:val="0"/>
            </w:pPr>
            <w:r>
              <w:t>SS</w:t>
            </w:r>
          </w:p>
        </w:tc>
        <w:tc>
          <w:tcPr>
            <w:tcW w:w="709" w:type="dxa"/>
            <w:vAlign w:val="center"/>
          </w:tcPr>
          <w:p>
            <w:pPr>
              <w:pStyle w:val="100"/>
              <w:bidi w:val="0"/>
            </w:pPr>
            <w:r>
              <w:t>手动</w:t>
            </w:r>
          </w:p>
        </w:tc>
        <w:tc>
          <w:tcPr>
            <w:tcW w:w="708" w:type="dxa"/>
            <w:vAlign w:val="center"/>
          </w:tcPr>
          <w:p>
            <w:pPr>
              <w:pStyle w:val="100"/>
              <w:bidi w:val="0"/>
            </w:pPr>
            <w:r>
              <w:t>/</w:t>
            </w:r>
          </w:p>
        </w:tc>
        <w:tc>
          <w:tcPr>
            <w:tcW w:w="993" w:type="dxa"/>
            <w:vAlign w:val="center"/>
          </w:tcPr>
          <w:p>
            <w:pPr>
              <w:pStyle w:val="100"/>
              <w:bidi w:val="0"/>
            </w:pPr>
            <w:r>
              <w:t>/</w:t>
            </w:r>
          </w:p>
        </w:tc>
        <w:tc>
          <w:tcPr>
            <w:tcW w:w="708" w:type="dxa"/>
            <w:vAlign w:val="center"/>
          </w:tcPr>
          <w:p>
            <w:pPr>
              <w:pStyle w:val="100"/>
              <w:bidi w:val="0"/>
            </w:pPr>
            <w:r>
              <w:t>/</w:t>
            </w:r>
          </w:p>
        </w:tc>
        <w:tc>
          <w:tcPr>
            <w:tcW w:w="709" w:type="dxa"/>
            <w:vAlign w:val="center"/>
          </w:tcPr>
          <w:p>
            <w:pPr>
              <w:pStyle w:val="100"/>
              <w:bidi w:val="0"/>
            </w:pPr>
            <w:r>
              <w:t>/</w:t>
            </w:r>
          </w:p>
        </w:tc>
        <w:tc>
          <w:tcPr>
            <w:tcW w:w="1164" w:type="dxa"/>
            <w:vAlign w:val="center"/>
          </w:tcPr>
          <w:p>
            <w:pPr>
              <w:pStyle w:val="100"/>
              <w:bidi w:val="0"/>
            </w:pPr>
            <w:r>
              <w:t>瞬时采样，至少3个</w:t>
            </w:r>
          </w:p>
        </w:tc>
        <w:tc>
          <w:tcPr>
            <w:tcW w:w="734" w:type="dxa"/>
            <w:vAlign w:val="center"/>
          </w:tcPr>
          <w:p>
            <w:pPr>
              <w:pStyle w:val="100"/>
              <w:bidi w:val="0"/>
            </w:pPr>
            <w:r>
              <w:t>1次/1季</w:t>
            </w:r>
          </w:p>
        </w:tc>
        <w:tc>
          <w:tcPr>
            <w:tcW w:w="710" w:type="dxa"/>
            <w:vAlign w:val="center"/>
          </w:tcPr>
          <w:p>
            <w:pPr>
              <w:pStyle w:val="100"/>
              <w:bidi w:val="0"/>
            </w:pPr>
            <w:r>
              <w:t>重量法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8" w:type="dxa"/>
            <w:vAlign w:val="center"/>
          </w:tcPr>
          <w:p>
            <w:pPr>
              <w:pStyle w:val="100"/>
              <w:bidi w:val="0"/>
            </w:pPr>
            <w:r>
              <w:t>3</w:t>
            </w:r>
          </w:p>
        </w:tc>
        <w:tc>
          <w:tcPr>
            <w:tcW w:w="883" w:type="dxa"/>
            <w:vMerge w:val="continue"/>
            <w:vAlign w:val="center"/>
          </w:tcPr>
          <w:p>
            <w:pPr>
              <w:pStyle w:val="100"/>
              <w:bidi w:val="0"/>
            </w:pPr>
          </w:p>
        </w:tc>
        <w:tc>
          <w:tcPr>
            <w:tcW w:w="782" w:type="dxa"/>
            <w:vAlign w:val="center"/>
          </w:tcPr>
          <w:p>
            <w:pPr>
              <w:pStyle w:val="100"/>
              <w:bidi w:val="0"/>
            </w:pPr>
            <w:r>
              <w:t>氨氮</w:t>
            </w:r>
          </w:p>
        </w:tc>
        <w:tc>
          <w:tcPr>
            <w:tcW w:w="709" w:type="dxa"/>
            <w:vAlign w:val="center"/>
          </w:tcPr>
          <w:p>
            <w:pPr>
              <w:pStyle w:val="100"/>
              <w:bidi w:val="0"/>
            </w:pPr>
            <w:r>
              <w:t>手动</w:t>
            </w:r>
          </w:p>
        </w:tc>
        <w:tc>
          <w:tcPr>
            <w:tcW w:w="708" w:type="dxa"/>
            <w:vAlign w:val="center"/>
          </w:tcPr>
          <w:p>
            <w:pPr>
              <w:pStyle w:val="100"/>
              <w:bidi w:val="0"/>
            </w:pPr>
            <w:r>
              <w:t>/</w:t>
            </w:r>
          </w:p>
        </w:tc>
        <w:tc>
          <w:tcPr>
            <w:tcW w:w="993" w:type="dxa"/>
            <w:vAlign w:val="center"/>
          </w:tcPr>
          <w:p>
            <w:pPr>
              <w:pStyle w:val="100"/>
              <w:bidi w:val="0"/>
            </w:pPr>
            <w:r>
              <w:t>/</w:t>
            </w:r>
          </w:p>
        </w:tc>
        <w:tc>
          <w:tcPr>
            <w:tcW w:w="708" w:type="dxa"/>
            <w:vAlign w:val="center"/>
          </w:tcPr>
          <w:p>
            <w:pPr>
              <w:pStyle w:val="100"/>
              <w:bidi w:val="0"/>
            </w:pPr>
            <w:r>
              <w:t>/</w:t>
            </w:r>
          </w:p>
        </w:tc>
        <w:tc>
          <w:tcPr>
            <w:tcW w:w="709" w:type="dxa"/>
            <w:vAlign w:val="center"/>
          </w:tcPr>
          <w:p>
            <w:pPr>
              <w:pStyle w:val="100"/>
              <w:bidi w:val="0"/>
            </w:pPr>
            <w:r>
              <w:t>/</w:t>
            </w:r>
          </w:p>
        </w:tc>
        <w:tc>
          <w:tcPr>
            <w:tcW w:w="1164" w:type="dxa"/>
            <w:vAlign w:val="center"/>
          </w:tcPr>
          <w:p>
            <w:pPr>
              <w:pStyle w:val="100"/>
              <w:bidi w:val="0"/>
            </w:pPr>
            <w:r>
              <w:t>瞬时采样，至少3个</w:t>
            </w:r>
          </w:p>
        </w:tc>
        <w:tc>
          <w:tcPr>
            <w:tcW w:w="734" w:type="dxa"/>
            <w:vAlign w:val="center"/>
          </w:tcPr>
          <w:p>
            <w:pPr>
              <w:pStyle w:val="100"/>
              <w:bidi w:val="0"/>
            </w:pPr>
            <w:r>
              <w:t>1次/1季</w:t>
            </w:r>
          </w:p>
        </w:tc>
        <w:tc>
          <w:tcPr>
            <w:tcW w:w="710" w:type="dxa"/>
            <w:vAlign w:val="center"/>
          </w:tcPr>
          <w:p>
            <w:pPr>
              <w:pStyle w:val="100"/>
              <w:bidi w:val="0"/>
            </w:pPr>
            <w:r>
              <w:t>纳氏试剂分光光度法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8" w:type="dxa"/>
            <w:vAlign w:val="center"/>
          </w:tcPr>
          <w:p>
            <w:pPr>
              <w:pStyle w:val="100"/>
              <w:bidi w:val="0"/>
            </w:pPr>
            <w:r>
              <w:t>4</w:t>
            </w:r>
          </w:p>
        </w:tc>
        <w:tc>
          <w:tcPr>
            <w:tcW w:w="883" w:type="dxa"/>
            <w:vMerge w:val="continue"/>
            <w:vAlign w:val="center"/>
          </w:tcPr>
          <w:p>
            <w:pPr>
              <w:pStyle w:val="100"/>
              <w:bidi w:val="0"/>
            </w:pPr>
          </w:p>
        </w:tc>
        <w:tc>
          <w:tcPr>
            <w:tcW w:w="782" w:type="dxa"/>
            <w:vAlign w:val="center"/>
          </w:tcPr>
          <w:p>
            <w:pPr>
              <w:pStyle w:val="100"/>
              <w:bidi w:val="0"/>
            </w:pPr>
            <w:r>
              <w:t>总磷</w:t>
            </w:r>
          </w:p>
        </w:tc>
        <w:tc>
          <w:tcPr>
            <w:tcW w:w="709" w:type="dxa"/>
            <w:vAlign w:val="center"/>
          </w:tcPr>
          <w:p>
            <w:pPr>
              <w:pStyle w:val="100"/>
              <w:bidi w:val="0"/>
            </w:pPr>
            <w:r>
              <w:t>手动</w:t>
            </w:r>
          </w:p>
        </w:tc>
        <w:tc>
          <w:tcPr>
            <w:tcW w:w="708" w:type="dxa"/>
            <w:vAlign w:val="center"/>
          </w:tcPr>
          <w:p>
            <w:pPr>
              <w:pStyle w:val="100"/>
              <w:bidi w:val="0"/>
            </w:pPr>
            <w:r>
              <w:t>/</w:t>
            </w:r>
          </w:p>
        </w:tc>
        <w:tc>
          <w:tcPr>
            <w:tcW w:w="993" w:type="dxa"/>
            <w:vAlign w:val="center"/>
          </w:tcPr>
          <w:p>
            <w:pPr>
              <w:pStyle w:val="100"/>
              <w:bidi w:val="0"/>
            </w:pPr>
            <w:r>
              <w:t>/</w:t>
            </w:r>
          </w:p>
        </w:tc>
        <w:tc>
          <w:tcPr>
            <w:tcW w:w="708" w:type="dxa"/>
            <w:vAlign w:val="center"/>
          </w:tcPr>
          <w:p>
            <w:pPr>
              <w:pStyle w:val="100"/>
              <w:bidi w:val="0"/>
            </w:pPr>
            <w:r>
              <w:t>/</w:t>
            </w:r>
          </w:p>
        </w:tc>
        <w:tc>
          <w:tcPr>
            <w:tcW w:w="709" w:type="dxa"/>
            <w:vAlign w:val="center"/>
          </w:tcPr>
          <w:p>
            <w:pPr>
              <w:pStyle w:val="100"/>
              <w:bidi w:val="0"/>
            </w:pPr>
            <w:r>
              <w:t>/</w:t>
            </w:r>
          </w:p>
        </w:tc>
        <w:tc>
          <w:tcPr>
            <w:tcW w:w="1164" w:type="dxa"/>
            <w:vAlign w:val="center"/>
          </w:tcPr>
          <w:p>
            <w:pPr>
              <w:pStyle w:val="100"/>
              <w:bidi w:val="0"/>
            </w:pPr>
            <w:r>
              <w:t>瞬时采样，至少3个</w:t>
            </w:r>
          </w:p>
        </w:tc>
        <w:tc>
          <w:tcPr>
            <w:tcW w:w="734" w:type="dxa"/>
            <w:vAlign w:val="center"/>
          </w:tcPr>
          <w:p>
            <w:pPr>
              <w:pStyle w:val="100"/>
              <w:bidi w:val="0"/>
            </w:pPr>
            <w:r>
              <w:t>1次/1季</w:t>
            </w:r>
          </w:p>
        </w:tc>
        <w:tc>
          <w:tcPr>
            <w:tcW w:w="710" w:type="dxa"/>
            <w:vAlign w:val="center"/>
          </w:tcPr>
          <w:p>
            <w:pPr>
              <w:pStyle w:val="100"/>
              <w:bidi w:val="0"/>
            </w:pPr>
            <w:r>
              <w:t>钼酸铵分光光度法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8" w:type="dxa"/>
            <w:vAlign w:val="center"/>
          </w:tcPr>
          <w:p>
            <w:pPr>
              <w:pStyle w:val="100"/>
              <w:bidi w:val="0"/>
            </w:pPr>
            <w:r>
              <w:t>5</w:t>
            </w:r>
          </w:p>
        </w:tc>
        <w:tc>
          <w:tcPr>
            <w:tcW w:w="883" w:type="dxa"/>
            <w:vMerge w:val="continue"/>
            <w:vAlign w:val="center"/>
          </w:tcPr>
          <w:p>
            <w:pPr>
              <w:pStyle w:val="100"/>
              <w:bidi w:val="0"/>
            </w:pPr>
          </w:p>
        </w:tc>
        <w:tc>
          <w:tcPr>
            <w:tcW w:w="782" w:type="dxa"/>
            <w:vAlign w:val="center"/>
          </w:tcPr>
          <w:p>
            <w:pPr>
              <w:pStyle w:val="100"/>
              <w:bidi w:val="0"/>
            </w:pPr>
            <w:r>
              <w:t>总氮</w:t>
            </w:r>
          </w:p>
        </w:tc>
        <w:tc>
          <w:tcPr>
            <w:tcW w:w="709" w:type="dxa"/>
            <w:vAlign w:val="center"/>
          </w:tcPr>
          <w:p>
            <w:pPr>
              <w:pStyle w:val="100"/>
              <w:bidi w:val="0"/>
            </w:pPr>
            <w:r>
              <w:t>手动</w:t>
            </w:r>
          </w:p>
        </w:tc>
        <w:tc>
          <w:tcPr>
            <w:tcW w:w="708" w:type="dxa"/>
            <w:vAlign w:val="center"/>
          </w:tcPr>
          <w:p>
            <w:pPr>
              <w:pStyle w:val="100"/>
              <w:bidi w:val="0"/>
            </w:pPr>
            <w:r>
              <w:t>/</w:t>
            </w:r>
          </w:p>
        </w:tc>
        <w:tc>
          <w:tcPr>
            <w:tcW w:w="993" w:type="dxa"/>
            <w:vAlign w:val="center"/>
          </w:tcPr>
          <w:p>
            <w:pPr>
              <w:pStyle w:val="100"/>
              <w:bidi w:val="0"/>
            </w:pPr>
            <w:r>
              <w:t>/</w:t>
            </w:r>
          </w:p>
        </w:tc>
        <w:tc>
          <w:tcPr>
            <w:tcW w:w="708" w:type="dxa"/>
            <w:vAlign w:val="center"/>
          </w:tcPr>
          <w:p>
            <w:pPr>
              <w:pStyle w:val="100"/>
              <w:bidi w:val="0"/>
            </w:pPr>
            <w:r>
              <w:t>/</w:t>
            </w:r>
          </w:p>
        </w:tc>
        <w:tc>
          <w:tcPr>
            <w:tcW w:w="709" w:type="dxa"/>
            <w:vAlign w:val="center"/>
          </w:tcPr>
          <w:p>
            <w:pPr>
              <w:pStyle w:val="100"/>
              <w:bidi w:val="0"/>
            </w:pPr>
            <w:r>
              <w:t>/</w:t>
            </w:r>
          </w:p>
        </w:tc>
        <w:tc>
          <w:tcPr>
            <w:tcW w:w="1164" w:type="dxa"/>
            <w:vAlign w:val="center"/>
          </w:tcPr>
          <w:p>
            <w:pPr>
              <w:pStyle w:val="100"/>
              <w:bidi w:val="0"/>
            </w:pPr>
            <w:r>
              <w:t>瞬时采样，至少3个</w:t>
            </w:r>
          </w:p>
        </w:tc>
        <w:tc>
          <w:tcPr>
            <w:tcW w:w="734" w:type="dxa"/>
            <w:vAlign w:val="center"/>
          </w:tcPr>
          <w:p>
            <w:pPr>
              <w:pStyle w:val="100"/>
              <w:bidi w:val="0"/>
            </w:pPr>
            <w:r>
              <w:t>1次/1季</w:t>
            </w:r>
          </w:p>
        </w:tc>
        <w:tc>
          <w:tcPr>
            <w:tcW w:w="710" w:type="dxa"/>
            <w:vAlign w:val="center"/>
          </w:tcPr>
          <w:p>
            <w:pPr>
              <w:pStyle w:val="100"/>
              <w:bidi w:val="0"/>
            </w:pPr>
            <w:r>
              <w:t>碱性过硫酸钾消解紫外分光光度法</w:t>
            </w:r>
          </w:p>
        </w:tc>
      </w:tr>
    </w:tbl>
    <w:p>
      <w:pPr>
        <w:pStyle w:val="103"/>
        <w:bidi w:val="0"/>
      </w:pPr>
      <w:r>
        <w:t>按照上述监测的要求配备必要的监测仪器或委托有关监测部门监测。</w:t>
      </w:r>
    </w:p>
    <w:p>
      <w:pPr>
        <w:pStyle w:val="103"/>
        <w:bidi w:val="0"/>
      </w:pPr>
      <w:r>
        <w:t>监测数据和污染治理设施效率测试数据建立环保档案保存，为监督执行</w:t>
      </w:r>
      <w:r>
        <w:rPr>
          <w:rFonts w:hint="eastAsia"/>
          <w:lang w:val="en-US" w:eastAsia="zh-CN"/>
        </w:rPr>
        <w:t>环境</w:t>
      </w:r>
      <w:r>
        <w:t>法规和排放标准提供依据。</w:t>
      </w:r>
    </w:p>
    <w:p>
      <w:pPr>
        <w:pStyle w:val="104"/>
      </w:pPr>
      <w:r>
        <w:t>噪声环境影响分析</w:t>
      </w:r>
    </w:p>
    <w:p>
      <w:pPr>
        <w:pStyle w:val="105"/>
      </w:pPr>
      <w:r>
        <w:t>拟采取的污染防治措施</w:t>
      </w:r>
    </w:p>
    <w:p>
      <w:pPr>
        <w:pStyle w:val="103"/>
        <w:bidi w:val="0"/>
      </w:pPr>
      <w:r>
        <w:t>项目噪声源主要为机械设备运行时产生的机械噪声。企业在设备选型时选用低噪声设备，合理布局，并采取相应的控制措施，预计厂界噪声可以满足《工业企业厂界环境噪声排放标准》（GB3096-2008）</w:t>
      </w:r>
      <w:r>
        <w:rPr>
          <w:rFonts w:hint="eastAsia"/>
        </w:rPr>
        <w:t>3</w:t>
      </w:r>
      <w:r>
        <w:t>类</w:t>
      </w:r>
      <w:r>
        <w:rPr>
          <w:rFonts w:hint="eastAsia"/>
          <w:lang w:eastAsia="zh-CN"/>
        </w:rPr>
        <w:t>、</w:t>
      </w:r>
      <w:r>
        <w:rPr>
          <w:rFonts w:hint="eastAsia"/>
          <w:lang w:val="en-US" w:eastAsia="zh-CN"/>
        </w:rPr>
        <w:t>4a类</w:t>
      </w:r>
      <w:r>
        <w:t>标准</w:t>
      </w:r>
      <w:r>
        <w:rPr>
          <w:rFonts w:hint="eastAsia"/>
        </w:rPr>
        <w:t>，</w:t>
      </w:r>
      <w:r>
        <w:t>不产生噪声扰民现象。</w:t>
      </w:r>
    </w:p>
    <w:p>
      <w:pPr>
        <w:pStyle w:val="105"/>
      </w:pPr>
      <w:r>
        <w:rPr>
          <w:rFonts w:hint="eastAsia"/>
        </w:rPr>
        <w:t>影响分析及评价</w:t>
      </w:r>
    </w:p>
    <w:p>
      <w:pPr>
        <w:pStyle w:val="349"/>
        <w:numPr>
          <w:ilvl w:val="0"/>
          <w:numId w:val="21"/>
        </w:numPr>
      </w:pPr>
      <w:r>
        <w:rPr>
          <w:rFonts w:hint="eastAsia"/>
        </w:rPr>
        <w:t>评级等级</w:t>
      </w:r>
    </w:p>
    <w:p>
      <w:pPr>
        <w:pStyle w:val="103"/>
        <w:bidi w:val="0"/>
      </w:pPr>
      <w:r>
        <w:rPr>
          <w:rFonts w:hint="eastAsia"/>
        </w:rPr>
        <w:t>本项目选址在吴江经济技术开发区吉市东路217号，声环境功能要求为3类，项目周边200m范围无声环境敏感目标，且项目建设前后噪声级增加量小于3dB(A)。根据《环境影响评价技术导则-声环境》（HJ2.4-2009）规定，判定建设项目声环境影响评价工作等级为三级。</w:t>
      </w:r>
    </w:p>
    <w:p>
      <w:pPr>
        <w:pStyle w:val="349"/>
        <w:rPr>
          <w:color w:val="auto"/>
        </w:rPr>
      </w:pPr>
      <w:r>
        <w:rPr>
          <w:rFonts w:hint="eastAsia"/>
          <w:color w:val="auto"/>
        </w:rPr>
        <w:t>评价范围</w:t>
      </w:r>
    </w:p>
    <w:p>
      <w:pPr>
        <w:pStyle w:val="103"/>
        <w:bidi w:val="0"/>
      </w:pPr>
      <w:r>
        <w:t>本项目</w:t>
      </w:r>
      <w:r>
        <w:rPr>
          <w:rFonts w:hint="eastAsia"/>
        </w:rPr>
        <w:t>建设项目所在区域为位于吴江经济技术开发区吉市东路217号，用地性质为工业用地，属于</w:t>
      </w:r>
      <w:r>
        <w:rPr>
          <w:rFonts w:hint="eastAsia"/>
          <w:lang w:val="en-US" w:eastAsia="zh-CN"/>
        </w:rPr>
        <w:t>3</w:t>
      </w:r>
      <w:r>
        <w:rPr>
          <w:rFonts w:hint="eastAsia"/>
        </w:rPr>
        <w:t>类标准地区，对照《环境影响评价技术导则声环境》（HJ 2.4-2009）的规定，确定本项目声环境影响评价等级为三级。根据导则相关要求二级、三级评价范围可根据建设项目所处区域的声环境功能区类别及敏感目标等实际情况适当缩小。本项目附近200米范围内无噪声敏感点，故本项目评价范围为四周厂界外200m。</w:t>
      </w:r>
    </w:p>
    <w:p>
      <w:pPr>
        <w:pStyle w:val="349"/>
        <w:rPr>
          <w:color w:val="auto"/>
        </w:rPr>
      </w:pPr>
      <w:r>
        <w:rPr>
          <w:rFonts w:hint="eastAsia"/>
          <w:color w:val="auto"/>
        </w:rPr>
        <w:t>环境影响预测、分析与评价</w:t>
      </w:r>
    </w:p>
    <w:p>
      <w:pPr>
        <w:pStyle w:val="103"/>
        <w:bidi w:val="0"/>
        <w:rPr>
          <w:rFonts w:hint="eastAsia"/>
        </w:rPr>
      </w:pPr>
      <w:r>
        <w:rPr>
          <w:rFonts w:hint="eastAsia"/>
        </w:rPr>
        <w:t>根据《市政府关于印发苏州市市区声环境功能区划分规定（2018年修订版）的通知》（苏府[2019]19号）中对于吴江声功能区的划分：</w:t>
      </w:r>
    </w:p>
    <w:p>
      <w:pPr>
        <w:pStyle w:val="103"/>
        <w:bidi w:val="0"/>
        <w:rPr>
          <w:rFonts w:hint="eastAsia"/>
        </w:rPr>
      </w:pPr>
      <w:bookmarkStart w:id="78" w:name="_Toc14607"/>
      <w:r>
        <w:rPr>
          <w:rFonts w:hint="eastAsia"/>
        </w:rPr>
        <w:t>一、1类声环境功能区</w:t>
      </w:r>
      <w:bookmarkEnd w:id="78"/>
    </w:p>
    <w:p>
      <w:pPr>
        <w:pStyle w:val="103"/>
        <w:bidi w:val="0"/>
        <w:rPr>
          <w:rFonts w:hint="eastAsia"/>
        </w:rPr>
      </w:pPr>
      <w:r>
        <w:rPr>
          <w:rFonts w:hint="eastAsia"/>
        </w:rPr>
        <w:t>（一）吴江区。</w:t>
      </w:r>
    </w:p>
    <w:p>
      <w:pPr>
        <w:pStyle w:val="103"/>
        <w:bidi w:val="0"/>
        <w:rPr>
          <w:rFonts w:hint="eastAsia"/>
        </w:rPr>
      </w:pPr>
      <w:r>
        <w:rPr>
          <w:rFonts w:hint="eastAsia"/>
        </w:rPr>
        <w:t>自双板桥路-鲂乡南路-学院路-苏州河路-笠泽路-仲英大道-双板桥路以内的区域（I）。</w:t>
      </w:r>
    </w:p>
    <w:p>
      <w:pPr>
        <w:pStyle w:val="103"/>
        <w:bidi w:val="0"/>
        <w:rPr>
          <w:rFonts w:hint="eastAsia"/>
        </w:rPr>
      </w:pPr>
      <w:bookmarkStart w:id="79" w:name="_Toc15193"/>
      <w:r>
        <w:rPr>
          <w:rFonts w:hint="eastAsia"/>
        </w:rPr>
        <w:t>二、2类声环境功能区</w:t>
      </w:r>
      <w:bookmarkEnd w:id="79"/>
    </w:p>
    <w:p>
      <w:pPr>
        <w:pStyle w:val="103"/>
        <w:bidi w:val="0"/>
        <w:rPr>
          <w:rFonts w:hint="eastAsia"/>
        </w:rPr>
      </w:pPr>
      <w:r>
        <w:rPr>
          <w:rFonts w:hint="eastAsia"/>
        </w:rPr>
        <w:t>（一）吴江区。</w:t>
      </w:r>
    </w:p>
    <w:p>
      <w:pPr>
        <w:pStyle w:val="103"/>
        <w:bidi w:val="0"/>
        <w:rPr>
          <w:rFonts w:hint="eastAsia"/>
        </w:rPr>
      </w:pPr>
      <w:r>
        <w:rPr>
          <w:rFonts w:hint="eastAsia"/>
        </w:rPr>
        <w:t>1.自花港路-华鸿路-苏州河东北岸-沿吴江区与吴中区交界线向东-西湖花苑西区北侧小河-西湖花苑西区东侧道路-花港路以内的区域。</w:t>
      </w:r>
    </w:p>
    <w:p>
      <w:pPr>
        <w:pStyle w:val="103"/>
        <w:bidi w:val="0"/>
        <w:rPr>
          <w:rFonts w:hint="eastAsia"/>
        </w:rPr>
      </w:pPr>
      <w:r>
        <w:rPr>
          <w:rFonts w:hint="eastAsia"/>
        </w:rPr>
        <w:t>2.自苏州河-柳胥路-中山北路-江陵东路-京杭运河-江兴东路-运东大道-三兴路-常台高速-云梨路-京杭运河-云龙西路-松陵大道-学院路-秋枫街-苏州河以内的区域（扣除1类区I ）。</w:t>
      </w:r>
    </w:p>
    <w:p>
      <w:pPr>
        <w:pStyle w:val="103"/>
        <w:bidi w:val="0"/>
        <w:rPr>
          <w:rFonts w:hint="eastAsia"/>
        </w:rPr>
      </w:pPr>
      <w:bookmarkStart w:id="80" w:name="_Toc24735"/>
      <w:r>
        <w:rPr>
          <w:rFonts w:hint="eastAsia"/>
        </w:rPr>
        <w:t>三、3类声环境功能区</w:t>
      </w:r>
      <w:bookmarkEnd w:id="80"/>
    </w:p>
    <w:p>
      <w:pPr>
        <w:pStyle w:val="103"/>
        <w:bidi w:val="0"/>
        <w:rPr>
          <w:rFonts w:hint="eastAsia"/>
        </w:rPr>
      </w:pPr>
      <w:r>
        <w:rPr>
          <w:rFonts w:hint="eastAsia"/>
        </w:rPr>
        <w:t>（一）吴江区。</w:t>
      </w:r>
    </w:p>
    <w:p>
      <w:pPr>
        <w:pStyle w:val="103"/>
        <w:bidi w:val="0"/>
        <w:rPr>
          <w:rFonts w:hint="eastAsia"/>
        </w:rPr>
      </w:pPr>
      <w:r>
        <w:rPr>
          <w:rFonts w:hint="eastAsia"/>
        </w:rPr>
        <w:t>1.自京杭运河-樟木河-花港路-华鸿路-苏州河东岸-柳胥路-中山北路-江陵西路-运河路-江兴东路-远东大道-三兴路-常台高速-杜公漾-京杭运河以内的区域。</w:t>
      </w:r>
    </w:p>
    <w:p>
      <w:pPr>
        <w:pStyle w:val="103"/>
        <w:bidi w:val="0"/>
        <w:rPr>
          <w:rFonts w:hint="eastAsia"/>
        </w:rPr>
      </w:pPr>
      <w:r>
        <w:rPr>
          <w:rFonts w:hint="eastAsia"/>
        </w:rPr>
        <w:t>2.自京杭运河-云梨路-常台高速-云龙西路-京杭运河以内的区域。</w:t>
      </w:r>
    </w:p>
    <w:p>
      <w:pPr>
        <w:pStyle w:val="103"/>
        <w:bidi w:val="0"/>
        <w:rPr>
          <w:rFonts w:hint="eastAsia"/>
        </w:rPr>
      </w:pPr>
      <w:bookmarkStart w:id="81" w:name="_Toc31183"/>
      <w:r>
        <w:rPr>
          <w:rFonts w:hint="eastAsia"/>
        </w:rPr>
        <w:t>四、农村声环境功能区的确定</w:t>
      </w:r>
      <w:bookmarkEnd w:id="81"/>
    </w:p>
    <w:p>
      <w:pPr>
        <w:pStyle w:val="103"/>
        <w:bidi w:val="0"/>
        <w:rPr>
          <w:rFonts w:hint="eastAsia"/>
        </w:rPr>
      </w:pPr>
      <w:r>
        <w:rPr>
          <w:rFonts w:hint="eastAsia"/>
        </w:rPr>
        <w:t>乡村区域不划分声环境功能区，按以下要求确定乡村区域适用的声环境质量 要求：</w:t>
      </w:r>
    </w:p>
    <w:p>
      <w:pPr>
        <w:pStyle w:val="103"/>
        <w:bidi w:val="0"/>
        <w:rPr>
          <w:rFonts w:hint="eastAsia"/>
        </w:rPr>
      </w:pPr>
      <w:r>
        <w:rPr>
          <w:rFonts w:hint="eastAsia"/>
        </w:rPr>
        <w:t>1.位于乡村的康复疗养区执行0类声环境功能区要求；</w:t>
      </w:r>
    </w:p>
    <w:p>
      <w:pPr>
        <w:pStyle w:val="103"/>
        <w:bidi w:val="0"/>
        <w:rPr>
          <w:rFonts w:hint="eastAsia"/>
        </w:rPr>
      </w:pPr>
      <w:r>
        <w:rPr>
          <w:rFonts w:hint="eastAsia"/>
        </w:rPr>
        <w:t>2.村庄原则上执行1类声环境功能区要求，工业活动较多的村庄以及有交通干线经过的村庄(指执行4类声环境功能区要求以外的地区)可局部或全部执行2类声环境功能区要求；</w:t>
      </w:r>
    </w:p>
    <w:p>
      <w:pPr>
        <w:pStyle w:val="103"/>
        <w:bidi w:val="0"/>
        <w:rPr>
          <w:rFonts w:hint="eastAsia"/>
        </w:rPr>
      </w:pPr>
      <w:r>
        <w:rPr>
          <w:rFonts w:hint="eastAsia"/>
        </w:rPr>
        <w:t>3.集镇执行2类声环境功能区要求；</w:t>
      </w:r>
    </w:p>
    <w:p>
      <w:pPr>
        <w:pStyle w:val="103"/>
        <w:bidi w:val="0"/>
        <w:rPr>
          <w:rFonts w:hint="eastAsia"/>
        </w:rPr>
      </w:pPr>
      <w:r>
        <w:rPr>
          <w:rFonts w:hint="eastAsia"/>
        </w:rPr>
        <w:t>4.独立于村庄、集镇之外的工业、仓储集中区执行3类声环境功能区要求；</w:t>
      </w:r>
    </w:p>
    <w:p>
      <w:pPr>
        <w:pStyle w:val="103"/>
        <w:bidi w:val="0"/>
        <w:rPr>
          <w:rFonts w:hint="eastAsia"/>
        </w:rPr>
      </w:pPr>
      <w:r>
        <w:rPr>
          <w:rFonts w:hint="eastAsia"/>
        </w:rPr>
        <w:t>5.位于交通干线两侧一定距离(参考GB/T 15190第8.3条规定)内的噪声敏感建筑物执行4类声环境功能区要求。</w:t>
      </w:r>
    </w:p>
    <w:p>
      <w:pPr>
        <w:pStyle w:val="103"/>
        <w:bidi w:val="0"/>
        <w:rPr>
          <w:rFonts w:hint="eastAsia"/>
        </w:rPr>
      </w:pPr>
      <w:r>
        <w:rPr>
          <w:rFonts w:hint="eastAsia"/>
        </w:rPr>
        <w:t>建设项目所在区域位于</w:t>
      </w:r>
      <w:r>
        <w:rPr>
          <w:rFonts w:hint="eastAsia"/>
          <w:lang w:val="en-US" w:eastAsia="zh-CN"/>
        </w:rPr>
        <w:t>吴江经济技术开发区吉市东路217号</w:t>
      </w:r>
      <w:r>
        <w:rPr>
          <w:rFonts w:hint="eastAsia"/>
        </w:rPr>
        <w:t>，用地性质为工业用地，属于</w:t>
      </w:r>
      <w:r>
        <w:rPr>
          <w:rFonts w:hint="eastAsia"/>
          <w:lang w:val="en-US" w:eastAsia="zh-CN"/>
        </w:rPr>
        <w:t>3</w:t>
      </w:r>
      <w:r>
        <w:rPr>
          <w:rFonts w:hint="eastAsia"/>
        </w:rPr>
        <w:t>类标准地区，项目建设前后噪声变化量较小，受影响的人口变化不大；对照《环境影响评价技术导则声环境》（HJ 2.4-2009）的规定，确定本项目声环境影响评价等级为三级。</w:t>
      </w:r>
    </w:p>
    <w:p>
      <w:pPr>
        <w:pStyle w:val="103"/>
        <w:bidi w:val="0"/>
        <w:rPr>
          <w:rFonts w:hint="eastAsia"/>
        </w:rPr>
      </w:pPr>
      <w:r>
        <w:rPr>
          <w:rFonts w:hint="eastAsia"/>
        </w:rPr>
        <w:t>项目噪声源主要为印刷机、</w:t>
      </w:r>
      <w:r>
        <w:rPr>
          <w:rFonts w:hint="eastAsia"/>
          <w:lang w:val="en-US" w:eastAsia="zh-CN"/>
        </w:rPr>
        <w:t>模切机、冲床、空压机、打孔机、废气治理设施</w:t>
      </w:r>
      <w:r>
        <w:rPr>
          <w:rFonts w:hint="eastAsia"/>
        </w:rPr>
        <w:t>等设备产生的噪声。根据类比调查，设备噪声在70～85dB（A）之间。</w:t>
      </w:r>
    </w:p>
    <w:p>
      <w:pPr>
        <w:pStyle w:val="103"/>
        <w:bidi w:val="0"/>
      </w:pPr>
      <w:r>
        <w:rPr>
          <w:rFonts w:hint="eastAsia"/>
        </w:rPr>
        <w:t>建设项目各类生产设备均安置于厂房内，厂房设计隔声≥25dB(A)。在保证正常生产的前提下优先选用低噪声的设备；合理车间平面布局，如高噪声设备布置在车间中间位置、对锯床等采用减振降噪、工作台固定并安装缓冲垫片等一系列减震降噪措施，减少项目噪声排放，并加强管理，使设备处于良好运转状态。</w:t>
      </w:r>
    </w:p>
    <w:p>
      <w:pPr>
        <w:pStyle w:val="103"/>
        <w:bidi w:val="0"/>
      </w:pPr>
      <w:r>
        <w:rPr>
          <w:rFonts w:hint="eastAsia"/>
        </w:rPr>
        <w:t>根据《环境影响评价技术导则—声环境》（HJ2.4-2009）选取预测模式，应用过程中将根据具体情况作必要简化：</w:t>
      </w:r>
    </w:p>
    <w:p>
      <w:pPr>
        <w:pStyle w:val="103"/>
        <w:bidi w:val="0"/>
      </w:pPr>
      <w:r>
        <w:rPr>
          <w:rFonts w:hint="eastAsia"/>
        </w:rPr>
        <w:t>①室外点声源在预测点的倍频带声压级</w:t>
      </w:r>
    </w:p>
    <w:p>
      <w:pPr>
        <w:pStyle w:val="103"/>
        <w:bidi w:val="0"/>
      </w:pPr>
      <w:r>
        <w:rPr>
          <w:rFonts w:hint="eastAsia"/>
        </w:rPr>
        <w:t>a.某个点源在预测点的倍频带声压级</w:t>
      </w:r>
    </w:p>
    <w:p>
      <w:pPr>
        <w:pStyle w:val="103"/>
        <w:bidi w:val="0"/>
      </w:pPr>
      <w:r>
        <w:rPr>
          <w:rFonts w:hint="eastAsia"/>
        </w:rPr>
        <w:drawing>
          <wp:inline distT="0" distB="0" distL="114300" distR="114300">
            <wp:extent cx="2443480" cy="280670"/>
            <wp:effectExtent l="0" t="0" r="10160" b="889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8"/>
                    <a:stretch>
                      <a:fillRect/>
                    </a:stretch>
                  </pic:blipFill>
                  <pic:spPr>
                    <a:xfrm>
                      <a:off x="0" y="0"/>
                      <a:ext cx="2443480" cy="280670"/>
                    </a:xfrm>
                    <a:prstGeom prst="rect">
                      <a:avLst/>
                    </a:prstGeom>
                    <a:noFill/>
                    <a:ln>
                      <a:noFill/>
                    </a:ln>
                  </pic:spPr>
                </pic:pic>
              </a:graphicData>
            </a:graphic>
          </wp:inline>
        </w:drawing>
      </w:r>
    </w:p>
    <w:p>
      <w:pPr>
        <w:pStyle w:val="103"/>
        <w:bidi w:val="0"/>
      </w:pPr>
      <w:r>
        <w:rPr>
          <w:rFonts w:hint="eastAsia"/>
        </w:rPr>
        <w:t>b.如果已知声源的倍频带声功率级Lwcot，且声源可看作是位于地面上的，则：</w:t>
      </w:r>
    </w:p>
    <w:p>
      <w:pPr>
        <w:pStyle w:val="103"/>
        <w:bidi w:val="0"/>
      </w:pPr>
      <w:r>
        <w:rPr>
          <w:rFonts w:hint="eastAsia"/>
        </w:rPr>
        <w:drawing>
          <wp:inline distT="0" distB="0" distL="114300" distR="114300">
            <wp:extent cx="1574165" cy="300355"/>
            <wp:effectExtent l="0" t="0" r="10795" b="444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9"/>
                    <a:stretch>
                      <a:fillRect/>
                    </a:stretch>
                  </pic:blipFill>
                  <pic:spPr>
                    <a:xfrm>
                      <a:off x="0" y="0"/>
                      <a:ext cx="1574165" cy="300355"/>
                    </a:xfrm>
                    <a:prstGeom prst="rect">
                      <a:avLst/>
                    </a:prstGeom>
                    <a:noFill/>
                    <a:ln>
                      <a:noFill/>
                    </a:ln>
                  </pic:spPr>
                </pic:pic>
              </a:graphicData>
            </a:graphic>
          </wp:inline>
        </w:drawing>
      </w:r>
    </w:p>
    <w:p>
      <w:pPr>
        <w:pStyle w:val="103"/>
        <w:bidi w:val="0"/>
      </w:pPr>
      <w:r>
        <w:rPr>
          <w:rFonts w:hint="eastAsia"/>
        </w:rPr>
        <w:t>c.由各倍频带声压级合成计算出该声源产生的A 声级LA：</w:t>
      </w:r>
    </w:p>
    <w:p>
      <w:pPr>
        <w:pStyle w:val="103"/>
        <w:bidi w:val="0"/>
      </w:pPr>
      <w:r>
        <w:rPr>
          <w:rFonts w:hint="eastAsia"/>
        </w:rPr>
        <w:drawing>
          <wp:inline distT="0" distB="0" distL="114300" distR="114300">
            <wp:extent cx="1526540" cy="318770"/>
            <wp:effectExtent l="0" t="0" r="12700" b="127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30"/>
                    <a:stretch>
                      <a:fillRect/>
                    </a:stretch>
                  </pic:blipFill>
                  <pic:spPr>
                    <a:xfrm>
                      <a:off x="0" y="0"/>
                      <a:ext cx="1526540" cy="318770"/>
                    </a:xfrm>
                    <a:prstGeom prst="rect">
                      <a:avLst/>
                    </a:prstGeom>
                    <a:noFill/>
                    <a:ln>
                      <a:noFill/>
                    </a:ln>
                  </pic:spPr>
                </pic:pic>
              </a:graphicData>
            </a:graphic>
          </wp:inline>
        </w:drawing>
      </w:r>
    </w:p>
    <w:p>
      <w:pPr>
        <w:pStyle w:val="103"/>
        <w:bidi w:val="0"/>
      </w:pPr>
      <w:r>
        <w:rPr>
          <w:rFonts w:hint="eastAsia"/>
        </w:rPr>
        <w:t>式中ΔLi为A计权网络修正值。</w:t>
      </w:r>
    </w:p>
    <w:p>
      <w:pPr>
        <w:pStyle w:val="103"/>
        <w:bidi w:val="0"/>
      </w:pPr>
      <w:r>
        <w:rPr>
          <w:rFonts w:hint="eastAsia"/>
        </w:rPr>
        <w:t>d.各声源在预测点产生的声级的合成</w:t>
      </w:r>
    </w:p>
    <w:p>
      <w:pPr>
        <w:pStyle w:val="103"/>
        <w:bidi w:val="0"/>
      </w:pPr>
      <w:r>
        <w:rPr>
          <w:rFonts w:hint="eastAsia"/>
        </w:rPr>
        <w:drawing>
          <wp:inline distT="0" distB="0" distL="114300" distR="114300">
            <wp:extent cx="1541780" cy="359410"/>
            <wp:effectExtent l="0" t="0" r="12700" b="635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31"/>
                    <a:stretch>
                      <a:fillRect/>
                    </a:stretch>
                  </pic:blipFill>
                  <pic:spPr>
                    <a:xfrm>
                      <a:off x="0" y="0"/>
                      <a:ext cx="1541780" cy="359410"/>
                    </a:xfrm>
                    <a:prstGeom prst="rect">
                      <a:avLst/>
                    </a:prstGeom>
                    <a:noFill/>
                    <a:ln>
                      <a:noFill/>
                    </a:ln>
                  </pic:spPr>
                </pic:pic>
              </a:graphicData>
            </a:graphic>
          </wp:inline>
        </w:drawing>
      </w:r>
    </w:p>
    <w:p>
      <w:pPr>
        <w:pStyle w:val="103"/>
        <w:bidi w:val="0"/>
      </w:pPr>
      <w:r>
        <w:rPr>
          <w:rFonts w:hint="eastAsia"/>
        </w:rPr>
        <w:t>②室内点声源的预测</w:t>
      </w:r>
    </w:p>
    <w:p>
      <w:pPr>
        <w:pStyle w:val="103"/>
        <w:bidi w:val="0"/>
      </w:pPr>
      <w:r>
        <w:rPr>
          <w:rFonts w:hint="eastAsia"/>
        </w:rPr>
        <w:t>a.室内靠近围护结构处的倍频带声压级：</w:t>
      </w:r>
    </w:p>
    <w:p>
      <w:pPr>
        <w:pStyle w:val="103"/>
        <w:bidi w:val="0"/>
      </w:pPr>
      <w:r>
        <w:rPr>
          <w:rFonts w:hint="eastAsia"/>
        </w:rPr>
        <w:drawing>
          <wp:inline distT="0" distB="0" distL="114300" distR="114300">
            <wp:extent cx="2302510" cy="523875"/>
            <wp:effectExtent l="0" t="0" r="13970"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2"/>
                    <a:stretch>
                      <a:fillRect/>
                    </a:stretch>
                  </pic:blipFill>
                  <pic:spPr>
                    <a:xfrm>
                      <a:off x="0" y="0"/>
                      <a:ext cx="2302510" cy="523875"/>
                    </a:xfrm>
                    <a:prstGeom prst="rect">
                      <a:avLst/>
                    </a:prstGeom>
                    <a:noFill/>
                    <a:ln>
                      <a:noFill/>
                    </a:ln>
                  </pic:spPr>
                </pic:pic>
              </a:graphicData>
            </a:graphic>
          </wp:inline>
        </w:drawing>
      </w:r>
    </w:p>
    <w:p>
      <w:pPr>
        <w:pStyle w:val="103"/>
        <w:bidi w:val="0"/>
      </w:pPr>
      <w:r>
        <w:rPr>
          <w:rFonts w:hint="eastAsia"/>
        </w:rPr>
        <w:t>b.室外声源在靠近围护结构处产生的总倍频带声压级：</w:t>
      </w:r>
    </w:p>
    <w:p>
      <w:pPr>
        <w:pStyle w:val="103"/>
        <w:bidi w:val="0"/>
      </w:pPr>
      <w:r>
        <w:rPr>
          <w:rFonts w:hint="eastAsia"/>
        </w:rPr>
        <w:drawing>
          <wp:inline distT="0" distB="0" distL="114300" distR="114300">
            <wp:extent cx="1685290" cy="347980"/>
            <wp:effectExtent l="0" t="0" r="6350" b="254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3"/>
                    <a:stretch>
                      <a:fillRect/>
                    </a:stretch>
                  </pic:blipFill>
                  <pic:spPr>
                    <a:xfrm>
                      <a:off x="0" y="0"/>
                      <a:ext cx="1685290" cy="347980"/>
                    </a:xfrm>
                    <a:prstGeom prst="rect">
                      <a:avLst/>
                    </a:prstGeom>
                    <a:noFill/>
                    <a:ln>
                      <a:noFill/>
                    </a:ln>
                  </pic:spPr>
                </pic:pic>
              </a:graphicData>
            </a:graphic>
          </wp:inline>
        </w:drawing>
      </w:r>
    </w:p>
    <w:p>
      <w:pPr>
        <w:pStyle w:val="103"/>
        <w:bidi w:val="0"/>
      </w:pPr>
      <w:r>
        <w:rPr>
          <w:rFonts w:hint="eastAsia"/>
        </w:rPr>
        <w:t>c.室外靠近围护结构处的总的声压级：</w:t>
      </w:r>
    </w:p>
    <w:p>
      <w:pPr>
        <w:pStyle w:val="103"/>
        <w:bidi w:val="0"/>
      </w:pPr>
      <w:r>
        <w:rPr>
          <w:rFonts w:hint="eastAsia"/>
        </w:rPr>
        <w:drawing>
          <wp:inline distT="0" distB="0" distL="114300" distR="114300">
            <wp:extent cx="2138680" cy="245110"/>
            <wp:effectExtent l="0" t="0" r="10160" b="1397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4"/>
                    <a:stretch>
                      <a:fillRect/>
                    </a:stretch>
                  </pic:blipFill>
                  <pic:spPr>
                    <a:xfrm>
                      <a:off x="0" y="0"/>
                      <a:ext cx="2138680" cy="245110"/>
                    </a:xfrm>
                    <a:prstGeom prst="rect">
                      <a:avLst/>
                    </a:prstGeom>
                    <a:noFill/>
                    <a:ln>
                      <a:noFill/>
                    </a:ln>
                  </pic:spPr>
                </pic:pic>
              </a:graphicData>
            </a:graphic>
          </wp:inline>
        </w:drawing>
      </w:r>
    </w:p>
    <w:p>
      <w:pPr>
        <w:pStyle w:val="103"/>
        <w:bidi w:val="0"/>
      </w:pPr>
      <w:r>
        <w:rPr>
          <w:rFonts w:hint="eastAsia"/>
        </w:rPr>
        <w:t>d.室外声压级换算成等效的室外声源：</w:t>
      </w:r>
    </w:p>
    <w:p>
      <w:pPr>
        <w:pStyle w:val="103"/>
        <w:bidi w:val="0"/>
      </w:pPr>
      <w:r>
        <w:rPr>
          <w:rFonts w:hint="eastAsia"/>
        </w:rPr>
        <w:drawing>
          <wp:inline distT="0" distB="0" distL="114300" distR="114300">
            <wp:extent cx="1835150" cy="250190"/>
            <wp:effectExtent l="0" t="0" r="8890" b="889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35"/>
                    <a:stretch>
                      <a:fillRect/>
                    </a:stretch>
                  </pic:blipFill>
                  <pic:spPr>
                    <a:xfrm>
                      <a:off x="0" y="0"/>
                      <a:ext cx="1835150" cy="250190"/>
                    </a:xfrm>
                    <a:prstGeom prst="rect">
                      <a:avLst/>
                    </a:prstGeom>
                    <a:noFill/>
                    <a:ln>
                      <a:noFill/>
                    </a:ln>
                  </pic:spPr>
                </pic:pic>
              </a:graphicData>
            </a:graphic>
          </wp:inline>
        </w:drawing>
      </w:r>
    </w:p>
    <w:p>
      <w:pPr>
        <w:pStyle w:val="103"/>
        <w:bidi w:val="0"/>
      </w:pPr>
      <w:r>
        <w:rPr>
          <w:rFonts w:hint="eastAsia"/>
        </w:rPr>
        <w:t>式中：S为透声面积。</w:t>
      </w:r>
    </w:p>
    <w:p>
      <w:pPr>
        <w:pStyle w:val="103"/>
        <w:bidi w:val="0"/>
      </w:pPr>
      <w:r>
        <w:rPr>
          <w:rFonts w:hint="eastAsia"/>
        </w:rPr>
        <w:t>e.等效室外声源的位置为围护结构的位置，其倍频带声功率级为Lwoct，由此按室外声源方法计算等效室外声源在预测点产生的声级。</w:t>
      </w:r>
    </w:p>
    <w:p>
      <w:pPr>
        <w:pStyle w:val="103"/>
        <w:bidi w:val="0"/>
      </w:pPr>
      <w:r>
        <w:rPr>
          <w:rFonts w:hint="eastAsia"/>
        </w:rPr>
        <w:t>③计算总声压级（噪声源预测点贡献声级及背景噪声叠加）</w:t>
      </w:r>
    </w:p>
    <w:p>
      <w:pPr>
        <w:pStyle w:val="103"/>
        <w:bidi w:val="0"/>
      </w:pPr>
      <w:r>
        <w:rPr>
          <w:rFonts w:hint="eastAsia"/>
        </w:rPr>
        <w:drawing>
          <wp:inline distT="0" distB="0" distL="114300" distR="114300">
            <wp:extent cx="1621155" cy="343535"/>
            <wp:effectExtent l="0" t="0" r="9525" b="698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36"/>
                    <a:stretch>
                      <a:fillRect/>
                    </a:stretch>
                  </pic:blipFill>
                  <pic:spPr>
                    <a:xfrm>
                      <a:off x="0" y="0"/>
                      <a:ext cx="1621155" cy="343535"/>
                    </a:xfrm>
                    <a:prstGeom prst="rect">
                      <a:avLst/>
                    </a:prstGeom>
                    <a:noFill/>
                    <a:ln>
                      <a:noFill/>
                    </a:ln>
                  </pic:spPr>
                </pic:pic>
              </a:graphicData>
            </a:graphic>
          </wp:inline>
        </w:drawing>
      </w:r>
    </w:p>
    <w:p>
      <w:pPr>
        <w:pStyle w:val="103"/>
        <w:bidi w:val="0"/>
      </w:pPr>
      <w:r>
        <w:rPr>
          <w:rFonts w:hint="eastAsia"/>
        </w:rPr>
        <w:t>上式中各符号的意义和单位见HJ2.4-2009。</w:t>
      </w:r>
    </w:p>
    <w:p>
      <w:pPr>
        <w:pStyle w:val="103"/>
        <w:bidi w:val="0"/>
      </w:pPr>
      <w:r>
        <w:rPr>
          <w:rFonts w:hint="eastAsia"/>
        </w:rPr>
        <w:t>由此计算建设项目厂界噪声，结算结果详见下表7-2</w:t>
      </w:r>
      <w:r>
        <w:rPr>
          <w:rFonts w:hint="eastAsia"/>
          <w:lang w:val="en-US" w:eastAsia="zh-CN"/>
        </w:rPr>
        <w:t>2</w:t>
      </w:r>
      <w:r>
        <w:rPr>
          <w:rFonts w:hint="eastAsia"/>
        </w:rPr>
        <w:t>：</w:t>
      </w:r>
    </w:p>
    <w:p>
      <w:pPr>
        <w:pStyle w:val="273"/>
        <w:bidi w:val="0"/>
        <w:rPr>
          <w:rFonts w:hint="eastAsia"/>
        </w:rPr>
      </w:pPr>
      <w:r>
        <w:rPr>
          <w:rFonts w:hint="eastAsia"/>
        </w:rPr>
        <w:t>表7-2</w:t>
      </w:r>
      <w:r>
        <w:rPr>
          <w:rFonts w:hint="eastAsia"/>
          <w:lang w:val="en-US" w:eastAsia="zh-CN"/>
        </w:rPr>
        <w:t>2</w:t>
      </w:r>
      <w:r>
        <w:rPr>
          <w:rFonts w:hint="eastAsia"/>
        </w:rPr>
        <w:t xml:space="preserve">  噪声LA贡献值预测情况    单位：dB（A）</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8"/>
        <w:gridCol w:w="1220"/>
        <w:gridCol w:w="1218"/>
        <w:gridCol w:w="1220"/>
        <w:gridCol w:w="1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Merge w:val="restart"/>
            <w:shd w:val="clear" w:color="auto" w:fill="auto"/>
            <w:vAlign w:val="center"/>
          </w:tcPr>
          <w:p>
            <w:pPr>
              <w:pStyle w:val="100"/>
              <w:bidi w:val="0"/>
            </w:pPr>
            <w:r>
              <w:rPr>
                <w:rFonts w:hint="eastAsia"/>
              </w:rPr>
              <w:t>噪声敏感点</w:t>
            </w:r>
          </w:p>
        </w:tc>
        <w:tc>
          <w:tcPr>
            <w:tcW w:w="1217" w:type="dxa"/>
            <w:vMerge w:val="restart"/>
            <w:shd w:val="clear" w:color="auto" w:fill="auto"/>
            <w:vAlign w:val="center"/>
          </w:tcPr>
          <w:p>
            <w:pPr>
              <w:pStyle w:val="100"/>
              <w:bidi w:val="0"/>
            </w:pPr>
            <w:r>
              <w:t>LA贡献值</w:t>
            </w:r>
          </w:p>
        </w:tc>
        <w:tc>
          <w:tcPr>
            <w:tcW w:w="2438" w:type="dxa"/>
            <w:gridSpan w:val="2"/>
            <w:shd w:val="clear" w:color="auto" w:fill="auto"/>
            <w:vAlign w:val="center"/>
          </w:tcPr>
          <w:p>
            <w:pPr>
              <w:pStyle w:val="100"/>
              <w:bidi w:val="0"/>
            </w:pPr>
            <w:r>
              <w:t>背景值</w:t>
            </w:r>
          </w:p>
        </w:tc>
        <w:tc>
          <w:tcPr>
            <w:tcW w:w="2438" w:type="dxa"/>
            <w:gridSpan w:val="2"/>
            <w:shd w:val="clear" w:color="auto" w:fill="auto"/>
            <w:vAlign w:val="center"/>
          </w:tcPr>
          <w:p>
            <w:pPr>
              <w:pStyle w:val="100"/>
              <w:bidi w:val="0"/>
            </w:pPr>
            <w:r>
              <w:t>叠加背景预测值</w:t>
            </w:r>
          </w:p>
        </w:tc>
        <w:tc>
          <w:tcPr>
            <w:tcW w:w="1218" w:type="dxa"/>
            <w:vMerge w:val="restart"/>
            <w:shd w:val="clear" w:color="auto" w:fill="auto"/>
            <w:vAlign w:val="center"/>
          </w:tcPr>
          <w:p>
            <w:pPr>
              <w:pStyle w:val="100"/>
              <w:bidi w:val="0"/>
            </w:pPr>
            <w: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Merge w:val="continue"/>
            <w:shd w:val="clear" w:color="auto" w:fill="000000"/>
            <w:vAlign w:val="center"/>
          </w:tcPr>
          <w:p>
            <w:pPr>
              <w:pStyle w:val="100"/>
              <w:bidi w:val="0"/>
            </w:pPr>
          </w:p>
        </w:tc>
        <w:tc>
          <w:tcPr>
            <w:tcW w:w="1217" w:type="dxa"/>
            <w:vMerge w:val="continue"/>
            <w:shd w:val="clear" w:color="auto" w:fill="000000"/>
            <w:vAlign w:val="center"/>
          </w:tcPr>
          <w:p>
            <w:pPr>
              <w:pStyle w:val="100"/>
              <w:bidi w:val="0"/>
            </w:pPr>
          </w:p>
        </w:tc>
        <w:tc>
          <w:tcPr>
            <w:tcW w:w="1218" w:type="dxa"/>
            <w:shd w:val="clear" w:color="auto" w:fill="auto"/>
            <w:vAlign w:val="center"/>
          </w:tcPr>
          <w:p>
            <w:pPr>
              <w:pStyle w:val="100"/>
              <w:bidi w:val="0"/>
            </w:pPr>
            <w:r>
              <w:t>昼间</w:t>
            </w:r>
          </w:p>
        </w:tc>
        <w:tc>
          <w:tcPr>
            <w:tcW w:w="1220" w:type="dxa"/>
            <w:shd w:val="clear" w:color="auto" w:fill="auto"/>
            <w:vAlign w:val="center"/>
          </w:tcPr>
          <w:p>
            <w:pPr>
              <w:pStyle w:val="100"/>
              <w:bidi w:val="0"/>
            </w:pPr>
            <w:r>
              <w:t>夜间</w:t>
            </w:r>
          </w:p>
        </w:tc>
        <w:tc>
          <w:tcPr>
            <w:tcW w:w="1218" w:type="dxa"/>
            <w:shd w:val="clear" w:color="auto" w:fill="auto"/>
            <w:vAlign w:val="center"/>
          </w:tcPr>
          <w:p>
            <w:pPr>
              <w:pStyle w:val="100"/>
              <w:bidi w:val="0"/>
            </w:pPr>
            <w:r>
              <w:t>昼间</w:t>
            </w:r>
          </w:p>
        </w:tc>
        <w:tc>
          <w:tcPr>
            <w:tcW w:w="1220" w:type="dxa"/>
            <w:shd w:val="clear" w:color="auto" w:fill="auto"/>
            <w:vAlign w:val="center"/>
          </w:tcPr>
          <w:p>
            <w:pPr>
              <w:pStyle w:val="100"/>
              <w:bidi w:val="0"/>
            </w:pPr>
            <w:r>
              <w:t>夜间</w:t>
            </w:r>
          </w:p>
        </w:tc>
        <w:tc>
          <w:tcPr>
            <w:tcW w:w="1218" w:type="dxa"/>
            <w:vMerge w:val="continue"/>
            <w:vAlign w:val="center"/>
          </w:tcPr>
          <w:p>
            <w:pPr>
              <w:pStyle w:val="10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Align w:val="center"/>
          </w:tcPr>
          <w:p>
            <w:pPr>
              <w:pStyle w:val="100"/>
              <w:bidi w:val="0"/>
            </w:pPr>
            <w:r>
              <w:t>厂界</w:t>
            </w:r>
            <w:r>
              <w:rPr>
                <w:rFonts w:hint="eastAsia"/>
              </w:rPr>
              <w:t>东N1</w:t>
            </w:r>
          </w:p>
        </w:tc>
        <w:tc>
          <w:tcPr>
            <w:tcW w:w="1217" w:type="dxa"/>
            <w:vAlign w:val="center"/>
          </w:tcPr>
          <w:p>
            <w:pPr>
              <w:pStyle w:val="100"/>
              <w:bidi w:val="0"/>
            </w:pPr>
            <w:r>
              <w:t>4</w:t>
            </w:r>
            <w:r>
              <w:rPr>
                <w:rFonts w:hint="eastAsia"/>
              </w:rPr>
              <w:t>2</w:t>
            </w:r>
            <w:r>
              <w:t>.2</w:t>
            </w:r>
            <w:r>
              <w:rPr>
                <w:rFonts w:hint="eastAsia"/>
              </w:rPr>
              <w:t>2</w:t>
            </w:r>
          </w:p>
        </w:tc>
        <w:tc>
          <w:tcPr>
            <w:tcW w:w="1218" w:type="dxa"/>
            <w:vAlign w:val="center"/>
          </w:tcPr>
          <w:p>
            <w:pPr>
              <w:pStyle w:val="100"/>
              <w:bidi w:val="0"/>
            </w:pPr>
            <w:r>
              <w:rPr>
                <w:rFonts w:hint="eastAsia"/>
              </w:rPr>
              <w:t>55</w:t>
            </w:r>
          </w:p>
        </w:tc>
        <w:tc>
          <w:tcPr>
            <w:tcW w:w="1220" w:type="dxa"/>
            <w:vAlign w:val="center"/>
          </w:tcPr>
          <w:p>
            <w:pPr>
              <w:pStyle w:val="100"/>
              <w:bidi w:val="0"/>
            </w:pPr>
            <w:r>
              <w:rPr>
                <w:rFonts w:hint="eastAsia"/>
              </w:rPr>
              <w:t>48</w:t>
            </w:r>
          </w:p>
        </w:tc>
        <w:tc>
          <w:tcPr>
            <w:tcW w:w="1218" w:type="dxa"/>
            <w:vAlign w:val="center"/>
          </w:tcPr>
          <w:p>
            <w:pPr>
              <w:pStyle w:val="100"/>
              <w:bidi w:val="0"/>
            </w:pPr>
            <w:r>
              <w:rPr>
                <w:rFonts w:hint="eastAsia"/>
              </w:rPr>
              <w:t>55</w:t>
            </w:r>
            <w:r>
              <w:t>.51</w:t>
            </w:r>
          </w:p>
        </w:tc>
        <w:tc>
          <w:tcPr>
            <w:tcW w:w="1220" w:type="dxa"/>
            <w:vAlign w:val="center"/>
          </w:tcPr>
          <w:p>
            <w:pPr>
              <w:pStyle w:val="100"/>
              <w:bidi w:val="0"/>
            </w:pPr>
            <w:r>
              <w:rPr>
                <w:rFonts w:hint="eastAsia"/>
              </w:rPr>
              <w:t>48.63</w:t>
            </w:r>
          </w:p>
        </w:tc>
        <w:tc>
          <w:tcPr>
            <w:tcW w:w="1218" w:type="dxa"/>
            <w:vMerge w:val="restart"/>
            <w:vAlign w:val="center"/>
          </w:tcPr>
          <w:p>
            <w:pPr>
              <w:pStyle w:val="100"/>
              <w:bidi w:val="0"/>
            </w:pPr>
            <w: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Align w:val="center"/>
          </w:tcPr>
          <w:p>
            <w:pPr>
              <w:pStyle w:val="100"/>
              <w:bidi w:val="0"/>
            </w:pPr>
            <w:r>
              <w:t>标准值</w:t>
            </w:r>
          </w:p>
        </w:tc>
        <w:tc>
          <w:tcPr>
            <w:tcW w:w="1217" w:type="dxa"/>
            <w:vAlign w:val="center"/>
          </w:tcPr>
          <w:p>
            <w:pPr>
              <w:pStyle w:val="100"/>
              <w:bidi w:val="0"/>
            </w:pPr>
            <w:r>
              <w:t>/</w:t>
            </w:r>
          </w:p>
        </w:tc>
        <w:tc>
          <w:tcPr>
            <w:tcW w:w="1218" w:type="dxa"/>
            <w:vAlign w:val="center"/>
          </w:tcPr>
          <w:p>
            <w:pPr>
              <w:pStyle w:val="100"/>
              <w:bidi w:val="0"/>
            </w:pPr>
            <w:r>
              <w:rPr>
                <w:rFonts w:hint="eastAsia"/>
              </w:rPr>
              <w:t>70</w:t>
            </w:r>
          </w:p>
        </w:tc>
        <w:tc>
          <w:tcPr>
            <w:tcW w:w="1220" w:type="dxa"/>
            <w:vAlign w:val="center"/>
          </w:tcPr>
          <w:p>
            <w:pPr>
              <w:pStyle w:val="100"/>
              <w:bidi w:val="0"/>
            </w:pPr>
            <w:r>
              <w:t>5</w:t>
            </w:r>
            <w:r>
              <w:rPr>
                <w:rFonts w:hint="eastAsia"/>
              </w:rPr>
              <w:t>5</w:t>
            </w:r>
          </w:p>
        </w:tc>
        <w:tc>
          <w:tcPr>
            <w:tcW w:w="1218" w:type="dxa"/>
            <w:vAlign w:val="center"/>
          </w:tcPr>
          <w:p>
            <w:pPr>
              <w:pStyle w:val="100"/>
              <w:bidi w:val="0"/>
            </w:pPr>
            <w:r>
              <w:rPr>
                <w:rFonts w:hint="eastAsia"/>
              </w:rPr>
              <w:t>7</w:t>
            </w:r>
            <w:r>
              <w:t>0</w:t>
            </w:r>
          </w:p>
        </w:tc>
        <w:tc>
          <w:tcPr>
            <w:tcW w:w="1220" w:type="dxa"/>
            <w:vAlign w:val="center"/>
          </w:tcPr>
          <w:p>
            <w:pPr>
              <w:pStyle w:val="100"/>
              <w:bidi w:val="0"/>
            </w:pPr>
            <w:r>
              <w:t>5</w:t>
            </w:r>
            <w:r>
              <w:rPr>
                <w:rFonts w:hint="eastAsia"/>
              </w:rPr>
              <w:t>5</w:t>
            </w:r>
          </w:p>
        </w:tc>
        <w:tc>
          <w:tcPr>
            <w:tcW w:w="1218" w:type="dxa"/>
            <w:vMerge w:val="continue"/>
            <w:vAlign w:val="center"/>
          </w:tcPr>
          <w:p>
            <w:pPr>
              <w:pStyle w:val="10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jc w:val="center"/>
        </w:trPr>
        <w:tc>
          <w:tcPr>
            <w:tcW w:w="1217" w:type="dxa"/>
            <w:vAlign w:val="center"/>
          </w:tcPr>
          <w:p>
            <w:pPr>
              <w:pStyle w:val="100"/>
              <w:bidi w:val="0"/>
            </w:pPr>
            <w:r>
              <w:t>厂界</w:t>
            </w:r>
            <w:r>
              <w:rPr>
                <w:rFonts w:hint="eastAsia"/>
              </w:rPr>
              <w:t>南N2</w:t>
            </w:r>
          </w:p>
        </w:tc>
        <w:tc>
          <w:tcPr>
            <w:tcW w:w="1217" w:type="dxa"/>
            <w:vAlign w:val="center"/>
          </w:tcPr>
          <w:p>
            <w:pPr>
              <w:pStyle w:val="100"/>
              <w:bidi w:val="0"/>
            </w:pPr>
            <w:r>
              <w:t>42.42</w:t>
            </w:r>
          </w:p>
        </w:tc>
        <w:tc>
          <w:tcPr>
            <w:tcW w:w="1218" w:type="dxa"/>
            <w:vAlign w:val="center"/>
          </w:tcPr>
          <w:p>
            <w:pPr>
              <w:pStyle w:val="100"/>
              <w:bidi w:val="0"/>
            </w:pPr>
            <w:r>
              <w:rPr>
                <w:rFonts w:hint="eastAsia"/>
              </w:rPr>
              <w:t>56</w:t>
            </w:r>
          </w:p>
        </w:tc>
        <w:tc>
          <w:tcPr>
            <w:tcW w:w="1220" w:type="dxa"/>
            <w:vAlign w:val="center"/>
          </w:tcPr>
          <w:p>
            <w:pPr>
              <w:pStyle w:val="100"/>
              <w:bidi w:val="0"/>
            </w:pPr>
            <w:r>
              <w:rPr>
                <w:rFonts w:hint="eastAsia"/>
              </w:rPr>
              <w:t>46</w:t>
            </w:r>
          </w:p>
        </w:tc>
        <w:tc>
          <w:tcPr>
            <w:tcW w:w="1218" w:type="dxa"/>
            <w:vAlign w:val="center"/>
          </w:tcPr>
          <w:p>
            <w:pPr>
              <w:pStyle w:val="100"/>
              <w:bidi w:val="0"/>
            </w:pPr>
            <w:r>
              <w:rPr>
                <w:rFonts w:hint="eastAsia"/>
              </w:rPr>
              <w:t>60</w:t>
            </w:r>
            <w:r>
              <w:t>.</w:t>
            </w:r>
            <w:r>
              <w:rPr>
                <w:rFonts w:hint="eastAsia"/>
              </w:rPr>
              <w:t>8</w:t>
            </w:r>
            <w:r>
              <w:t>6</w:t>
            </w:r>
          </w:p>
        </w:tc>
        <w:tc>
          <w:tcPr>
            <w:tcW w:w="1220" w:type="dxa"/>
            <w:vAlign w:val="center"/>
          </w:tcPr>
          <w:p>
            <w:pPr>
              <w:pStyle w:val="100"/>
              <w:bidi w:val="0"/>
            </w:pPr>
            <w:r>
              <w:rPr>
                <w:rFonts w:hint="eastAsia"/>
              </w:rPr>
              <w:t>49</w:t>
            </w:r>
            <w:r>
              <w:t>.62</w:t>
            </w:r>
          </w:p>
        </w:tc>
        <w:tc>
          <w:tcPr>
            <w:tcW w:w="1218" w:type="dxa"/>
            <w:vMerge w:val="restart"/>
            <w:vAlign w:val="center"/>
          </w:tcPr>
          <w:p>
            <w:pPr>
              <w:pStyle w:val="100"/>
              <w:bidi w:val="0"/>
            </w:pPr>
            <w: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Align w:val="center"/>
          </w:tcPr>
          <w:p>
            <w:pPr>
              <w:pStyle w:val="100"/>
              <w:bidi w:val="0"/>
            </w:pPr>
            <w:r>
              <w:t>标准值</w:t>
            </w:r>
          </w:p>
        </w:tc>
        <w:tc>
          <w:tcPr>
            <w:tcW w:w="1217" w:type="dxa"/>
            <w:vAlign w:val="center"/>
          </w:tcPr>
          <w:p>
            <w:pPr>
              <w:pStyle w:val="100"/>
              <w:bidi w:val="0"/>
            </w:pPr>
            <w:r>
              <w:t>/</w:t>
            </w:r>
          </w:p>
        </w:tc>
        <w:tc>
          <w:tcPr>
            <w:tcW w:w="1218" w:type="dxa"/>
            <w:vAlign w:val="center"/>
          </w:tcPr>
          <w:p>
            <w:pPr>
              <w:pStyle w:val="100"/>
              <w:bidi w:val="0"/>
            </w:pPr>
            <w:r>
              <w:rPr>
                <w:rFonts w:hint="eastAsia"/>
              </w:rPr>
              <w:t>65</w:t>
            </w:r>
          </w:p>
        </w:tc>
        <w:tc>
          <w:tcPr>
            <w:tcW w:w="1220" w:type="dxa"/>
            <w:vAlign w:val="center"/>
          </w:tcPr>
          <w:p>
            <w:pPr>
              <w:pStyle w:val="100"/>
              <w:bidi w:val="0"/>
            </w:pPr>
            <w:r>
              <w:rPr>
                <w:rFonts w:hint="eastAsia"/>
              </w:rPr>
              <w:t>55</w:t>
            </w:r>
          </w:p>
        </w:tc>
        <w:tc>
          <w:tcPr>
            <w:tcW w:w="1218" w:type="dxa"/>
            <w:vAlign w:val="center"/>
          </w:tcPr>
          <w:p>
            <w:pPr>
              <w:pStyle w:val="100"/>
              <w:bidi w:val="0"/>
            </w:pPr>
            <w:r>
              <w:rPr>
                <w:rFonts w:hint="eastAsia"/>
              </w:rPr>
              <w:t>65</w:t>
            </w:r>
          </w:p>
        </w:tc>
        <w:tc>
          <w:tcPr>
            <w:tcW w:w="1220" w:type="dxa"/>
            <w:vAlign w:val="center"/>
          </w:tcPr>
          <w:p>
            <w:pPr>
              <w:pStyle w:val="100"/>
              <w:bidi w:val="0"/>
            </w:pPr>
            <w:r>
              <w:rPr>
                <w:rFonts w:hint="eastAsia"/>
              </w:rPr>
              <w:t>55</w:t>
            </w:r>
          </w:p>
        </w:tc>
        <w:tc>
          <w:tcPr>
            <w:tcW w:w="1218" w:type="dxa"/>
            <w:vMerge w:val="continue"/>
            <w:vAlign w:val="center"/>
          </w:tcPr>
          <w:p>
            <w:pPr>
              <w:pStyle w:val="10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Align w:val="center"/>
          </w:tcPr>
          <w:p>
            <w:pPr>
              <w:pStyle w:val="100"/>
              <w:bidi w:val="0"/>
            </w:pPr>
            <w:r>
              <w:t>厂界</w:t>
            </w:r>
            <w:r>
              <w:rPr>
                <w:rFonts w:hint="eastAsia"/>
              </w:rPr>
              <w:t>西N3</w:t>
            </w:r>
          </w:p>
        </w:tc>
        <w:tc>
          <w:tcPr>
            <w:tcW w:w="1217" w:type="dxa"/>
            <w:vAlign w:val="center"/>
          </w:tcPr>
          <w:p>
            <w:pPr>
              <w:pStyle w:val="100"/>
              <w:bidi w:val="0"/>
            </w:pPr>
            <w:r>
              <w:t>40.</w:t>
            </w:r>
            <w:r>
              <w:rPr>
                <w:rFonts w:hint="eastAsia"/>
              </w:rPr>
              <w:t>35</w:t>
            </w:r>
          </w:p>
        </w:tc>
        <w:tc>
          <w:tcPr>
            <w:tcW w:w="1218" w:type="dxa"/>
            <w:vAlign w:val="center"/>
          </w:tcPr>
          <w:p>
            <w:pPr>
              <w:pStyle w:val="100"/>
              <w:bidi w:val="0"/>
            </w:pPr>
            <w:r>
              <w:rPr>
                <w:rFonts w:hint="eastAsia"/>
              </w:rPr>
              <w:t>58</w:t>
            </w:r>
          </w:p>
        </w:tc>
        <w:tc>
          <w:tcPr>
            <w:tcW w:w="1220" w:type="dxa"/>
            <w:vAlign w:val="center"/>
          </w:tcPr>
          <w:p>
            <w:pPr>
              <w:pStyle w:val="100"/>
              <w:bidi w:val="0"/>
            </w:pPr>
            <w:r>
              <w:rPr>
                <w:rFonts w:hint="eastAsia"/>
              </w:rPr>
              <w:t>44</w:t>
            </w:r>
          </w:p>
        </w:tc>
        <w:tc>
          <w:tcPr>
            <w:tcW w:w="1218" w:type="dxa"/>
            <w:vAlign w:val="center"/>
          </w:tcPr>
          <w:p>
            <w:pPr>
              <w:pStyle w:val="100"/>
              <w:bidi w:val="0"/>
            </w:pPr>
            <w:r>
              <w:rPr>
                <w:rFonts w:hint="eastAsia"/>
              </w:rPr>
              <w:t>58.45</w:t>
            </w:r>
          </w:p>
        </w:tc>
        <w:tc>
          <w:tcPr>
            <w:tcW w:w="1220" w:type="dxa"/>
            <w:vAlign w:val="center"/>
          </w:tcPr>
          <w:p>
            <w:pPr>
              <w:pStyle w:val="100"/>
              <w:bidi w:val="0"/>
            </w:pPr>
            <w:r>
              <w:rPr>
                <w:rFonts w:hint="eastAsia"/>
              </w:rPr>
              <w:t>44.98</w:t>
            </w:r>
          </w:p>
        </w:tc>
        <w:tc>
          <w:tcPr>
            <w:tcW w:w="1218" w:type="dxa"/>
            <w:vMerge w:val="restart"/>
            <w:vAlign w:val="center"/>
          </w:tcPr>
          <w:p>
            <w:pPr>
              <w:pStyle w:val="100"/>
              <w:bidi w:val="0"/>
            </w:pPr>
            <w: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jc w:val="center"/>
        </w:trPr>
        <w:tc>
          <w:tcPr>
            <w:tcW w:w="1217" w:type="dxa"/>
            <w:vAlign w:val="center"/>
          </w:tcPr>
          <w:p>
            <w:pPr>
              <w:pStyle w:val="100"/>
              <w:bidi w:val="0"/>
            </w:pPr>
            <w:r>
              <w:t>标准值</w:t>
            </w:r>
          </w:p>
        </w:tc>
        <w:tc>
          <w:tcPr>
            <w:tcW w:w="1217" w:type="dxa"/>
            <w:vAlign w:val="center"/>
          </w:tcPr>
          <w:p>
            <w:pPr>
              <w:pStyle w:val="100"/>
              <w:bidi w:val="0"/>
            </w:pPr>
            <w:r>
              <w:t>/</w:t>
            </w:r>
          </w:p>
        </w:tc>
        <w:tc>
          <w:tcPr>
            <w:tcW w:w="1218" w:type="dxa"/>
            <w:vAlign w:val="center"/>
          </w:tcPr>
          <w:p>
            <w:pPr>
              <w:pStyle w:val="100"/>
              <w:bidi w:val="0"/>
            </w:pPr>
            <w:r>
              <w:t>6</w:t>
            </w:r>
            <w:r>
              <w:rPr>
                <w:rFonts w:hint="eastAsia"/>
              </w:rPr>
              <w:t>5</w:t>
            </w:r>
          </w:p>
        </w:tc>
        <w:tc>
          <w:tcPr>
            <w:tcW w:w="1220" w:type="dxa"/>
            <w:vAlign w:val="center"/>
          </w:tcPr>
          <w:p>
            <w:pPr>
              <w:pStyle w:val="100"/>
              <w:bidi w:val="0"/>
            </w:pPr>
            <w:r>
              <w:t>5</w:t>
            </w:r>
            <w:r>
              <w:rPr>
                <w:rFonts w:hint="eastAsia"/>
              </w:rPr>
              <w:t>5</w:t>
            </w:r>
          </w:p>
        </w:tc>
        <w:tc>
          <w:tcPr>
            <w:tcW w:w="1218" w:type="dxa"/>
            <w:vAlign w:val="center"/>
          </w:tcPr>
          <w:p>
            <w:pPr>
              <w:pStyle w:val="100"/>
              <w:bidi w:val="0"/>
            </w:pPr>
            <w:r>
              <w:t>6</w:t>
            </w:r>
            <w:r>
              <w:rPr>
                <w:rFonts w:hint="eastAsia"/>
              </w:rPr>
              <w:t>5</w:t>
            </w:r>
          </w:p>
        </w:tc>
        <w:tc>
          <w:tcPr>
            <w:tcW w:w="1220" w:type="dxa"/>
            <w:vAlign w:val="center"/>
          </w:tcPr>
          <w:p>
            <w:pPr>
              <w:pStyle w:val="100"/>
              <w:bidi w:val="0"/>
            </w:pPr>
            <w:r>
              <w:t>5</w:t>
            </w:r>
            <w:r>
              <w:rPr>
                <w:rFonts w:hint="eastAsia"/>
              </w:rPr>
              <w:t>5</w:t>
            </w:r>
          </w:p>
        </w:tc>
        <w:tc>
          <w:tcPr>
            <w:tcW w:w="1218" w:type="dxa"/>
            <w:vMerge w:val="continue"/>
            <w:vAlign w:val="center"/>
          </w:tcPr>
          <w:p>
            <w:pPr>
              <w:pStyle w:val="10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Align w:val="center"/>
          </w:tcPr>
          <w:p>
            <w:pPr>
              <w:pStyle w:val="100"/>
              <w:bidi w:val="0"/>
            </w:pPr>
            <w:r>
              <w:t>厂界</w:t>
            </w:r>
            <w:r>
              <w:rPr>
                <w:rFonts w:hint="eastAsia"/>
              </w:rPr>
              <w:t>北N4</w:t>
            </w:r>
          </w:p>
        </w:tc>
        <w:tc>
          <w:tcPr>
            <w:tcW w:w="1217" w:type="dxa"/>
            <w:vAlign w:val="center"/>
          </w:tcPr>
          <w:p>
            <w:pPr>
              <w:pStyle w:val="100"/>
              <w:bidi w:val="0"/>
            </w:pPr>
            <w:r>
              <w:t>4</w:t>
            </w:r>
            <w:r>
              <w:rPr>
                <w:rFonts w:hint="eastAsia"/>
              </w:rPr>
              <w:t>0</w:t>
            </w:r>
            <w:r>
              <w:t>.16</w:t>
            </w:r>
          </w:p>
        </w:tc>
        <w:tc>
          <w:tcPr>
            <w:tcW w:w="1218" w:type="dxa"/>
            <w:vAlign w:val="center"/>
          </w:tcPr>
          <w:p>
            <w:pPr>
              <w:pStyle w:val="100"/>
              <w:bidi w:val="0"/>
            </w:pPr>
            <w:r>
              <w:rPr>
                <w:rFonts w:hint="eastAsia"/>
              </w:rPr>
              <w:t>55</w:t>
            </w:r>
          </w:p>
        </w:tc>
        <w:tc>
          <w:tcPr>
            <w:tcW w:w="1220" w:type="dxa"/>
            <w:vAlign w:val="center"/>
          </w:tcPr>
          <w:p>
            <w:pPr>
              <w:pStyle w:val="100"/>
              <w:bidi w:val="0"/>
            </w:pPr>
            <w:r>
              <w:rPr>
                <w:rFonts w:hint="eastAsia"/>
              </w:rPr>
              <w:t>47</w:t>
            </w:r>
          </w:p>
        </w:tc>
        <w:tc>
          <w:tcPr>
            <w:tcW w:w="1218" w:type="dxa"/>
            <w:vAlign w:val="center"/>
          </w:tcPr>
          <w:p>
            <w:pPr>
              <w:pStyle w:val="100"/>
              <w:bidi w:val="0"/>
            </w:pPr>
            <w:r>
              <w:rPr>
                <w:rFonts w:hint="eastAsia"/>
              </w:rPr>
              <w:t>55.12</w:t>
            </w:r>
          </w:p>
        </w:tc>
        <w:tc>
          <w:tcPr>
            <w:tcW w:w="1220" w:type="dxa"/>
            <w:vAlign w:val="center"/>
          </w:tcPr>
          <w:p>
            <w:pPr>
              <w:pStyle w:val="100"/>
              <w:bidi w:val="0"/>
            </w:pPr>
            <w:r>
              <w:rPr>
                <w:rFonts w:hint="eastAsia"/>
              </w:rPr>
              <w:t>47.29</w:t>
            </w:r>
          </w:p>
        </w:tc>
        <w:tc>
          <w:tcPr>
            <w:tcW w:w="1218" w:type="dxa"/>
            <w:vMerge w:val="restart"/>
            <w:vAlign w:val="center"/>
          </w:tcPr>
          <w:p>
            <w:pPr>
              <w:pStyle w:val="100"/>
              <w:bidi w:val="0"/>
            </w:pPr>
            <w: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17" w:type="dxa"/>
            <w:vAlign w:val="center"/>
          </w:tcPr>
          <w:p>
            <w:pPr>
              <w:pStyle w:val="100"/>
              <w:bidi w:val="0"/>
            </w:pPr>
            <w:r>
              <w:t>标准值</w:t>
            </w:r>
          </w:p>
        </w:tc>
        <w:tc>
          <w:tcPr>
            <w:tcW w:w="1217" w:type="dxa"/>
            <w:vAlign w:val="center"/>
          </w:tcPr>
          <w:p>
            <w:pPr>
              <w:pStyle w:val="100"/>
              <w:bidi w:val="0"/>
            </w:pPr>
            <w:r>
              <w:t>/</w:t>
            </w:r>
          </w:p>
        </w:tc>
        <w:tc>
          <w:tcPr>
            <w:tcW w:w="1218" w:type="dxa"/>
            <w:vAlign w:val="center"/>
          </w:tcPr>
          <w:p>
            <w:pPr>
              <w:pStyle w:val="100"/>
              <w:bidi w:val="0"/>
            </w:pPr>
            <w:r>
              <w:rPr>
                <w:rFonts w:hint="eastAsia"/>
              </w:rPr>
              <w:t>70</w:t>
            </w:r>
          </w:p>
        </w:tc>
        <w:tc>
          <w:tcPr>
            <w:tcW w:w="1220" w:type="dxa"/>
            <w:vAlign w:val="center"/>
          </w:tcPr>
          <w:p>
            <w:pPr>
              <w:pStyle w:val="100"/>
              <w:bidi w:val="0"/>
            </w:pPr>
            <w:r>
              <w:t>5</w:t>
            </w:r>
            <w:r>
              <w:rPr>
                <w:rFonts w:hint="eastAsia"/>
              </w:rPr>
              <w:t>5</w:t>
            </w:r>
          </w:p>
        </w:tc>
        <w:tc>
          <w:tcPr>
            <w:tcW w:w="1218" w:type="dxa"/>
            <w:vAlign w:val="center"/>
          </w:tcPr>
          <w:p>
            <w:pPr>
              <w:pStyle w:val="100"/>
              <w:bidi w:val="0"/>
            </w:pPr>
            <w:r>
              <w:rPr>
                <w:rFonts w:hint="eastAsia"/>
              </w:rPr>
              <w:t>70</w:t>
            </w:r>
          </w:p>
        </w:tc>
        <w:tc>
          <w:tcPr>
            <w:tcW w:w="1220" w:type="dxa"/>
            <w:vAlign w:val="center"/>
          </w:tcPr>
          <w:p>
            <w:pPr>
              <w:pStyle w:val="100"/>
              <w:bidi w:val="0"/>
            </w:pPr>
            <w:r>
              <w:t>5</w:t>
            </w:r>
            <w:r>
              <w:rPr>
                <w:rFonts w:hint="eastAsia"/>
              </w:rPr>
              <w:t>5</w:t>
            </w:r>
          </w:p>
        </w:tc>
        <w:tc>
          <w:tcPr>
            <w:tcW w:w="1218" w:type="dxa"/>
            <w:vMerge w:val="continue"/>
            <w:vAlign w:val="center"/>
          </w:tcPr>
          <w:p>
            <w:pPr>
              <w:pStyle w:val="100"/>
              <w:bidi w:val="0"/>
            </w:pPr>
          </w:p>
        </w:tc>
      </w:tr>
    </w:tbl>
    <w:p>
      <w:pPr>
        <w:pStyle w:val="103"/>
        <w:bidi w:val="0"/>
      </w:pPr>
      <w:r>
        <w:rPr>
          <w:rFonts w:hint="eastAsia"/>
        </w:rPr>
        <w:t>由表7-13可知，项目实施后厂界噪声可以达到《工业企业厂界环境噪声排放标准》（GB12348-2008）3类标准，不产生噪声扰民现象。建设项目对厂界噪声贡献值较小，噪声经距离衰减后可确保厂界噪声达标排放，采用的噪声污染防治措施可行。</w:t>
      </w:r>
    </w:p>
    <w:p>
      <w:pPr>
        <w:pStyle w:val="103"/>
        <w:bidi w:val="0"/>
      </w:pPr>
      <w:r>
        <w:rPr>
          <w:rFonts w:hint="eastAsia"/>
        </w:rPr>
        <w:t>本项目釆取优化厂区平面布置、生产设备全部置于车间内、采用低噪声的设备、大型设备的底座安装减振器、加强文明生产管理、加强厂区绿化等措施后，可保证厂界噪声及距厂界最近居民点昼夜间均达到《工业企业厂界环境噪声排放标准》(GB12348-2008)中3类标准。</w:t>
      </w:r>
    </w:p>
    <w:p>
      <w:pPr>
        <w:pStyle w:val="103"/>
        <w:bidi w:val="0"/>
      </w:pPr>
      <w:r>
        <w:rPr>
          <w:rFonts w:hint="eastAsia"/>
        </w:rPr>
        <w:t>综上，本项目产生的噪声不会降低项目所在地声环境功能级别，采取的噪声 防治措施可行，不会对声环境产生影响。</w:t>
      </w:r>
    </w:p>
    <w:p>
      <w:pPr>
        <w:pStyle w:val="105"/>
        <w:rPr>
          <w:color w:val="auto"/>
          <w:highlight w:val="none"/>
        </w:rPr>
      </w:pPr>
      <w:r>
        <w:rPr>
          <w:rFonts w:hint="eastAsia"/>
          <w:color w:val="auto"/>
          <w:highlight w:val="none"/>
        </w:rPr>
        <w:t>监测计划</w:t>
      </w:r>
    </w:p>
    <w:p>
      <w:pPr>
        <w:pStyle w:val="103"/>
        <w:bidi w:val="0"/>
        <w:rPr>
          <w:rFonts w:hint="eastAsia"/>
        </w:rPr>
      </w:pPr>
      <w:r>
        <w:rPr>
          <w:rFonts w:hint="eastAsia"/>
        </w:rPr>
        <w:t>为了掌握本项目投产后的排污情况，监督排放标准的执行，减少对环境的影响，达到本报告表提出的排放要求，必须加强环境监测制度。污染源监测计划见表7-2</w:t>
      </w:r>
      <w:r>
        <w:rPr>
          <w:rFonts w:hint="eastAsia"/>
          <w:lang w:val="en-US" w:eastAsia="zh-CN"/>
        </w:rPr>
        <w:t>3</w:t>
      </w:r>
      <w:r>
        <w:rPr>
          <w:rFonts w:hint="eastAsia"/>
        </w:rPr>
        <w:t>。</w:t>
      </w:r>
    </w:p>
    <w:p>
      <w:pPr>
        <w:pStyle w:val="273"/>
        <w:bidi w:val="0"/>
        <w:rPr>
          <w:rFonts w:hint="eastAsia"/>
        </w:rPr>
      </w:pPr>
      <w:r>
        <w:rPr>
          <w:rFonts w:hint="eastAsia"/>
        </w:rPr>
        <w:t>表7-2</w:t>
      </w:r>
      <w:r>
        <w:rPr>
          <w:rFonts w:hint="eastAsia"/>
          <w:lang w:val="en-US" w:eastAsia="zh-CN"/>
        </w:rPr>
        <w:t>3</w:t>
      </w:r>
      <w:r>
        <w:rPr>
          <w:rFonts w:hint="eastAsia"/>
        </w:rPr>
        <w:t xml:space="preserve">  噪声污染源监测计划一览表</w:t>
      </w:r>
    </w:p>
    <w:tbl>
      <w:tblPr>
        <w:tblStyle w:val="8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598"/>
        <w:gridCol w:w="2093"/>
        <w:gridCol w:w="1451"/>
        <w:gridCol w:w="2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7" w:type="dxa"/>
            <w:shd w:val="clear" w:color="auto" w:fill="auto"/>
            <w:vAlign w:val="center"/>
          </w:tcPr>
          <w:p>
            <w:pPr>
              <w:pStyle w:val="100"/>
              <w:bidi w:val="0"/>
            </w:pPr>
            <w:r>
              <w:t>污染源类型</w:t>
            </w:r>
          </w:p>
        </w:tc>
        <w:tc>
          <w:tcPr>
            <w:tcW w:w="1598" w:type="dxa"/>
            <w:shd w:val="clear" w:color="auto" w:fill="auto"/>
            <w:vAlign w:val="center"/>
          </w:tcPr>
          <w:p>
            <w:pPr>
              <w:pStyle w:val="100"/>
              <w:bidi w:val="0"/>
            </w:pPr>
            <w:r>
              <w:t>监测点位</w:t>
            </w:r>
          </w:p>
        </w:tc>
        <w:tc>
          <w:tcPr>
            <w:tcW w:w="2093" w:type="dxa"/>
            <w:shd w:val="clear" w:color="auto" w:fill="auto"/>
            <w:vAlign w:val="center"/>
          </w:tcPr>
          <w:p>
            <w:pPr>
              <w:pStyle w:val="100"/>
              <w:bidi w:val="0"/>
            </w:pPr>
            <w:r>
              <w:t>监测项目</w:t>
            </w:r>
          </w:p>
        </w:tc>
        <w:tc>
          <w:tcPr>
            <w:tcW w:w="1451" w:type="dxa"/>
            <w:shd w:val="clear" w:color="auto" w:fill="auto"/>
            <w:vAlign w:val="center"/>
          </w:tcPr>
          <w:p>
            <w:pPr>
              <w:pStyle w:val="100"/>
              <w:bidi w:val="0"/>
            </w:pPr>
            <w:r>
              <w:t>监测周期</w:t>
            </w:r>
          </w:p>
        </w:tc>
        <w:tc>
          <w:tcPr>
            <w:tcW w:w="2749" w:type="dxa"/>
            <w:shd w:val="clear" w:color="auto" w:fill="auto"/>
            <w:vAlign w:val="center"/>
          </w:tcPr>
          <w:p>
            <w:pPr>
              <w:pStyle w:val="100"/>
              <w:bidi w:val="0"/>
            </w:pPr>
            <w: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7" w:type="dxa"/>
            <w:vMerge w:val="restart"/>
            <w:vAlign w:val="center"/>
          </w:tcPr>
          <w:p>
            <w:pPr>
              <w:pStyle w:val="100"/>
              <w:bidi w:val="0"/>
            </w:pPr>
            <w:r>
              <w:t>噪声</w:t>
            </w:r>
          </w:p>
        </w:tc>
        <w:tc>
          <w:tcPr>
            <w:tcW w:w="1598" w:type="dxa"/>
            <w:vAlign w:val="center"/>
          </w:tcPr>
          <w:p>
            <w:pPr>
              <w:pStyle w:val="100"/>
              <w:bidi w:val="0"/>
            </w:pPr>
            <w:r>
              <w:t>高噪声设备噪声源</w:t>
            </w:r>
          </w:p>
        </w:tc>
        <w:tc>
          <w:tcPr>
            <w:tcW w:w="2093" w:type="dxa"/>
            <w:vMerge w:val="restart"/>
            <w:vAlign w:val="center"/>
          </w:tcPr>
          <w:p>
            <w:pPr>
              <w:pStyle w:val="100"/>
              <w:bidi w:val="0"/>
            </w:pPr>
            <w:r>
              <w:t>等效A声级</w:t>
            </w:r>
          </w:p>
        </w:tc>
        <w:tc>
          <w:tcPr>
            <w:tcW w:w="1451" w:type="dxa"/>
            <w:vMerge w:val="restart"/>
            <w:vAlign w:val="center"/>
          </w:tcPr>
          <w:p>
            <w:pPr>
              <w:pStyle w:val="100"/>
              <w:bidi w:val="0"/>
            </w:pPr>
            <w:r>
              <w:t>1季度1次，每次昼、夜各监测1次</w:t>
            </w:r>
          </w:p>
        </w:tc>
        <w:tc>
          <w:tcPr>
            <w:tcW w:w="2749" w:type="dxa"/>
            <w:vMerge w:val="restart"/>
            <w:vAlign w:val="center"/>
          </w:tcPr>
          <w:p>
            <w:pPr>
              <w:pStyle w:val="100"/>
              <w:bidi w:val="0"/>
            </w:pPr>
            <w:r>
              <w:t>满足《工业企业厂界环境噪声排放标准》（GB12348-2008）</w:t>
            </w:r>
            <w:r>
              <w:rPr>
                <w:rFonts w:hint="eastAsia"/>
                <w:lang w:val="en-US" w:eastAsia="zh-CN"/>
              </w:rPr>
              <w:t>3</w:t>
            </w:r>
            <w: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7" w:type="dxa"/>
            <w:vMerge w:val="continue"/>
            <w:vAlign w:val="center"/>
          </w:tcPr>
          <w:p>
            <w:pPr>
              <w:pStyle w:val="100"/>
              <w:bidi w:val="0"/>
            </w:pPr>
          </w:p>
        </w:tc>
        <w:tc>
          <w:tcPr>
            <w:tcW w:w="1598" w:type="dxa"/>
            <w:vAlign w:val="center"/>
          </w:tcPr>
          <w:p>
            <w:pPr>
              <w:pStyle w:val="100"/>
              <w:bidi w:val="0"/>
            </w:pPr>
            <w:r>
              <w:t>厂界</w:t>
            </w:r>
          </w:p>
        </w:tc>
        <w:tc>
          <w:tcPr>
            <w:tcW w:w="2093" w:type="dxa"/>
            <w:vMerge w:val="continue"/>
            <w:vAlign w:val="center"/>
          </w:tcPr>
          <w:p>
            <w:pPr>
              <w:pStyle w:val="100"/>
              <w:bidi w:val="0"/>
            </w:pPr>
          </w:p>
        </w:tc>
        <w:tc>
          <w:tcPr>
            <w:tcW w:w="1451" w:type="dxa"/>
            <w:vMerge w:val="continue"/>
            <w:vAlign w:val="center"/>
          </w:tcPr>
          <w:p>
            <w:pPr>
              <w:pStyle w:val="100"/>
              <w:bidi w:val="0"/>
            </w:pPr>
          </w:p>
        </w:tc>
        <w:tc>
          <w:tcPr>
            <w:tcW w:w="2749" w:type="dxa"/>
            <w:vMerge w:val="continue"/>
            <w:vAlign w:val="center"/>
          </w:tcPr>
          <w:p>
            <w:pPr>
              <w:pStyle w:val="100"/>
              <w:bidi w:val="0"/>
            </w:pPr>
          </w:p>
        </w:tc>
      </w:tr>
    </w:tbl>
    <w:p>
      <w:pPr>
        <w:pStyle w:val="103"/>
        <w:bidi w:val="0"/>
        <w:rPr>
          <w:rFonts w:hint="eastAsia"/>
        </w:rPr>
      </w:pPr>
      <w:r>
        <w:rPr>
          <w:rFonts w:hint="eastAsia"/>
        </w:rPr>
        <w:t>按照上述监测的要求配备必要的监测仪器或委托有关监测部门监测。</w:t>
      </w:r>
    </w:p>
    <w:p>
      <w:pPr>
        <w:pStyle w:val="103"/>
        <w:bidi w:val="0"/>
        <w:rPr>
          <w:rFonts w:hint="eastAsia"/>
        </w:rPr>
      </w:pPr>
      <w:r>
        <w:rPr>
          <w:rFonts w:hint="eastAsia"/>
        </w:rPr>
        <w:t>监测数据和污染治理设施效率测试数据建立环保档案保存，为监督执行环境法规和排放标准提供依据。</w:t>
      </w:r>
    </w:p>
    <w:p>
      <w:pPr>
        <w:pStyle w:val="104"/>
      </w:pPr>
      <w:r>
        <w:t>固体废弃物影响分析</w:t>
      </w:r>
    </w:p>
    <w:p>
      <w:pPr>
        <w:pStyle w:val="105"/>
      </w:pPr>
      <w:r>
        <w:t>固体废物产生情况</w:t>
      </w:r>
    </w:p>
    <w:p>
      <w:pPr>
        <w:pStyle w:val="349"/>
        <w:numPr>
          <w:ilvl w:val="0"/>
          <w:numId w:val="22"/>
        </w:numPr>
      </w:pPr>
      <w:r>
        <w:t>危险固废</w:t>
      </w:r>
    </w:p>
    <w:p>
      <w:pPr>
        <w:pStyle w:val="103"/>
        <w:bidi w:val="0"/>
      </w:pPr>
      <w:r>
        <w:t>本项目危险固废主要为</w:t>
      </w:r>
      <w:r>
        <w:rPr>
          <w:rFonts w:hint="eastAsia"/>
        </w:rPr>
        <w:t>废油墨罐、废胶水罐</w:t>
      </w:r>
      <w:r>
        <w:rPr>
          <w:rFonts w:hint="eastAsia"/>
          <w:lang w:eastAsia="zh-CN"/>
        </w:rPr>
        <w:t>、</w:t>
      </w:r>
      <w:r>
        <w:rPr>
          <w:rFonts w:hint="eastAsia"/>
          <w:lang w:val="en-US" w:eastAsia="zh-CN"/>
        </w:rPr>
        <w:t>废抹布以及</w:t>
      </w:r>
      <w:r>
        <w:rPr>
          <w:rFonts w:hint="eastAsia"/>
        </w:rPr>
        <w:t>废活性炭</w:t>
      </w:r>
      <w:r>
        <w:t>。</w:t>
      </w:r>
    </w:p>
    <w:p>
      <w:pPr>
        <w:pStyle w:val="349"/>
      </w:pPr>
      <w:r>
        <w:rPr>
          <w:rFonts w:hint="eastAsia"/>
          <w:lang w:val="en-US" w:eastAsia="zh-CN"/>
        </w:rPr>
        <w:t>一</w:t>
      </w:r>
      <w:r>
        <w:t>般固废</w:t>
      </w:r>
    </w:p>
    <w:p>
      <w:pPr>
        <w:pStyle w:val="103"/>
        <w:bidi w:val="0"/>
      </w:pPr>
      <w:r>
        <w:t>本项目一般固废主要为</w:t>
      </w:r>
      <w:r>
        <w:rPr>
          <w:rFonts w:hint="eastAsia"/>
        </w:rPr>
        <w:t>PET边角料、废纸箱、不合格品</w:t>
      </w:r>
      <w:r>
        <w:t>以及生活垃圾。</w:t>
      </w:r>
    </w:p>
    <w:p>
      <w:pPr>
        <w:pStyle w:val="105"/>
      </w:pPr>
      <w:r>
        <w:t>固废处置方法及可行性分析</w:t>
      </w:r>
    </w:p>
    <w:p>
      <w:pPr>
        <w:pStyle w:val="273"/>
        <w:bidi w:val="0"/>
        <w:rPr>
          <w:rFonts w:hint="eastAsia"/>
        </w:rPr>
      </w:pPr>
      <w:r>
        <w:rPr>
          <w:rFonts w:hint="eastAsia"/>
        </w:rPr>
        <w:t>表7-</w:t>
      </w:r>
      <w:r>
        <w:rPr>
          <w:rFonts w:hint="eastAsia"/>
          <w:lang w:val="en-US" w:eastAsia="zh-CN"/>
        </w:rPr>
        <w:t>24</w:t>
      </w:r>
      <w:r>
        <w:rPr>
          <w:rFonts w:hint="eastAsia"/>
        </w:rPr>
        <w:t xml:space="preserve">  固废处置一览表</w:t>
      </w:r>
    </w:p>
    <w:tbl>
      <w:tblPr>
        <w:tblStyle w:val="260"/>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283"/>
        <w:gridCol w:w="1036"/>
        <w:gridCol w:w="1205"/>
        <w:gridCol w:w="1177"/>
        <w:gridCol w:w="1201"/>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pPr>
            <w:r>
              <w:t>固体废物名称</w:t>
            </w:r>
          </w:p>
        </w:tc>
        <w:tc>
          <w:tcPr>
            <w:tcW w:w="1283" w:type="dxa"/>
            <w:vAlign w:val="center"/>
          </w:tcPr>
          <w:p>
            <w:pPr>
              <w:pStyle w:val="100"/>
              <w:widowControl w:val="0"/>
              <w:bidi w:val="0"/>
              <w:adjustRightInd w:val="0"/>
              <w:snapToGrid w:val="0"/>
            </w:pPr>
            <w:r>
              <w:t>产生工序</w:t>
            </w:r>
          </w:p>
        </w:tc>
        <w:tc>
          <w:tcPr>
            <w:tcW w:w="1036" w:type="dxa"/>
            <w:vAlign w:val="center"/>
          </w:tcPr>
          <w:p>
            <w:pPr>
              <w:pStyle w:val="100"/>
              <w:widowControl w:val="0"/>
              <w:bidi w:val="0"/>
              <w:adjustRightInd w:val="0"/>
              <w:snapToGrid w:val="0"/>
            </w:pPr>
            <w:r>
              <w:t>属性</w:t>
            </w:r>
          </w:p>
        </w:tc>
        <w:tc>
          <w:tcPr>
            <w:tcW w:w="1205" w:type="dxa"/>
            <w:vAlign w:val="center"/>
          </w:tcPr>
          <w:p>
            <w:pPr>
              <w:pStyle w:val="100"/>
              <w:widowControl w:val="0"/>
              <w:bidi w:val="0"/>
              <w:adjustRightInd w:val="0"/>
              <w:snapToGrid w:val="0"/>
            </w:pPr>
            <w:r>
              <w:t>废物代码</w:t>
            </w:r>
          </w:p>
        </w:tc>
        <w:tc>
          <w:tcPr>
            <w:tcW w:w="1177" w:type="dxa"/>
            <w:vAlign w:val="center"/>
          </w:tcPr>
          <w:p>
            <w:pPr>
              <w:pStyle w:val="100"/>
              <w:widowControl w:val="0"/>
              <w:bidi w:val="0"/>
              <w:adjustRightInd w:val="0"/>
              <w:snapToGrid w:val="0"/>
            </w:pPr>
            <w:r>
              <w:t>产生量（吨/年）</w:t>
            </w:r>
          </w:p>
        </w:tc>
        <w:tc>
          <w:tcPr>
            <w:tcW w:w="1201" w:type="dxa"/>
            <w:vAlign w:val="center"/>
          </w:tcPr>
          <w:p>
            <w:pPr>
              <w:pStyle w:val="100"/>
              <w:widowControl w:val="0"/>
              <w:bidi w:val="0"/>
              <w:adjustRightInd w:val="0"/>
              <w:snapToGrid w:val="0"/>
            </w:pPr>
            <w:r>
              <w:t>利用处置方式</w:t>
            </w:r>
          </w:p>
        </w:tc>
        <w:tc>
          <w:tcPr>
            <w:tcW w:w="1067" w:type="dxa"/>
            <w:vAlign w:val="center"/>
          </w:tcPr>
          <w:p>
            <w:pPr>
              <w:pStyle w:val="100"/>
              <w:widowControl w:val="0"/>
              <w:bidi w:val="0"/>
              <w:adjustRightInd w:val="0"/>
              <w:snapToGrid w:val="0"/>
            </w:pPr>
            <w:r>
              <w:t>利用处置单位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pPr>
            <w:r>
              <w:rPr>
                <w:rFonts w:hint="eastAsia"/>
              </w:rPr>
              <w:t>PET边角料</w:t>
            </w:r>
          </w:p>
        </w:tc>
        <w:tc>
          <w:tcPr>
            <w:tcW w:w="1283" w:type="dxa"/>
            <w:vAlign w:val="center"/>
          </w:tcPr>
          <w:p>
            <w:pPr>
              <w:pStyle w:val="100"/>
              <w:widowControl w:val="0"/>
              <w:bidi w:val="0"/>
              <w:adjustRightInd w:val="0"/>
              <w:snapToGrid w:val="0"/>
            </w:pPr>
            <w:r>
              <w:rPr>
                <w:rFonts w:hint="eastAsia"/>
              </w:rPr>
              <w:t>模切</w:t>
            </w:r>
          </w:p>
        </w:tc>
        <w:tc>
          <w:tcPr>
            <w:tcW w:w="1036" w:type="dxa"/>
            <w:vAlign w:val="center"/>
          </w:tcPr>
          <w:p>
            <w:pPr>
              <w:pStyle w:val="100"/>
              <w:widowControl w:val="0"/>
              <w:bidi w:val="0"/>
              <w:adjustRightInd w:val="0"/>
              <w:snapToGrid w:val="0"/>
            </w:pPr>
            <w:r>
              <w:t>一般固废</w:t>
            </w:r>
          </w:p>
        </w:tc>
        <w:tc>
          <w:tcPr>
            <w:tcW w:w="1205" w:type="dxa"/>
            <w:vAlign w:val="center"/>
          </w:tcPr>
          <w:p>
            <w:pPr>
              <w:pStyle w:val="100"/>
              <w:widowControl w:val="0"/>
              <w:bidi w:val="0"/>
              <w:adjustRightInd w:val="0"/>
              <w:snapToGrid w:val="0"/>
            </w:pPr>
            <w:r>
              <w:t>/</w:t>
            </w:r>
          </w:p>
        </w:tc>
        <w:tc>
          <w:tcPr>
            <w:tcW w:w="1177" w:type="dxa"/>
            <w:vAlign w:val="center"/>
          </w:tcPr>
          <w:p>
            <w:pPr>
              <w:pStyle w:val="100"/>
              <w:widowControl w:val="0"/>
              <w:bidi w:val="0"/>
              <w:adjustRightInd w:val="0"/>
              <w:snapToGrid w:val="0"/>
              <w:rPr>
                <w:rFonts w:hint="eastAsia"/>
                <w:lang w:val="en-US" w:eastAsia="zh-CN"/>
              </w:rPr>
            </w:pPr>
            <w:r>
              <w:rPr>
                <w:rFonts w:hint="eastAsia"/>
                <w:lang w:val="en-US" w:eastAsia="zh-CN"/>
              </w:rPr>
              <w:t>2</w:t>
            </w:r>
          </w:p>
        </w:tc>
        <w:tc>
          <w:tcPr>
            <w:tcW w:w="1201" w:type="dxa"/>
            <w:vAlign w:val="center"/>
          </w:tcPr>
          <w:p>
            <w:pPr>
              <w:pStyle w:val="100"/>
              <w:widowControl w:val="0"/>
              <w:bidi w:val="0"/>
              <w:adjustRightInd w:val="0"/>
              <w:snapToGrid w:val="0"/>
            </w:pPr>
            <w:r>
              <w:t>外售</w:t>
            </w:r>
          </w:p>
        </w:tc>
        <w:tc>
          <w:tcPr>
            <w:tcW w:w="1067" w:type="dxa"/>
            <w:vAlign w:val="center"/>
          </w:tcPr>
          <w:p>
            <w:pPr>
              <w:pStyle w:val="100"/>
              <w:widowControl w:val="0"/>
              <w:bidi w:val="0"/>
              <w:adjustRightInd w:val="0"/>
              <w:snapToGrid w:val="0"/>
            </w:pPr>
            <w:r>
              <w:t>利用单位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pPr>
            <w:r>
              <w:rPr>
                <w:rFonts w:hint="eastAsia"/>
              </w:rPr>
              <w:t>废油墨罐</w:t>
            </w:r>
          </w:p>
        </w:tc>
        <w:tc>
          <w:tcPr>
            <w:tcW w:w="1283" w:type="dxa"/>
            <w:vAlign w:val="center"/>
          </w:tcPr>
          <w:p>
            <w:pPr>
              <w:pStyle w:val="100"/>
              <w:widowControl w:val="0"/>
              <w:bidi w:val="0"/>
              <w:adjustRightInd w:val="0"/>
              <w:snapToGrid w:val="0"/>
            </w:pPr>
            <w:r>
              <w:rPr>
                <w:rFonts w:hint="eastAsia"/>
              </w:rPr>
              <w:t>印刷</w:t>
            </w:r>
          </w:p>
        </w:tc>
        <w:tc>
          <w:tcPr>
            <w:tcW w:w="1036" w:type="dxa"/>
            <w:vAlign w:val="center"/>
          </w:tcPr>
          <w:p>
            <w:pPr>
              <w:pStyle w:val="100"/>
              <w:widowControl w:val="0"/>
              <w:bidi w:val="0"/>
              <w:adjustRightInd w:val="0"/>
              <w:snapToGrid w:val="0"/>
            </w:pPr>
            <w:r>
              <w:rPr>
                <w:rFonts w:hint="eastAsia"/>
              </w:rPr>
              <w:t>危险</w:t>
            </w:r>
            <w:r>
              <w:t>固废</w:t>
            </w:r>
          </w:p>
        </w:tc>
        <w:tc>
          <w:tcPr>
            <w:tcW w:w="1205" w:type="dxa"/>
            <w:vAlign w:val="center"/>
          </w:tcPr>
          <w:p>
            <w:pPr>
              <w:pStyle w:val="100"/>
              <w:widowControl w:val="0"/>
              <w:bidi w:val="0"/>
              <w:adjustRightInd w:val="0"/>
              <w:snapToGrid w:val="0"/>
              <w:rPr>
                <w:rFonts w:hint="default"/>
                <w:lang w:val="en-US" w:eastAsia="zh-CN"/>
              </w:rPr>
            </w:pPr>
            <w:r>
              <w:rPr>
                <w:rFonts w:hint="eastAsia"/>
                <w:lang w:val="en-US" w:eastAsia="zh-CN"/>
              </w:rPr>
              <w:t>900-041-49</w:t>
            </w:r>
          </w:p>
        </w:tc>
        <w:tc>
          <w:tcPr>
            <w:tcW w:w="1177" w:type="dxa"/>
            <w:vAlign w:val="center"/>
          </w:tcPr>
          <w:p>
            <w:pPr>
              <w:pStyle w:val="100"/>
              <w:widowControl w:val="0"/>
              <w:bidi w:val="0"/>
              <w:adjustRightInd w:val="0"/>
              <w:snapToGrid w:val="0"/>
            </w:pPr>
            <w:r>
              <w:rPr>
                <w:rFonts w:hint="eastAsia"/>
              </w:rPr>
              <w:t>0.5</w:t>
            </w:r>
          </w:p>
        </w:tc>
        <w:tc>
          <w:tcPr>
            <w:tcW w:w="1201" w:type="dxa"/>
            <w:vAlign w:val="center"/>
          </w:tcPr>
          <w:p>
            <w:pPr>
              <w:pStyle w:val="100"/>
              <w:widowControl w:val="0"/>
              <w:bidi w:val="0"/>
              <w:adjustRightInd w:val="0"/>
              <w:snapToGrid w:val="0"/>
            </w:pPr>
            <w:r>
              <w:rPr>
                <w:rFonts w:hint="eastAsia"/>
              </w:rPr>
              <w:t>处置</w:t>
            </w:r>
          </w:p>
        </w:tc>
        <w:tc>
          <w:tcPr>
            <w:tcW w:w="1067" w:type="dxa"/>
            <w:vAlign w:val="center"/>
          </w:tcPr>
          <w:p>
            <w:pPr>
              <w:pStyle w:val="100"/>
              <w:widowControl w:val="0"/>
              <w:bidi w:val="0"/>
              <w:adjustRightInd w:val="0"/>
              <w:snapToGrid w:val="0"/>
            </w:pPr>
            <w:r>
              <w:rPr>
                <w:rFonts w:hint="eastAsia"/>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pPr>
            <w:r>
              <w:rPr>
                <w:rFonts w:hint="eastAsia"/>
              </w:rPr>
              <w:t>废胶水罐</w:t>
            </w:r>
          </w:p>
        </w:tc>
        <w:tc>
          <w:tcPr>
            <w:tcW w:w="1283" w:type="dxa"/>
            <w:vAlign w:val="center"/>
          </w:tcPr>
          <w:p>
            <w:pPr>
              <w:pStyle w:val="100"/>
              <w:widowControl w:val="0"/>
              <w:bidi w:val="0"/>
              <w:adjustRightInd w:val="0"/>
              <w:snapToGrid w:val="0"/>
            </w:pPr>
            <w:r>
              <w:rPr>
                <w:rFonts w:hint="eastAsia"/>
              </w:rPr>
              <w:t>上胶</w:t>
            </w:r>
          </w:p>
        </w:tc>
        <w:tc>
          <w:tcPr>
            <w:tcW w:w="1036" w:type="dxa"/>
            <w:vAlign w:val="center"/>
          </w:tcPr>
          <w:p>
            <w:pPr>
              <w:pStyle w:val="100"/>
              <w:widowControl w:val="0"/>
              <w:bidi w:val="0"/>
              <w:adjustRightInd w:val="0"/>
              <w:snapToGrid w:val="0"/>
            </w:pPr>
            <w:r>
              <w:rPr>
                <w:rFonts w:hint="eastAsia"/>
              </w:rPr>
              <w:t>危险</w:t>
            </w:r>
            <w:r>
              <w:t>固废</w:t>
            </w:r>
          </w:p>
        </w:tc>
        <w:tc>
          <w:tcPr>
            <w:tcW w:w="1205" w:type="dxa"/>
            <w:vAlign w:val="center"/>
          </w:tcPr>
          <w:p>
            <w:pPr>
              <w:pStyle w:val="100"/>
              <w:widowControl w:val="0"/>
              <w:bidi w:val="0"/>
              <w:adjustRightInd w:val="0"/>
              <w:snapToGrid w:val="0"/>
              <w:rPr>
                <w:rFonts w:hint="default"/>
                <w:lang w:val="en-US" w:eastAsia="zh-CN"/>
              </w:rPr>
            </w:pPr>
            <w:r>
              <w:rPr>
                <w:rFonts w:hint="eastAsia"/>
                <w:lang w:val="en-US" w:eastAsia="zh-CN"/>
              </w:rPr>
              <w:t>900-041-49</w:t>
            </w:r>
          </w:p>
        </w:tc>
        <w:tc>
          <w:tcPr>
            <w:tcW w:w="1177" w:type="dxa"/>
            <w:vAlign w:val="center"/>
          </w:tcPr>
          <w:p>
            <w:pPr>
              <w:pStyle w:val="100"/>
              <w:widowControl w:val="0"/>
              <w:bidi w:val="0"/>
              <w:adjustRightInd w:val="0"/>
              <w:snapToGrid w:val="0"/>
            </w:pPr>
            <w:r>
              <w:rPr>
                <w:rFonts w:hint="eastAsia"/>
              </w:rPr>
              <w:t>0.5</w:t>
            </w:r>
          </w:p>
        </w:tc>
        <w:tc>
          <w:tcPr>
            <w:tcW w:w="1201" w:type="dxa"/>
            <w:vAlign w:val="center"/>
          </w:tcPr>
          <w:p>
            <w:pPr>
              <w:pStyle w:val="100"/>
              <w:widowControl w:val="0"/>
              <w:bidi w:val="0"/>
              <w:adjustRightInd w:val="0"/>
              <w:snapToGrid w:val="0"/>
            </w:pPr>
            <w:r>
              <w:rPr>
                <w:rFonts w:hint="eastAsia"/>
              </w:rPr>
              <w:t>处置</w:t>
            </w:r>
          </w:p>
        </w:tc>
        <w:tc>
          <w:tcPr>
            <w:tcW w:w="1067" w:type="dxa"/>
            <w:vAlign w:val="center"/>
          </w:tcPr>
          <w:p>
            <w:pPr>
              <w:pStyle w:val="100"/>
              <w:widowControl w:val="0"/>
              <w:bidi w:val="0"/>
              <w:adjustRightInd w:val="0"/>
              <w:snapToGrid w:val="0"/>
            </w:pPr>
            <w:r>
              <w:rPr>
                <w:rFonts w:hint="eastAsia"/>
              </w:rPr>
              <w:t>有资质</w:t>
            </w:r>
            <w: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pPr>
            <w:r>
              <w:rPr>
                <w:rFonts w:hint="eastAsia"/>
              </w:rPr>
              <w:t>废纸箱</w:t>
            </w:r>
          </w:p>
        </w:tc>
        <w:tc>
          <w:tcPr>
            <w:tcW w:w="1283" w:type="dxa"/>
            <w:vAlign w:val="center"/>
          </w:tcPr>
          <w:p>
            <w:pPr>
              <w:pStyle w:val="100"/>
              <w:widowControl w:val="0"/>
              <w:bidi w:val="0"/>
              <w:adjustRightInd w:val="0"/>
              <w:snapToGrid w:val="0"/>
            </w:pPr>
            <w:r>
              <w:rPr>
                <w:rFonts w:hint="eastAsia"/>
              </w:rPr>
              <w:t>包装</w:t>
            </w:r>
          </w:p>
        </w:tc>
        <w:tc>
          <w:tcPr>
            <w:tcW w:w="1036" w:type="dxa"/>
            <w:vAlign w:val="center"/>
          </w:tcPr>
          <w:p>
            <w:pPr>
              <w:pStyle w:val="100"/>
              <w:widowControl w:val="0"/>
              <w:bidi w:val="0"/>
              <w:adjustRightInd w:val="0"/>
              <w:snapToGrid w:val="0"/>
            </w:pPr>
            <w:r>
              <w:t>一般固废</w:t>
            </w:r>
          </w:p>
        </w:tc>
        <w:tc>
          <w:tcPr>
            <w:tcW w:w="1205" w:type="dxa"/>
            <w:vAlign w:val="center"/>
          </w:tcPr>
          <w:p>
            <w:pPr>
              <w:pStyle w:val="100"/>
              <w:widowControl w:val="0"/>
              <w:bidi w:val="0"/>
              <w:adjustRightInd w:val="0"/>
              <w:snapToGrid w:val="0"/>
            </w:pPr>
            <w:r>
              <w:t>/</w:t>
            </w:r>
          </w:p>
        </w:tc>
        <w:tc>
          <w:tcPr>
            <w:tcW w:w="1177" w:type="dxa"/>
            <w:vAlign w:val="center"/>
          </w:tcPr>
          <w:p>
            <w:pPr>
              <w:pStyle w:val="100"/>
              <w:widowControl w:val="0"/>
              <w:bidi w:val="0"/>
              <w:adjustRightInd w:val="0"/>
              <w:snapToGrid w:val="0"/>
            </w:pPr>
            <w:r>
              <w:rPr>
                <w:rFonts w:hint="eastAsia"/>
              </w:rPr>
              <w:t>3</w:t>
            </w:r>
          </w:p>
        </w:tc>
        <w:tc>
          <w:tcPr>
            <w:tcW w:w="1201" w:type="dxa"/>
            <w:vAlign w:val="center"/>
          </w:tcPr>
          <w:p>
            <w:pPr>
              <w:pStyle w:val="100"/>
              <w:widowControl w:val="0"/>
              <w:bidi w:val="0"/>
              <w:adjustRightInd w:val="0"/>
              <w:snapToGrid w:val="0"/>
            </w:pPr>
            <w:r>
              <w:t>外售</w:t>
            </w:r>
          </w:p>
        </w:tc>
        <w:tc>
          <w:tcPr>
            <w:tcW w:w="1067" w:type="dxa"/>
            <w:vAlign w:val="center"/>
          </w:tcPr>
          <w:p>
            <w:pPr>
              <w:pStyle w:val="100"/>
              <w:widowControl w:val="0"/>
              <w:bidi w:val="0"/>
              <w:adjustRightInd w:val="0"/>
              <w:snapToGrid w:val="0"/>
            </w:pPr>
            <w:r>
              <w:t>利用单位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pPr>
            <w:r>
              <w:rPr>
                <w:rFonts w:hint="eastAsia"/>
              </w:rPr>
              <w:t>废活性炭</w:t>
            </w:r>
          </w:p>
        </w:tc>
        <w:tc>
          <w:tcPr>
            <w:tcW w:w="1283" w:type="dxa"/>
            <w:vAlign w:val="center"/>
          </w:tcPr>
          <w:p>
            <w:pPr>
              <w:pStyle w:val="100"/>
              <w:widowControl w:val="0"/>
              <w:bidi w:val="0"/>
              <w:adjustRightInd w:val="0"/>
              <w:snapToGrid w:val="0"/>
            </w:pPr>
            <w:r>
              <w:t>废气处理</w:t>
            </w:r>
          </w:p>
        </w:tc>
        <w:tc>
          <w:tcPr>
            <w:tcW w:w="1036" w:type="dxa"/>
            <w:vAlign w:val="center"/>
          </w:tcPr>
          <w:p>
            <w:pPr>
              <w:pStyle w:val="100"/>
              <w:widowControl w:val="0"/>
              <w:bidi w:val="0"/>
              <w:adjustRightInd w:val="0"/>
              <w:snapToGrid w:val="0"/>
            </w:pPr>
            <w:r>
              <w:rPr>
                <w:rFonts w:hint="eastAsia"/>
              </w:rPr>
              <w:t>危险</w:t>
            </w:r>
            <w:r>
              <w:t>固废</w:t>
            </w:r>
          </w:p>
        </w:tc>
        <w:tc>
          <w:tcPr>
            <w:tcW w:w="1205" w:type="dxa"/>
            <w:vAlign w:val="center"/>
          </w:tcPr>
          <w:p>
            <w:pPr>
              <w:pStyle w:val="100"/>
              <w:widowControl w:val="0"/>
              <w:bidi w:val="0"/>
              <w:adjustRightInd w:val="0"/>
              <w:snapToGrid w:val="0"/>
              <w:rPr>
                <w:rFonts w:hint="default"/>
                <w:lang w:val="en-US" w:eastAsia="zh-CN"/>
              </w:rPr>
            </w:pPr>
            <w:r>
              <w:rPr>
                <w:rFonts w:hint="eastAsia"/>
              </w:rPr>
              <w:t>900-</w:t>
            </w:r>
            <w:r>
              <w:rPr>
                <w:rFonts w:hint="eastAsia"/>
                <w:lang w:val="en-US" w:eastAsia="zh-CN"/>
              </w:rPr>
              <w:t>039-49</w:t>
            </w:r>
          </w:p>
        </w:tc>
        <w:tc>
          <w:tcPr>
            <w:tcW w:w="1177" w:type="dxa"/>
            <w:vAlign w:val="center"/>
          </w:tcPr>
          <w:p>
            <w:pPr>
              <w:pStyle w:val="100"/>
              <w:widowControl w:val="0"/>
              <w:bidi w:val="0"/>
              <w:adjustRightInd w:val="0"/>
              <w:snapToGrid w:val="0"/>
            </w:pPr>
            <w:r>
              <w:t>0.</w:t>
            </w:r>
            <w:r>
              <w:rPr>
                <w:rFonts w:hint="eastAsia"/>
              </w:rPr>
              <w:t>5</w:t>
            </w:r>
          </w:p>
        </w:tc>
        <w:tc>
          <w:tcPr>
            <w:tcW w:w="1201" w:type="dxa"/>
            <w:vAlign w:val="center"/>
          </w:tcPr>
          <w:p>
            <w:pPr>
              <w:pStyle w:val="100"/>
              <w:widowControl w:val="0"/>
              <w:bidi w:val="0"/>
              <w:adjustRightInd w:val="0"/>
              <w:snapToGrid w:val="0"/>
            </w:pPr>
            <w:r>
              <w:rPr>
                <w:rFonts w:hint="eastAsia"/>
              </w:rPr>
              <w:t>处置</w:t>
            </w:r>
          </w:p>
        </w:tc>
        <w:tc>
          <w:tcPr>
            <w:tcW w:w="1067" w:type="dxa"/>
            <w:vAlign w:val="center"/>
          </w:tcPr>
          <w:p>
            <w:pPr>
              <w:pStyle w:val="100"/>
              <w:widowControl w:val="0"/>
              <w:bidi w:val="0"/>
              <w:adjustRightInd w:val="0"/>
              <w:snapToGrid w:val="0"/>
            </w:pPr>
            <w:r>
              <w:rPr>
                <w:rFonts w:hint="eastAsia"/>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pPr>
            <w:r>
              <w:rPr>
                <w:rFonts w:hint="eastAsia"/>
              </w:rPr>
              <w:t>不合格品</w:t>
            </w:r>
          </w:p>
        </w:tc>
        <w:tc>
          <w:tcPr>
            <w:tcW w:w="1283" w:type="dxa"/>
            <w:vAlign w:val="center"/>
          </w:tcPr>
          <w:p>
            <w:pPr>
              <w:pStyle w:val="100"/>
              <w:widowControl w:val="0"/>
              <w:bidi w:val="0"/>
              <w:adjustRightInd w:val="0"/>
              <w:snapToGrid w:val="0"/>
            </w:pPr>
            <w:r>
              <w:rPr>
                <w:rFonts w:hint="eastAsia"/>
              </w:rPr>
              <w:t>检验</w:t>
            </w:r>
          </w:p>
        </w:tc>
        <w:tc>
          <w:tcPr>
            <w:tcW w:w="1036" w:type="dxa"/>
            <w:vAlign w:val="center"/>
          </w:tcPr>
          <w:p>
            <w:pPr>
              <w:pStyle w:val="100"/>
              <w:widowControl w:val="0"/>
              <w:bidi w:val="0"/>
              <w:adjustRightInd w:val="0"/>
              <w:snapToGrid w:val="0"/>
            </w:pPr>
            <w:r>
              <w:t>一般固废</w:t>
            </w:r>
          </w:p>
        </w:tc>
        <w:tc>
          <w:tcPr>
            <w:tcW w:w="1205" w:type="dxa"/>
            <w:vAlign w:val="center"/>
          </w:tcPr>
          <w:p>
            <w:pPr>
              <w:pStyle w:val="100"/>
              <w:widowControl w:val="0"/>
              <w:bidi w:val="0"/>
              <w:adjustRightInd w:val="0"/>
              <w:snapToGrid w:val="0"/>
            </w:pPr>
            <w:r>
              <w:t>/</w:t>
            </w:r>
          </w:p>
        </w:tc>
        <w:tc>
          <w:tcPr>
            <w:tcW w:w="1177" w:type="dxa"/>
            <w:vAlign w:val="center"/>
          </w:tcPr>
          <w:p>
            <w:pPr>
              <w:pStyle w:val="100"/>
              <w:widowControl w:val="0"/>
              <w:bidi w:val="0"/>
              <w:adjustRightInd w:val="0"/>
              <w:snapToGrid w:val="0"/>
              <w:rPr>
                <w:rFonts w:hint="eastAsia"/>
                <w:lang w:val="en-US" w:eastAsia="zh-CN"/>
              </w:rPr>
            </w:pPr>
            <w:r>
              <w:rPr>
                <w:rFonts w:hint="eastAsia"/>
                <w:lang w:val="en-US" w:eastAsia="zh-CN"/>
              </w:rPr>
              <w:t>1</w:t>
            </w:r>
          </w:p>
        </w:tc>
        <w:tc>
          <w:tcPr>
            <w:tcW w:w="1201" w:type="dxa"/>
            <w:vAlign w:val="center"/>
          </w:tcPr>
          <w:p>
            <w:pPr>
              <w:pStyle w:val="100"/>
              <w:widowControl w:val="0"/>
              <w:bidi w:val="0"/>
              <w:adjustRightInd w:val="0"/>
              <w:snapToGrid w:val="0"/>
            </w:pPr>
            <w:r>
              <w:t>外售</w:t>
            </w:r>
          </w:p>
        </w:tc>
        <w:tc>
          <w:tcPr>
            <w:tcW w:w="1067" w:type="dxa"/>
            <w:vAlign w:val="center"/>
          </w:tcPr>
          <w:p>
            <w:pPr>
              <w:pStyle w:val="100"/>
              <w:widowControl w:val="0"/>
              <w:bidi w:val="0"/>
              <w:adjustRightInd w:val="0"/>
              <w:snapToGrid w:val="0"/>
            </w:pPr>
            <w:r>
              <w:t>利用单位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rPr>
                <w:rFonts w:hint="eastAsia"/>
                <w:lang w:val="en-US" w:eastAsia="zh-CN"/>
              </w:rPr>
            </w:pPr>
            <w:r>
              <w:rPr>
                <w:rFonts w:hint="eastAsia"/>
                <w:lang w:val="en-US" w:eastAsia="zh-CN"/>
              </w:rPr>
              <w:t>废抹布</w:t>
            </w:r>
          </w:p>
        </w:tc>
        <w:tc>
          <w:tcPr>
            <w:tcW w:w="1283" w:type="dxa"/>
            <w:vAlign w:val="center"/>
          </w:tcPr>
          <w:p>
            <w:pPr>
              <w:pStyle w:val="100"/>
              <w:widowControl w:val="0"/>
              <w:bidi w:val="0"/>
              <w:adjustRightInd w:val="0"/>
              <w:snapToGrid w:val="0"/>
              <w:rPr>
                <w:rFonts w:hint="eastAsia"/>
                <w:lang w:val="en-US" w:eastAsia="zh-CN"/>
              </w:rPr>
            </w:pPr>
            <w:r>
              <w:rPr>
                <w:rFonts w:hint="eastAsia"/>
                <w:lang w:val="en-US" w:eastAsia="zh-CN"/>
              </w:rPr>
              <w:t>擦拭</w:t>
            </w:r>
          </w:p>
        </w:tc>
        <w:tc>
          <w:tcPr>
            <w:tcW w:w="1036" w:type="dxa"/>
            <w:vAlign w:val="center"/>
          </w:tcPr>
          <w:p>
            <w:pPr>
              <w:pStyle w:val="100"/>
              <w:widowControl w:val="0"/>
              <w:bidi w:val="0"/>
              <w:adjustRightInd w:val="0"/>
              <w:snapToGrid w:val="0"/>
              <w:rPr>
                <w:rFonts w:hint="eastAsia"/>
                <w:lang w:val="en-US" w:eastAsia="zh-CN"/>
              </w:rPr>
            </w:pPr>
            <w:r>
              <w:rPr>
                <w:rFonts w:hint="eastAsia"/>
                <w:lang w:val="en-US" w:eastAsia="zh-CN"/>
              </w:rPr>
              <w:t>危险固废</w:t>
            </w:r>
          </w:p>
        </w:tc>
        <w:tc>
          <w:tcPr>
            <w:tcW w:w="1205" w:type="dxa"/>
            <w:vAlign w:val="center"/>
          </w:tcPr>
          <w:p>
            <w:pPr>
              <w:pStyle w:val="100"/>
              <w:widowControl w:val="0"/>
              <w:bidi w:val="0"/>
              <w:adjustRightInd w:val="0"/>
              <w:snapToGrid w:val="0"/>
              <w:rPr>
                <w:rFonts w:hint="default"/>
                <w:lang w:val="en-US" w:eastAsia="zh-CN"/>
              </w:rPr>
            </w:pPr>
            <w:r>
              <w:rPr>
                <w:rFonts w:hint="eastAsia"/>
                <w:lang w:val="en-US" w:eastAsia="zh-CN"/>
              </w:rPr>
              <w:t>900-047-49</w:t>
            </w:r>
          </w:p>
        </w:tc>
        <w:tc>
          <w:tcPr>
            <w:tcW w:w="1177" w:type="dxa"/>
            <w:vAlign w:val="center"/>
          </w:tcPr>
          <w:p>
            <w:pPr>
              <w:pStyle w:val="100"/>
              <w:widowControl w:val="0"/>
              <w:bidi w:val="0"/>
              <w:adjustRightInd w:val="0"/>
              <w:snapToGrid w:val="0"/>
              <w:rPr>
                <w:rFonts w:hint="default"/>
                <w:lang w:val="en-US" w:eastAsia="zh-CN"/>
              </w:rPr>
            </w:pPr>
            <w:r>
              <w:rPr>
                <w:rFonts w:hint="eastAsia"/>
                <w:lang w:val="en-US" w:eastAsia="zh-CN"/>
              </w:rPr>
              <w:t>0.3</w:t>
            </w:r>
          </w:p>
        </w:tc>
        <w:tc>
          <w:tcPr>
            <w:tcW w:w="1201" w:type="dxa"/>
            <w:vAlign w:val="center"/>
          </w:tcPr>
          <w:p>
            <w:pPr>
              <w:pStyle w:val="100"/>
              <w:widowControl w:val="0"/>
              <w:bidi w:val="0"/>
              <w:adjustRightInd w:val="0"/>
              <w:snapToGrid w:val="0"/>
              <w:rPr>
                <w:rFonts w:hint="eastAsia"/>
                <w:lang w:val="en-US" w:eastAsia="zh-CN"/>
              </w:rPr>
            </w:pPr>
            <w:r>
              <w:rPr>
                <w:rFonts w:hint="eastAsia"/>
                <w:lang w:val="en-US" w:eastAsia="zh-CN"/>
              </w:rPr>
              <w:t>处置</w:t>
            </w:r>
          </w:p>
        </w:tc>
        <w:tc>
          <w:tcPr>
            <w:tcW w:w="1067" w:type="dxa"/>
            <w:vAlign w:val="center"/>
          </w:tcPr>
          <w:p>
            <w:pPr>
              <w:pStyle w:val="100"/>
              <w:widowControl w:val="0"/>
              <w:bidi w:val="0"/>
              <w:adjustRightInd w:val="0"/>
              <w:snapToGrid w:val="0"/>
              <w:rPr>
                <w:rFonts w:hint="eastAsia"/>
                <w:lang w:val="en-US" w:eastAsia="zh-CN"/>
              </w:rPr>
            </w:pPr>
            <w:r>
              <w:rPr>
                <w:rFonts w:hint="eastAsia"/>
                <w:lang w:val="en-US" w:eastAsia="zh-CN"/>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6" w:type="dxa"/>
            <w:vAlign w:val="center"/>
          </w:tcPr>
          <w:p>
            <w:pPr>
              <w:pStyle w:val="100"/>
              <w:widowControl w:val="0"/>
              <w:bidi w:val="0"/>
              <w:adjustRightInd w:val="0"/>
              <w:snapToGrid w:val="0"/>
              <w:rPr>
                <w:lang w:val="en-US" w:eastAsia="zh-CN"/>
              </w:rPr>
            </w:pPr>
            <w:r>
              <w:t>生活垃圾</w:t>
            </w:r>
          </w:p>
        </w:tc>
        <w:tc>
          <w:tcPr>
            <w:tcW w:w="1283" w:type="dxa"/>
            <w:vAlign w:val="center"/>
          </w:tcPr>
          <w:p>
            <w:pPr>
              <w:pStyle w:val="100"/>
              <w:widowControl w:val="0"/>
              <w:bidi w:val="0"/>
              <w:adjustRightInd w:val="0"/>
              <w:snapToGrid w:val="0"/>
              <w:rPr>
                <w:lang w:val="en-US" w:eastAsia="zh-CN"/>
              </w:rPr>
            </w:pPr>
            <w:r>
              <w:t>员工生活</w:t>
            </w:r>
          </w:p>
        </w:tc>
        <w:tc>
          <w:tcPr>
            <w:tcW w:w="1036" w:type="dxa"/>
            <w:vAlign w:val="center"/>
          </w:tcPr>
          <w:p>
            <w:pPr>
              <w:pStyle w:val="100"/>
              <w:widowControl w:val="0"/>
              <w:bidi w:val="0"/>
              <w:adjustRightInd w:val="0"/>
              <w:snapToGrid w:val="0"/>
              <w:rPr>
                <w:lang w:val="en-US" w:eastAsia="zh-CN"/>
              </w:rPr>
            </w:pPr>
            <w:r>
              <w:t>一般固废</w:t>
            </w:r>
          </w:p>
        </w:tc>
        <w:tc>
          <w:tcPr>
            <w:tcW w:w="1205" w:type="dxa"/>
            <w:vAlign w:val="center"/>
          </w:tcPr>
          <w:p>
            <w:pPr>
              <w:pStyle w:val="100"/>
              <w:widowControl w:val="0"/>
              <w:bidi w:val="0"/>
              <w:adjustRightInd w:val="0"/>
              <w:snapToGrid w:val="0"/>
              <w:rPr>
                <w:lang w:val="en-US" w:eastAsia="zh-CN"/>
              </w:rPr>
            </w:pPr>
            <w:r>
              <w:t>/</w:t>
            </w:r>
          </w:p>
        </w:tc>
        <w:tc>
          <w:tcPr>
            <w:tcW w:w="1177" w:type="dxa"/>
            <w:vAlign w:val="center"/>
          </w:tcPr>
          <w:p>
            <w:pPr>
              <w:pStyle w:val="100"/>
              <w:widowControl w:val="0"/>
              <w:bidi w:val="0"/>
              <w:adjustRightInd w:val="0"/>
              <w:snapToGrid w:val="0"/>
              <w:rPr>
                <w:rFonts w:hint="eastAsia"/>
                <w:lang w:val="en-US" w:eastAsia="zh-CN"/>
              </w:rPr>
            </w:pPr>
            <w:r>
              <w:rPr>
                <w:rFonts w:hint="eastAsia"/>
              </w:rPr>
              <w:t>8.4</w:t>
            </w:r>
          </w:p>
        </w:tc>
        <w:tc>
          <w:tcPr>
            <w:tcW w:w="1201" w:type="dxa"/>
            <w:vAlign w:val="center"/>
          </w:tcPr>
          <w:p>
            <w:pPr>
              <w:pStyle w:val="100"/>
              <w:widowControl w:val="0"/>
              <w:bidi w:val="0"/>
              <w:adjustRightInd w:val="0"/>
              <w:snapToGrid w:val="0"/>
              <w:rPr>
                <w:rFonts w:hint="eastAsia"/>
                <w:lang w:val="en-US" w:eastAsia="zh-CN"/>
              </w:rPr>
            </w:pPr>
            <w:r>
              <w:rPr>
                <w:rFonts w:hint="eastAsia"/>
              </w:rPr>
              <w:t>环卫清运</w:t>
            </w:r>
          </w:p>
        </w:tc>
        <w:tc>
          <w:tcPr>
            <w:tcW w:w="1067" w:type="dxa"/>
            <w:vAlign w:val="center"/>
          </w:tcPr>
          <w:p>
            <w:pPr>
              <w:pStyle w:val="100"/>
              <w:widowControl w:val="0"/>
              <w:bidi w:val="0"/>
              <w:adjustRightInd w:val="0"/>
              <w:snapToGrid w:val="0"/>
              <w:rPr>
                <w:lang w:val="en-US" w:eastAsia="zh-CN"/>
              </w:rPr>
            </w:pPr>
            <w:r>
              <w:t>环卫部门</w:t>
            </w:r>
          </w:p>
        </w:tc>
      </w:tr>
    </w:tbl>
    <w:p>
      <w:pPr>
        <w:pStyle w:val="273"/>
        <w:bidi w:val="0"/>
        <w:rPr>
          <w:rFonts w:hint="eastAsia"/>
        </w:rPr>
      </w:pPr>
      <w:r>
        <w:rPr>
          <w:rFonts w:hint="eastAsia"/>
        </w:rPr>
        <w:t>表7-</w:t>
      </w:r>
      <w:r>
        <w:rPr>
          <w:rFonts w:hint="eastAsia"/>
          <w:lang w:val="en-US" w:eastAsia="zh-CN"/>
        </w:rPr>
        <w:t>25</w:t>
      </w:r>
      <w:r>
        <w:rPr>
          <w:rFonts w:hint="eastAsia"/>
        </w:rPr>
        <w:t xml:space="preserve">  建设项目危险废物贮存场所（设施）基本情况表</w:t>
      </w:r>
    </w:p>
    <w:tbl>
      <w:tblPr>
        <w:tblStyle w:val="87"/>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968"/>
        <w:gridCol w:w="983"/>
        <w:gridCol w:w="1265"/>
        <w:gridCol w:w="1265"/>
        <w:gridCol w:w="618"/>
        <w:gridCol w:w="711"/>
        <w:gridCol w:w="703"/>
        <w:gridCol w:w="703"/>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36" w:type="pct"/>
            <w:vAlign w:val="center"/>
          </w:tcPr>
          <w:p>
            <w:pPr>
              <w:pStyle w:val="100"/>
              <w:bidi w:val="0"/>
            </w:pPr>
            <w:r>
              <w:rPr>
                <w:rFonts w:hint="eastAsia"/>
              </w:rPr>
              <w:t>序号</w:t>
            </w:r>
          </w:p>
        </w:tc>
        <w:tc>
          <w:tcPr>
            <w:tcW w:w="570" w:type="pct"/>
            <w:vAlign w:val="center"/>
          </w:tcPr>
          <w:p>
            <w:pPr>
              <w:pStyle w:val="100"/>
              <w:bidi w:val="0"/>
            </w:pPr>
            <w:r>
              <w:rPr>
                <w:rFonts w:hint="eastAsia"/>
              </w:rPr>
              <w:t>储存场所（设施）名称</w:t>
            </w:r>
          </w:p>
        </w:tc>
        <w:tc>
          <w:tcPr>
            <w:tcW w:w="579" w:type="pct"/>
            <w:vAlign w:val="center"/>
          </w:tcPr>
          <w:p>
            <w:pPr>
              <w:pStyle w:val="100"/>
              <w:bidi w:val="0"/>
            </w:pPr>
            <w:r>
              <w:rPr>
                <w:rFonts w:hint="eastAsia"/>
              </w:rPr>
              <w:t>危险废物名称</w:t>
            </w:r>
          </w:p>
        </w:tc>
        <w:tc>
          <w:tcPr>
            <w:tcW w:w="745" w:type="pct"/>
            <w:vAlign w:val="center"/>
          </w:tcPr>
          <w:p>
            <w:pPr>
              <w:pStyle w:val="100"/>
              <w:bidi w:val="0"/>
            </w:pPr>
            <w:r>
              <w:rPr>
                <w:rFonts w:hint="eastAsia"/>
              </w:rPr>
              <w:t>危险废物类别</w:t>
            </w:r>
          </w:p>
        </w:tc>
        <w:tc>
          <w:tcPr>
            <w:tcW w:w="745" w:type="pct"/>
            <w:vAlign w:val="center"/>
          </w:tcPr>
          <w:p>
            <w:pPr>
              <w:pStyle w:val="100"/>
              <w:bidi w:val="0"/>
            </w:pPr>
            <w:r>
              <w:rPr>
                <w:rFonts w:hint="eastAsia"/>
              </w:rPr>
              <w:t>危险废物代码</w:t>
            </w:r>
          </w:p>
        </w:tc>
        <w:tc>
          <w:tcPr>
            <w:tcW w:w="364" w:type="pct"/>
            <w:vAlign w:val="center"/>
          </w:tcPr>
          <w:p>
            <w:pPr>
              <w:pStyle w:val="100"/>
              <w:bidi w:val="0"/>
            </w:pPr>
            <w:r>
              <w:rPr>
                <w:rFonts w:hint="eastAsia"/>
              </w:rPr>
              <w:t>位置</w:t>
            </w:r>
          </w:p>
        </w:tc>
        <w:tc>
          <w:tcPr>
            <w:tcW w:w="419" w:type="pct"/>
            <w:vAlign w:val="center"/>
          </w:tcPr>
          <w:p>
            <w:pPr>
              <w:pStyle w:val="100"/>
              <w:bidi w:val="0"/>
            </w:pPr>
            <w:r>
              <w:rPr>
                <w:rFonts w:hint="eastAsia"/>
              </w:rPr>
              <w:t>占地面积</w:t>
            </w:r>
          </w:p>
        </w:tc>
        <w:tc>
          <w:tcPr>
            <w:tcW w:w="414" w:type="pct"/>
            <w:vAlign w:val="center"/>
          </w:tcPr>
          <w:p>
            <w:pPr>
              <w:pStyle w:val="100"/>
              <w:bidi w:val="0"/>
            </w:pPr>
            <w:r>
              <w:rPr>
                <w:rFonts w:hint="eastAsia"/>
              </w:rPr>
              <w:t>贮存方式</w:t>
            </w:r>
          </w:p>
        </w:tc>
        <w:tc>
          <w:tcPr>
            <w:tcW w:w="414" w:type="pct"/>
            <w:vAlign w:val="center"/>
          </w:tcPr>
          <w:p>
            <w:pPr>
              <w:pStyle w:val="100"/>
              <w:bidi w:val="0"/>
            </w:pPr>
            <w:r>
              <w:rPr>
                <w:rFonts w:hint="eastAsia"/>
              </w:rPr>
              <w:t>贮存能力</w:t>
            </w:r>
          </w:p>
        </w:tc>
        <w:tc>
          <w:tcPr>
            <w:tcW w:w="410" w:type="pct"/>
            <w:vAlign w:val="center"/>
          </w:tcPr>
          <w:p>
            <w:pPr>
              <w:pStyle w:val="100"/>
              <w:bidi w:val="0"/>
            </w:pPr>
            <w:r>
              <w:rPr>
                <w:rFonts w:hint="eastAsia"/>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6" w:type="pct"/>
            <w:vAlign w:val="center"/>
          </w:tcPr>
          <w:p>
            <w:pPr>
              <w:pStyle w:val="100"/>
              <w:bidi w:val="0"/>
            </w:pPr>
            <w:r>
              <w:rPr>
                <w:rFonts w:hint="eastAsia"/>
              </w:rPr>
              <w:t>1</w:t>
            </w:r>
          </w:p>
        </w:tc>
        <w:tc>
          <w:tcPr>
            <w:tcW w:w="570" w:type="pct"/>
            <w:vMerge w:val="restart"/>
            <w:vAlign w:val="center"/>
          </w:tcPr>
          <w:p>
            <w:pPr>
              <w:pStyle w:val="100"/>
              <w:bidi w:val="0"/>
            </w:pPr>
            <w:r>
              <w:rPr>
                <w:rFonts w:hint="eastAsia"/>
              </w:rPr>
              <w:t>危废仓库</w:t>
            </w:r>
          </w:p>
        </w:tc>
        <w:tc>
          <w:tcPr>
            <w:tcW w:w="579" w:type="pct"/>
            <w:vAlign w:val="center"/>
          </w:tcPr>
          <w:p>
            <w:pPr>
              <w:pStyle w:val="100"/>
              <w:bidi w:val="0"/>
            </w:pPr>
            <w:r>
              <w:t>废</w:t>
            </w:r>
            <w:r>
              <w:rPr>
                <w:rFonts w:hint="eastAsia"/>
              </w:rPr>
              <w:t>油墨罐</w:t>
            </w:r>
          </w:p>
        </w:tc>
        <w:tc>
          <w:tcPr>
            <w:tcW w:w="745" w:type="pct"/>
            <w:vAlign w:val="center"/>
          </w:tcPr>
          <w:p>
            <w:pPr>
              <w:pStyle w:val="100"/>
              <w:bidi w:val="0"/>
              <w:rPr>
                <w:rFonts w:hint="default"/>
                <w:lang w:val="en-US" w:eastAsia="zh-CN"/>
              </w:rPr>
            </w:pPr>
            <w:r>
              <w:rPr>
                <w:rFonts w:hint="eastAsia"/>
              </w:rPr>
              <w:t>H</w:t>
            </w:r>
            <w:r>
              <w:t>W</w:t>
            </w:r>
            <w:r>
              <w:rPr>
                <w:rFonts w:hint="eastAsia"/>
                <w:lang w:val="en-US" w:eastAsia="zh-CN"/>
              </w:rPr>
              <w:t>49</w:t>
            </w:r>
          </w:p>
        </w:tc>
        <w:tc>
          <w:tcPr>
            <w:tcW w:w="745" w:type="pct"/>
            <w:vAlign w:val="center"/>
          </w:tcPr>
          <w:p>
            <w:pPr>
              <w:pStyle w:val="100"/>
              <w:bidi w:val="0"/>
              <w:rPr>
                <w:rFonts w:hint="default"/>
                <w:lang w:val="en-US" w:eastAsia="zh-CN"/>
              </w:rPr>
            </w:pPr>
            <w:r>
              <w:rPr>
                <w:rFonts w:hint="eastAsia"/>
                <w:lang w:val="en-US" w:eastAsia="zh-CN"/>
              </w:rPr>
              <w:t>900-041-49</w:t>
            </w:r>
          </w:p>
        </w:tc>
        <w:tc>
          <w:tcPr>
            <w:tcW w:w="364" w:type="pct"/>
            <w:vMerge w:val="restart"/>
            <w:vAlign w:val="center"/>
          </w:tcPr>
          <w:p>
            <w:pPr>
              <w:pStyle w:val="100"/>
              <w:bidi w:val="0"/>
            </w:pPr>
            <w:r>
              <w:rPr>
                <w:rFonts w:hint="eastAsia"/>
              </w:rPr>
              <w:t>车间内划分</w:t>
            </w:r>
          </w:p>
        </w:tc>
        <w:tc>
          <w:tcPr>
            <w:tcW w:w="419" w:type="pct"/>
            <w:vMerge w:val="restart"/>
            <w:vAlign w:val="center"/>
          </w:tcPr>
          <w:p>
            <w:pPr>
              <w:pStyle w:val="100"/>
              <w:bidi w:val="0"/>
            </w:pPr>
            <w:r>
              <w:rPr>
                <w:rFonts w:hint="eastAsia"/>
              </w:rPr>
              <w:t>21m</w:t>
            </w:r>
            <w:r>
              <w:t>2</w:t>
            </w:r>
          </w:p>
        </w:tc>
        <w:tc>
          <w:tcPr>
            <w:tcW w:w="414" w:type="pct"/>
            <w:vAlign w:val="center"/>
          </w:tcPr>
          <w:p>
            <w:pPr>
              <w:pStyle w:val="100"/>
              <w:bidi w:val="0"/>
              <w:rPr>
                <w:rFonts w:hint="eastAsia"/>
                <w:lang w:val="en-US" w:eastAsia="zh-CN"/>
              </w:rPr>
            </w:pPr>
            <w:r>
              <w:rPr>
                <w:rFonts w:hint="eastAsia"/>
                <w:lang w:val="en-US" w:eastAsia="zh-CN"/>
              </w:rPr>
              <w:t>堆放</w:t>
            </w:r>
          </w:p>
        </w:tc>
        <w:tc>
          <w:tcPr>
            <w:tcW w:w="414" w:type="pct"/>
            <w:vMerge w:val="restart"/>
            <w:vAlign w:val="center"/>
          </w:tcPr>
          <w:p>
            <w:pPr>
              <w:pStyle w:val="100"/>
              <w:bidi w:val="0"/>
            </w:pPr>
            <w:r>
              <w:rPr>
                <w:rFonts w:hint="eastAsia"/>
              </w:rPr>
              <w:t>8t</w:t>
            </w:r>
          </w:p>
        </w:tc>
        <w:tc>
          <w:tcPr>
            <w:tcW w:w="410" w:type="pct"/>
            <w:vAlign w:val="center"/>
          </w:tcPr>
          <w:p>
            <w:pPr>
              <w:pStyle w:val="100"/>
              <w:bidi w:val="0"/>
            </w:pPr>
            <w: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6" w:type="pct"/>
            <w:vAlign w:val="center"/>
          </w:tcPr>
          <w:p>
            <w:pPr>
              <w:pStyle w:val="100"/>
              <w:bidi w:val="0"/>
            </w:pPr>
            <w:r>
              <w:rPr>
                <w:rFonts w:hint="eastAsia"/>
              </w:rPr>
              <w:t>2</w:t>
            </w:r>
          </w:p>
        </w:tc>
        <w:tc>
          <w:tcPr>
            <w:tcW w:w="570" w:type="pct"/>
            <w:vMerge w:val="continue"/>
            <w:vAlign w:val="center"/>
          </w:tcPr>
          <w:p>
            <w:pPr>
              <w:pStyle w:val="100"/>
              <w:bidi w:val="0"/>
            </w:pPr>
          </w:p>
        </w:tc>
        <w:tc>
          <w:tcPr>
            <w:tcW w:w="579" w:type="pct"/>
            <w:vAlign w:val="center"/>
          </w:tcPr>
          <w:p>
            <w:pPr>
              <w:pStyle w:val="100"/>
              <w:bidi w:val="0"/>
            </w:pPr>
            <w:r>
              <w:t>废</w:t>
            </w:r>
            <w:r>
              <w:rPr>
                <w:rFonts w:hint="eastAsia"/>
              </w:rPr>
              <w:t>胶水罐</w:t>
            </w:r>
          </w:p>
        </w:tc>
        <w:tc>
          <w:tcPr>
            <w:tcW w:w="745" w:type="pct"/>
            <w:vAlign w:val="center"/>
          </w:tcPr>
          <w:p>
            <w:pPr>
              <w:pStyle w:val="100"/>
              <w:bidi w:val="0"/>
              <w:rPr>
                <w:rFonts w:hint="default"/>
                <w:lang w:val="en-US" w:eastAsia="zh-CN"/>
              </w:rPr>
            </w:pPr>
            <w:r>
              <w:rPr>
                <w:rFonts w:hint="eastAsia"/>
              </w:rPr>
              <w:t>H</w:t>
            </w:r>
            <w:r>
              <w:t>W</w:t>
            </w:r>
            <w:r>
              <w:rPr>
                <w:rFonts w:hint="eastAsia"/>
                <w:lang w:val="en-US" w:eastAsia="zh-CN"/>
              </w:rPr>
              <w:t>49</w:t>
            </w:r>
          </w:p>
        </w:tc>
        <w:tc>
          <w:tcPr>
            <w:tcW w:w="745" w:type="pct"/>
            <w:vAlign w:val="center"/>
          </w:tcPr>
          <w:p>
            <w:pPr>
              <w:pStyle w:val="100"/>
              <w:bidi w:val="0"/>
              <w:rPr>
                <w:rFonts w:hint="default"/>
                <w:lang w:val="en-US" w:eastAsia="zh-CN"/>
              </w:rPr>
            </w:pPr>
            <w:r>
              <w:rPr>
                <w:rFonts w:hint="eastAsia"/>
                <w:lang w:val="en-US" w:eastAsia="zh-CN"/>
              </w:rPr>
              <w:t>900-041-49</w:t>
            </w:r>
          </w:p>
        </w:tc>
        <w:tc>
          <w:tcPr>
            <w:tcW w:w="364" w:type="pct"/>
            <w:vMerge w:val="continue"/>
            <w:vAlign w:val="center"/>
          </w:tcPr>
          <w:p>
            <w:pPr>
              <w:pStyle w:val="100"/>
              <w:bidi w:val="0"/>
            </w:pPr>
          </w:p>
        </w:tc>
        <w:tc>
          <w:tcPr>
            <w:tcW w:w="419" w:type="pct"/>
            <w:vMerge w:val="continue"/>
            <w:vAlign w:val="center"/>
          </w:tcPr>
          <w:p>
            <w:pPr>
              <w:pStyle w:val="100"/>
              <w:bidi w:val="0"/>
            </w:pPr>
          </w:p>
        </w:tc>
        <w:tc>
          <w:tcPr>
            <w:tcW w:w="414" w:type="pct"/>
            <w:vAlign w:val="center"/>
          </w:tcPr>
          <w:p>
            <w:pPr>
              <w:pStyle w:val="100"/>
              <w:bidi w:val="0"/>
              <w:rPr>
                <w:rFonts w:hint="eastAsia"/>
                <w:lang w:val="en-US" w:eastAsia="zh-CN"/>
              </w:rPr>
            </w:pPr>
            <w:r>
              <w:rPr>
                <w:rFonts w:hint="eastAsia"/>
                <w:lang w:val="en-US" w:eastAsia="zh-CN"/>
              </w:rPr>
              <w:t>堆放</w:t>
            </w:r>
          </w:p>
        </w:tc>
        <w:tc>
          <w:tcPr>
            <w:tcW w:w="414" w:type="pct"/>
            <w:vMerge w:val="continue"/>
            <w:vAlign w:val="center"/>
          </w:tcPr>
          <w:p>
            <w:pPr>
              <w:pStyle w:val="100"/>
              <w:bidi w:val="0"/>
            </w:pPr>
          </w:p>
        </w:tc>
        <w:tc>
          <w:tcPr>
            <w:tcW w:w="410" w:type="pct"/>
            <w:vAlign w:val="center"/>
          </w:tcPr>
          <w:p>
            <w:pPr>
              <w:pStyle w:val="100"/>
              <w:bidi w:val="0"/>
            </w:pPr>
            <w: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6" w:type="pct"/>
            <w:vAlign w:val="center"/>
          </w:tcPr>
          <w:p>
            <w:pPr>
              <w:pStyle w:val="100"/>
              <w:bidi w:val="0"/>
            </w:pPr>
            <w:r>
              <w:rPr>
                <w:rFonts w:hint="eastAsia"/>
              </w:rPr>
              <w:t>3</w:t>
            </w:r>
          </w:p>
        </w:tc>
        <w:tc>
          <w:tcPr>
            <w:tcW w:w="570" w:type="pct"/>
            <w:vMerge w:val="continue"/>
            <w:vAlign w:val="center"/>
          </w:tcPr>
          <w:p>
            <w:pPr>
              <w:pStyle w:val="100"/>
              <w:bidi w:val="0"/>
            </w:pPr>
          </w:p>
        </w:tc>
        <w:tc>
          <w:tcPr>
            <w:tcW w:w="579" w:type="pct"/>
            <w:vAlign w:val="center"/>
          </w:tcPr>
          <w:p>
            <w:pPr>
              <w:pStyle w:val="100"/>
              <w:bidi w:val="0"/>
            </w:pPr>
            <w:r>
              <w:t>废</w:t>
            </w:r>
            <w:r>
              <w:rPr>
                <w:rFonts w:hint="eastAsia"/>
              </w:rPr>
              <w:t>活性炭</w:t>
            </w:r>
          </w:p>
        </w:tc>
        <w:tc>
          <w:tcPr>
            <w:tcW w:w="745" w:type="pct"/>
            <w:vAlign w:val="center"/>
          </w:tcPr>
          <w:p>
            <w:pPr>
              <w:pStyle w:val="100"/>
              <w:bidi w:val="0"/>
            </w:pPr>
            <w:r>
              <w:rPr>
                <w:rFonts w:hint="eastAsia"/>
              </w:rPr>
              <w:t>H</w:t>
            </w:r>
            <w:r>
              <w:t>W49</w:t>
            </w:r>
          </w:p>
        </w:tc>
        <w:tc>
          <w:tcPr>
            <w:tcW w:w="745" w:type="pct"/>
            <w:vAlign w:val="center"/>
          </w:tcPr>
          <w:p>
            <w:pPr>
              <w:pStyle w:val="100"/>
              <w:bidi w:val="0"/>
              <w:rPr>
                <w:rFonts w:hint="default"/>
                <w:lang w:val="en-US" w:eastAsia="zh-CN"/>
              </w:rPr>
            </w:pPr>
            <w:r>
              <w:t>900</w:t>
            </w:r>
            <w:r>
              <w:rPr>
                <w:rFonts w:hint="eastAsia"/>
                <w:lang w:val="en-US" w:eastAsia="zh-CN"/>
              </w:rPr>
              <w:t>-039-49</w:t>
            </w:r>
          </w:p>
        </w:tc>
        <w:tc>
          <w:tcPr>
            <w:tcW w:w="364" w:type="pct"/>
            <w:vMerge w:val="continue"/>
            <w:vAlign w:val="center"/>
          </w:tcPr>
          <w:p>
            <w:pPr>
              <w:pStyle w:val="100"/>
              <w:bidi w:val="0"/>
            </w:pPr>
          </w:p>
        </w:tc>
        <w:tc>
          <w:tcPr>
            <w:tcW w:w="419" w:type="pct"/>
            <w:vMerge w:val="continue"/>
            <w:vAlign w:val="center"/>
          </w:tcPr>
          <w:p>
            <w:pPr>
              <w:pStyle w:val="100"/>
              <w:bidi w:val="0"/>
            </w:pPr>
          </w:p>
        </w:tc>
        <w:tc>
          <w:tcPr>
            <w:tcW w:w="414" w:type="pct"/>
            <w:vAlign w:val="center"/>
          </w:tcPr>
          <w:p>
            <w:pPr>
              <w:pStyle w:val="100"/>
              <w:bidi w:val="0"/>
            </w:pPr>
            <w:r>
              <w:rPr>
                <w:rFonts w:hint="eastAsia"/>
                <w:lang w:val="en-US" w:eastAsia="zh-CN"/>
              </w:rPr>
              <w:t>袋</w:t>
            </w:r>
            <w:r>
              <w:rPr>
                <w:rFonts w:hint="eastAsia"/>
              </w:rPr>
              <w:t>装</w:t>
            </w:r>
          </w:p>
        </w:tc>
        <w:tc>
          <w:tcPr>
            <w:tcW w:w="414" w:type="pct"/>
            <w:vMerge w:val="continue"/>
            <w:vAlign w:val="center"/>
          </w:tcPr>
          <w:p>
            <w:pPr>
              <w:pStyle w:val="100"/>
              <w:bidi w:val="0"/>
            </w:pPr>
          </w:p>
        </w:tc>
        <w:tc>
          <w:tcPr>
            <w:tcW w:w="410" w:type="pct"/>
            <w:vAlign w:val="center"/>
          </w:tcPr>
          <w:p>
            <w:pPr>
              <w:pStyle w:val="100"/>
              <w:bidi w:val="0"/>
            </w:pPr>
            <w: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36" w:type="pct"/>
            <w:vAlign w:val="center"/>
          </w:tcPr>
          <w:p>
            <w:pPr>
              <w:pStyle w:val="100"/>
              <w:bidi w:val="0"/>
              <w:rPr>
                <w:rFonts w:hint="eastAsia"/>
                <w:lang w:val="en-US" w:eastAsia="zh-CN"/>
              </w:rPr>
            </w:pPr>
            <w:r>
              <w:rPr>
                <w:rFonts w:hint="eastAsia"/>
                <w:lang w:val="en-US" w:eastAsia="zh-CN"/>
              </w:rPr>
              <w:t>5</w:t>
            </w:r>
          </w:p>
        </w:tc>
        <w:tc>
          <w:tcPr>
            <w:tcW w:w="570" w:type="pct"/>
            <w:vMerge w:val="continue"/>
            <w:vAlign w:val="center"/>
          </w:tcPr>
          <w:p>
            <w:pPr>
              <w:pStyle w:val="100"/>
              <w:bidi w:val="0"/>
            </w:pPr>
          </w:p>
        </w:tc>
        <w:tc>
          <w:tcPr>
            <w:tcW w:w="579" w:type="pct"/>
            <w:vAlign w:val="center"/>
          </w:tcPr>
          <w:p>
            <w:pPr>
              <w:pStyle w:val="100"/>
              <w:bidi w:val="0"/>
              <w:rPr>
                <w:rFonts w:hint="eastAsia"/>
                <w:lang w:val="en-US" w:eastAsia="zh-CN"/>
              </w:rPr>
            </w:pPr>
            <w:r>
              <w:rPr>
                <w:rFonts w:hint="eastAsia"/>
                <w:lang w:val="en-US" w:eastAsia="zh-CN"/>
              </w:rPr>
              <w:t>废抹布</w:t>
            </w:r>
          </w:p>
        </w:tc>
        <w:tc>
          <w:tcPr>
            <w:tcW w:w="745" w:type="pct"/>
            <w:vAlign w:val="center"/>
          </w:tcPr>
          <w:p>
            <w:pPr>
              <w:pStyle w:val="100"/>
              <w:bidi w:val="0"/>
              <w:rPr>
                <w:rFonts w:hint="default"/>
                <w:lang w:val="en-US" w:eastAsia="zh-CN"/>
              </w:rPr>
            </w:pPr>
            <w:r>
              <w:rPr>
                <w:rFonts w:hint="eastAsia"/>
                <w:lang w:val="en-US" w:eastAsia="zh-CN"/>
              </w:rPr>
              <w:t>HW49</w:t>
            </w:r>
          </w:p>
        </w:tc>
        <w:tc>
          <w:tcPr>
            <w:tcW w:w="745" w:type="pct"/>
            <w:vAlign w:val="center"/>
          </w:tcPr>
          <w:p>
            <w:pPr>
              <w:pStyle w:val="100"/>
              <w:bidi w:val="0"/>
              <w:rPr>
                <w:rFonts w:hint="default"/>
                <w:lang w:val="en-US" w:eastAsia="zh-CN"/>
              </w:rPr>
            </w:pPr>
            <w:r>
              <w:rPr>
                <w:rFonts w:hint="eastAsia"/>
                <w:lang w:val="en-US" w:eastAsia="zh-CN"/>
              </w:rPr>
              <w:t>900-047-49</w:t>
            </w:r>
          </w:p>
        </w:tc>
        <w:tc>
          <w:tcPr>
            <w:tcW w:w="364" w:type="pct"/>
            <w:vMerge w:val="continue"/>
            <w:vAlign w:val="center"/>
          </w:tcPr>
          <w:p>
            <w:pPr>
              <w:pStyle w:val="100"/>
              <w:bidi w:val="0"/>
            </w:pPr>
          </w:p>
        </w:tc>
        <w:tc>
          <w:tcPr>
            <w:tcW w:w="419" w:type="pct"/>
            <w:vMerge w:val="continue"/>
            <w:vAlign w:val="center"/>
          </w:tcPr>
          <w:p>
            <w:pPr>
              <w:pStyle w:val="100"/>
              <w:bidi w:val="0"/>
            </w:pPr>
          </w:p>
        </w:tc>
        <w:tc>
          <w:tcPr>
            <w:tcW w:w="414" w:type="pct"/>
            <w:vAlign w:val="center"/>
          </w:tcPr>
          <w:p>
            <w:pPr>
              <w:pStyle w:val="100"/>
              <w:bidi w:val="0"/>
              <w:rPr>
                <w:rFonts w:hint="eastAsia"/>
                <w:lang w:val="en-US" w:eastAsia="zh-CN"/>
              </w:rPr>
            </w:pPr>
            <w:r>
              <w:rPr>
                <w:rFonts w:hint="eastAsia"/>
                <w:lang w:val="en-US" w:eastAsia="zh-CN"/>
              </w:rPr>
              <w:t>袋装</w:t>
            </w:r>
          </w:p>
        </w:tc>
        <w:tc>
          <w:tcPr>
            <w:tcW w:w="414" w:type="pct"/>
            <w:vMerge w:val="continue"/>
            <w:vAlign w:val="center"/>
          </w:tcPr>
          <w:p>
            <w:pPr>
              <w:pStyle w:val="100"/>
              <w:bidi w:val="0"/>
            </w:pPr>
          </w:p>
        </w:tc>
        <w:tc>
          <w:tcPr>
            <w:tcW w:w="410" w:type="pct"/>
            <w:vAlign w:val="center"/>
          </w:tcPr>
          <w:p>
            <w:pPr>
              <w:pStyle w:val="100"/>
              <w:bidi w:val="0"/>
              <w:rPr>
                <w:rFonts w:hint="eastAsia"/>
                <w:lang w:val="en-US" w:eastAsia="zh-CN"/>
              </w:rPr>
            </w:pPr>
            <w:r>
              <w:rPr>
                <w:rFonts w:hint="eastAsia"/>
                <w:lang w:val="en-US" w:eastAsia="zh-CN"/>
              </w:rPr>
              <w:t>半年</w:t>
            </w:r>
          </w:p>
        </w:tc>
      </w:tr>
    </w:tbl>
    <w:p>
      <w:pPr>
        <w:pStyle w:val="103"/>
        <w:bidi w:val="0"/>
      </w:pPr>
      <w:r>
        <w:rPr>
          <w:rFonts w:hint="eastAsia"/>
        </w:rPr>
        <w:t>危险废物进行科学的分类收集，规范的贮存和运送；在转移及运送过程中严格执行《危险废物转移联单管理办法》中相关条款，且委托有资质单位进行相应处置，不对外排放，不对环境产生二次污染。</w:t>
      </w:r>
    </w:p>
    <w:p>
      <w:pPr>
        <w:pStyle w:val="103"/>
        <w:bidi w:val="0"/>
      </w:pPr>
      <w:r>
        <w:t>（1）本项目固废处置方式</w:t>
      </w:r>
    </w:p>
    <w:p>
      <w:pPr>
        <w:pStyle w:val="103"/>
        <w:bidi w:val="0"/>
      </w:pPr>
      <w:r>
        <w:rPr>
          <w:rFonts w:hint="eastAsia"/>
        </w:rPr>
        <w:t>本项目对生产固废处理处置措施是根据固废性质和利用可行性而作相应的处理；做到收集、临时存放、运输，不产生二次污染。具体处理和排放情况见上表7-16。</w:t>
      </w:r>
    </w:p>
    <w:p>
      <w:pPr>
        <w:pStyle w:val="103"/>
        <w:bidi w:val="0"/>
      </w:pPr>
      <w:r>
        <w:rPr>
          <w:rFonts w:hint="eastAsia"/>
        </w:rPr>
        <w:t>根据不同固体废物的特性，采用相应的固废处理措施处理相关废物是可行的，不会对环境产生二次污染。为了保证项目产生的危险废物不对环境产生二次污染，建设单位要严格执行固体废物处理的有关协议严格执行危险固体废弃物转移手续，以确保固废转移时不产生二次污染；外运时应作到不沿途抛洒；固废在厂内临时储存于危险废物库内，地面应有防渗漏措施，其它固废分类置于专门储箱或储罐，定期外运。</w:t>
      </w:r>
    </w:p>
    <w:p>
      <w:pPr>
        <w:pStyle w:val="103"/>
        <w:bidi w:val="0"/>
      </w:pPr>
      <w:r>
        <w:rPr>
          <w:rFonts w:hint="eastAsia"/>
        </w:rPr>
        <w:t>因此本项目产生的固废均可得到有效处置，建设项目采取的固废处置方案可行。</w:t>
      </w:r>
    </w:p>
    <w:p>
      <w:pPr>
        <w:pStyle w:val="103"/>
        <w:bidi w:val="0"/>
      </w:pPr>
      <w:r>
        <w:t>（2）危险废物贮存设施的污染防治措施及环境影响分析</w:t>
      </w:r>
    </w:p>
    <w:p>
      <w:pPr>
        <w:pStyle w:val="103"/>
        <w:bidi w:val="0"/>
      </w:pPr>
      <w:r>
        <w:rPr>
          <w:rFonts w:hint="eastAsia"/>
        </w:rPr>
        <w:t>本项目危险废物暂存于密闭容器或专用吨袋内，均临时存放于指定的危废堆场，不得露天堆放，危险废物的地坪要符合防腐防渗要求，避免产生渗透、雨水淋溶及大风吹扬及外水入侵冲洗等二次污染；危废暂存场所应严格按照《危险废物贮存污染控制标准》（GB18597-2001）及修改单的要求规范建设和维护使用。做到防雨、防风、防渗、防漏等措施，并制定好危险废物转移运输中的污染防范及事故应急措施。具体情况如下：</w:t>
      </w:r>
    </w:p>
    <w:p>
      <w:pPr>
        <w:pStyle w:val="103"/>
        <w:bidi w:val="0"/>
      </w:pPr>
      <w:r>
        <w:rPr>
          <w:rFonts w:hint="eastAsia"/>
        </w:rPr>
        <w:t>①危险废物产生后用密闭容器或吨袋储存，并在容器显著位置张贴危险废物的标识。需根据《环境保护图形标志—固体废物贮存（处置场）》（GB15562.2-1995）在固废贮存场所设置环保标志。</w:t>
      </w:r>
    </w:p>
    <w:p>
      <w:pPr>
        <w:pStyle w:val="103"/>
        <w:bidi w:val="0"/>
      </w:pPr>
      <w:r>
        <w:rPr>
          <w:rFonts w:hint="eastAsia"/>
        </w:rPr>
        <w:t>②本项目危险废物暂存场所应按照《危险废物贮存污染控制标准》（GB18597-2001）的要求进行建设，设置防渗、防漏、防雨等措施。建议基础防渗层为1m 厚粘土层（渗透系数≤10-7cm/s），最上层为2mm 厚的高密度聚乙烯，或至少2mm 厚的其他人工材料，渗透系数≤10-10cm/s。</w:t>
      </w:r>
    </w:p>
    <w:p>
      <w:pPr>
        <w:pStyle w:val="103"/>
        <w:bidi w:val="0"/>
      </w:pPr>
      <w:r>
        <w:rPr>
          <w:rFonts w:hint="eastAsia"/>
        </w:rPr>
        <w:t>③本项目应加强危险储存场所的安全防范措施，防止容器或吨袋破损、泄露等情况发生，防止出现危险废物渗滤液、有机废气等二次污染情况。垃圾桶需加盖封闭，定时转运，保持周围场地整洁，无撒落垃圾和堆积杂物，无积留污水。各类废弃物需定期运出厂区清理。</w:t>
      </w:r>
    </w:p>
    <w:p>
      <w:pPr>
        <w:pStyle w:val="103"/>
        <w:bidi w:val="0"/>
      </w:pPr>
      <w:r>
        <w:rPr>
          <w:rFonts w:hint="eastAsia"/>
        </w:rPr>
        <w:t>（3）危险废物运输过程的污染防治措施及环境影响分析</w:t>
      </w:r>
    </w:p>
    <w:p>
      <w:pPr>
        <w:pStyle w:val="103"/>
        <w:bidi w:val="0"/>
      </w:pPr>
      <w:r>
        <w:rPr>
          <w:rFonts w:hint="eastAsia"/>
        </w:rPr>
        <w:t>①本项目危险废物必须及时运送至危险废物处置单位进行处置，运输过程必须符合国家及江苏省对危险废物的运输要求。应由固废接收单位的专用车进行运输，须填写危废转移单，要注意危险废物安全单独运输，固废的包装容器要注意密闭，以免在运输途中发生泄漏，从而危害环境；</w:t>
      </w:r>
    </w:p>
    <w:p>
      <w:pPr>
        <w:pStyle w:val="103"/>
        <w:bidi w:val="0"/>
      </w:pPr>
      <w:r>
        <w:rPr>
          <w:rFonts w:hint="eastAsia"/>
        </w:rPr>
        <w:t>②本项目在危险废物转移的过程中严格执行《危险废物转移单联管理办法》，危险废物的转运必须填写“五联单”，且必须符合国家及江苏省对危险废物转运的相关规定。</w:t>
      </w:r>
    </w:p>
    <w:p>
      <w:pPr>
        <w:pStyle w:val="103"/>
        <w:bidi w:val="0"/>
      </w:pPr>
      <w:r>
        <w:rPr>
          <w:rFonts w:hint="eastAsia"/>
        </w:rPr>
        <w:t>③清运车辆(包括机动车辆和非机动车辆)运输垃圾应符合下列质量要求：（a）车容应整洁，车体外部无污物、灰垢，标志应清晰。（b）运输垃圾应密闭，在运输过程中无垃圾扬、撒、拖挂和污水滴漏。（c）垃圾装运量应以车辆的额定荷载和有效容积为限，不得超重、超高运输。（d）装卸垃圾应符合作业要求，不得乱倒、乱卸、乱抛垃圾。（e）运输作业结束，应将车辆清洗干净。</w:t>
      </w:r>
    </w:p>
    <w:p>
      <w:pPr>
        <w:pStyle w:val="104"/>
      </w:pPr>
      <w:r>
        <w:t>环境事故风险分析</w:t>
      </w:r>
    </w:p>
    <w:bookmarkEnd w:id="76"/>
    <w:bookmarkEnd w:id="77"/>
    <w:p>
      <w:pPr>
        <w:pStyle w:val="105"/>
        <w:numPr>
          <w:ilvl w:val="3"/>
          <w:numId w:val="0"/>
        </w:numPr>
        <w:tabs>
          <w:tab w:val="clear" w:pos="1080"/>
        </w:tabs>
        <w:ind w:firstLine="482" w:firstLineChars="200"/>
      </w:pPr>
      <w:r>
        <w:rPr>
          <w:rFonts w:hint="eastAsia"/>
          <w:lang w:val="en-US" w:eastAsia="zh-CN"/>
        </w:rPr>
        <w:t>1、</w:t>
      </w:r>
      <w:r>
        <w:rPr>
          <w:rFonts w:hint="eastAsia"/>
        </w:rPr>
        <w:t>风险评价等级判定</w:t>
      </w:r>
    </w:p>
    <w:p>
      <w:pPr>
        <w:pStyle w:val="103"/>
        <w:bidi w:val="0"/>
      </w:pPr>
      <w:r>
        <w:rPr>
          <w:rFonts w:hint="eastAsia"/>
        </w:rPr>
        <w:t>本项目建设后，经核实不涉及使用《建设项目环境风险评价技术导则》（HJ 169-2018）附录B所涉及的风险物质。项目Q值本项目Q值=0。根据《建设项目环境风险评价技术导则》（HJ 169-2018），环境风险潜势为 I，可只进行简单分析。</w:t>
      </w:r>
    </w:p>
    <w:p>
      <w:pPr>
        <w:pStyle w:val="105"/>
        <w:numPr>
          <w:ilvl w:val="3"/>
          <w:numId w:val="0"/>
        </w:numPr>
        <w:tabs>
          <w:tab w:val="clear" w:pos="1080"/>
        </w:tabs>
        <w:ind w:firstLine="482" w:firstLineChars="200"/>
        <w:rPr>
          <w:rFonts w:hint="eastAsia"/>
        </w:rPr>
      </w:pPr>
      <w:r>
        <w:rPr>
          <w:rFonts w:hint="eastAsia"/>
          <w:lang w:val="en-US" w:eastAsia="zh-CN"/>
        </w:rPr>
        <w:t>2、</w:t>
      </w:r>
      <w:r>
        <w:rPr>
          <w:rFonts w:hint="eastAsia"/>
        </w:rPr>
        <w:t>环境风险影响分析结论</w:t>
      </w:r>
    </w:p>
    <w:p>
      <w:pPr>
        <w:pStyle w:val="103"/>
        <w:bidi w:val="0"/>
      </w:pPr>
      <w:r>
        <w:rPr>
          <w:rFonts w:hint="eastAsia"/>
        </w:rPr>
        <w:t>参照《建设项目环境风险评价技术导则》（HJ 169-2018）附录A，本项目环境风险影响分析见表</w:t>
      </w:r>
      <w:r>
        <w:t>7-2</w:t>
      </w:r>
      <w:r>
        <w:rPr>
          <w:rFonts w:hint="eastAsia"/>
          <w:lang w:val="en-US" w:eastAsia="zh-CN"/>
        </w:rPr>
        <w:t>6</w:t>
      </w:r>
      <w:r>
        <w:rPr>
          <w:rFonts w:hint="eastAsia"/>
        </w:rPr>
        <w:t>。</w:t>
      </w:r>
    </w:p>
    <w:p>
      <w:pPr>
        <w:pStyle w:val="273"/>
        <w:bidi w:val="0"/>
        <w:rPr>
          <w:rFonts w:hint="eastAsia"/>
        </w:rPr>
      </w:pPr>
      <w:r>
        <w:rPr>
          <w:rFonts w:hint="eastAsia"/>
        </w:rPr>
        <w:t>表7-2</w:t>
      </w:r>
      <w:r>
        <w:rPr>
          <w:rFonts w:hint="eastAsia"/>
          <w:lang w:val="en-US" w:eastAsia="zh-CN"/>
        </w:rPr>
        <w:t>6</w:t>
      </w:r>
      <w:r>
        <w:rPr>
          <w:rFonts w:hint="eastAsia"/>
        </w:rPr>
        <w:t>建设项目环境风险简单分析内容表</w:t>
      </w:r>
    </w:p>
    <w:tbl>
      <w:tblPr>
        <w:tblStyle w:val="260"/>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171"/>
        <w:gridCol w:w="2811"/>
        <w:gridCol w:w="1169"/>
        <w:gridCol w:w="1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0" w:type="auto"/>
            <w:vAlign w:val="center"/>
          </w:tcPr>
          <w:p>
            <w:pPr>
              <w:pStyle w:val="100"/>
              <w:widowControl w:val="0"/>
              <w:bidi w:val="0"/>
              <w:adjustRightInd w:val="0"/>
              <w:snapToGrid w:val="0"/>
            </w:pPr>
            <w:r>
              <w:t>建设项目名称</w:t>
            </w:r>
          </w:p>
        </w:tc>
        <w:tc>
          <w:tcPr>
            <w:tcW w:w="4061" w:type="pct"/>
            <w:gridSpan w:val="4"/>
            <w:vAlign w:val="center"/>
          </w:tcPr>
          <w:p>
            <w:pPr>
              <w:pStyle w:val="100"/>
              <w:widowControl w:val="0"/>
              <w:bidi w:val="0"/>
              <w:adjustRightInd w:val="0"/>
              <w:snapToGrid w:val="0"/>
            </w:pPr>
            <w:r>
              <w:rPr>
                <w:rFonts w:hint="eastAsia"/>
              </w:rPr>
              <w:t>吴江高利橡塑制品有限公司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0" w:type="auto"/>
            <w:vAlign w:val="center"/>
          </w:tcPr>
          <w:p>
            <w:pPr>
              <w:pStyle w:val="100"/>
              <w:widowControl w:val="0"/>
              <w:bidi w:val="0"/>
              <w:adjustRightInd w:val="0"/>
              <w:snapToGrid w:val="0"/>
            </w:pPr>
            <w:r>
              <w:t>建设地点</w:t>
            </w:r>
          </w:p>
        </w:tc>
        <w:tc>
          <w:tcPr>
            <w:tcW w:w="4061" w:type="pct"/>
            <w:gridSpan w:val="4"/>
            <w:vAlign w:val="center"/>
          </w:tcPr>
          <w:p>
            <w:pPr>
              <w:pStyle w:val="100"/>
              <w:widowControl w:val="0"/>
              <w:bidi w:val="0"/>
              <w:adjustRightInd w:val="0"/>
              <w:snapToGrid w:val="0"/>
            </w:pPr>
            <w:r>
              <w:rPr>
                <w:rFonts w:hint="eastAsia"/>
              </w:rPr>
              <w:t>吴江经济技术开发区吉市东路217号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0" w:type="auto"/>
            <w:vAlign w:val="center"/>
          </w:tcPr>
          <w:p>
            <w:pPr>
              <w:pStyle w:val="100"/>
              <w:widowControl w:val="0"/>
              <w:bidi w:val="0"/>
              <w:adjustRightInd w:val="0"/>
              <w:snapToGrid w:val="0"/>
            </w:pPr>
            <w:r>
              <w:t>地理坐标</w:t>
            </w:r>
          </w:p>
        </w:tc>
        <w:tc>
          <w:tcPr>
            <w:tcW w:w="4061" w:type="pct"/>
            <w:gridSpan w:val="4"/>
            <w:vAlign w:val="center"/>
          </w:tcPr>
          <w:p>
            <w:pPr>
              <w:pStyle w:val="100"/>
              <w:widowControl w:val="0"/>
              <w:bidi w:val="0"/>
              <w:adjustRightInd w:val="0"/>
              <w:snapToGrid w:val="0"/>
            </w:pPr>
            <w:r>
              <w:t>经度：</w:t>
            </w:r>
            <w:r>
              <w:rPr>
                <w:rFonts w:hint="eastAsia"/>
              </w:rPr>
              <w:t>120.695281</w:t>
            </w:r>
            <w:r>
              <w:t xml:space="preserve">    纬度：</w:t>
            </w:r>
            <w:r>
              <w:rPr>
                <w:rFonts w:hint="eastAsia"/>
              </w:rPr>
              <w:t>31.174715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0" w:type="auto"/>
            <w:vMerge w:val="restart"/>
            <w:vAlign w:val="center"/>
          </w:tcPr>
          <w:p>
            <w:pPr>
              <w:pStyle w:val="100"/>
              <w:widowControl w:val="0"/>
              <w:bidi w:val="0"/>
              <w:adjustRightInd w:val="0"/>
              <w:snapToGrid w:val="0"/>
            </w:pPr>
            <w:r>
              <w:t>主要危险物质及分布</w:t>
            </w:r>
          </w:p>
        </w:tc>
        <w:tc>
          <w:tcPr>
            <w:tcW w:w="0" w:type="auto"/>
            <w:vAlign w:val="center"/>
          </w:tcPr>
          <w:p>
            <w:pPr>
              <w:pStyle w:val="100"/>
              <w:widowControl w:val="0"/>
              <w:bidi w:val="0"/>
              <w:adjustRightInd w:val="0"/>
              <w:snapToGrid w:val="0"/>
            </w:pPr>
            <w:r>
              <w:t>物质名称</w:t>
            </w:r>
          </w:p>
        </w:tc>
        <w:tc>
          <w:tcPr>
            <w:tcW w:w="1652" w:type="pct"/>
            <w:vAlign w:val="center"/>
          </w:tcPr>
          <w:p>
            <w:pPr>
              <w:pStyle w:val="100"/>
              <w:widowControl w:val="0"/>
              <w:bidi w:val="0"/>
              <w:adjustRightInd w:val="0"/>
              <w:snapToGrid w:val="0"/>
            </w:pPr>
            <w:r>
              <w:t>贮存位置</w:t>
            </w:r>
          </w:p>
        </w:tc>
        <w:tc>
          <w:tcPr>
            <w:tcW w:w="0" w:type="auto"/>
            <w:vAlign w:val="center"/>
          </w:tcPr>
          <w:p>
            <w:pPr>
              <w:pStyle w:val="100"/>
              <w:widowControl w:val="0"/>
              <w:bidi w:val="0"/>
              <w:adjustRightInd w:val="0"/>
              <w:snapToGrid w:val="0"/>
            </w:pPr>
            <w:r>
              <w:t>贮存方式</w:t>
            </w:r>
          </w:p>
        </w:tc>
        <w:tc>
          <w:tcPr>
            <w:tcW w:w="1034" w:type="pct"/>
            <w:vAlign w:val="center"/>
          </w:tcPr>
          <w:p>
            <w:pPr>
              <w:pStyle w:val="100"/>
              <w:widowControl w:val="0"/>
              <w:bidi w:val="0"/>
              <w:adjustRightInd w:val="0"/>
              <w:snapToGrid w:val="0"/>
            </w:pPr>
            <w:r>
              <w:t>最大贮存量(t)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vMerge w:val="continue"/>
            <w:vAlign w:val="center"/>
          </w:tcPr>
          <w:p>
            <w:pPr>
              <w:pStyle w:val="100"/>
              <w:widowControl w:val="0"/>
              <w:bidi w:val="0"/>
              <w:adjustRightInd w:val="0"/>
              <w:snapToGrid w:val="0"/>
            </w:pPr>
          </w:p>
        </w:tc>
        <w:tc>
          <w:tcPr>
            <w:tcW w:w="0" w:type="auto"/>
            <w:vAlign w:val="center"/>
          </w:tcPr>
          <w:p>
            <w:pPr>
              <w:pStyle w:val="100"/>
              <w:widowControl w:val="0"/>
              <w:bidi w:val="0"/>
              <w:adjustRightInd w:val="0"/>
              <w:snapToGrid w:val="0"/>
            </w:pPr>
            <w:r>
              <w:rPr>
                <w:rFonts w:hint="eastAsia"/>
              </w:rPr>
              <w:t>油墨</w:t>
            </w:r>
          </w:p>
        </w:tc>
        <w:tc>
          <w:tcPr>
            <w:tcW w:w="1652" w:type="pct"/>
            <w:vAlign w:val="center"/>
          </w:tcPr>
          <w:p>
            <w:pPr>
              <w:pStyle w:val="100"/>
              <w:widowControl w:val="0"/>
              <w:bidi w:val="0"/>
              <w:adjustRightInd w:val="0"/>
              <w:snapToGrid w:val="0"/>
            </w:pPr>
            <w:r>
              <w:rPr>
                <w:rFonts w:hint="eastAsia"/>
              </w:rPr>
              <w:t>原料仓库</w:t>
            </w:r>
          </w:p>
        </w:tc>
        <w:tc>
          <w:tcPr>
            <w:tcW w:w="0" w:type="auto"/>
            <w:vAlign w:val="center"/>
          </w:tcPr>
          <w:p>
            <w:pPr>
              <w:pStyle w:val="100"/>
              <w:widowControl w:val="0"/>
              <w:bidi w:val="0"/>
              <w:adjustRightInd w:val="0"/>
              <w:snapToGrid w:val="0"/>
            </w:pPr>
            <w:r>
              <w:rPr>
                <w:rFonts w:hint="eastAsia"/>
              </w:rPr>
              <w:t>罐装</w:t>
            </w:r>
          </w:p>
        </w:tc>
        <w:tc>
          <w:tcPr>
            <w:tcW w:w="1034" w:type="pct"/>
            <w:vAlign w:val="center"/>
          </w:tcPr>
          <w:p>
            <w:pPr>
              <w:pStyle w:val="100"/>
              <w:widowControl w:val="0"/>
              <w:bidi w:val="0"/>
              <w:adjustRightInd w:val="0"/>
              <w:snapToGrid w:val="0"/>
            </w:pPr>
            <w:r>
              <w:rPr>
                <w:rFonts w:hint="eastAsia"/>
              </w:rPr>
              <w:t>0</w:t>
            </w:r>
            <w:r>
              <w:t>.</w:t>
            </w:r>
            <w:r>
              <w:rPr>
                <w:rFonts w:hint="eastAsia"/>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0" w:type="auto"/>
            <w:vMerge w:val="continue"/>
            <w:vAlign w:val="center"/>
          </w:tcPr>
          <w:p>
            <w:pPr>
              <w:pStyle w:val="100"/>
              <w:widowControl w:val="0"/>
              <w:bidi w:val="0"/>
              <w:adjustRightInd w:val="0"/>
              <w:snapToGrid w:val="0"/>
            </w:pPr>
          </w:p>
        </w:tc>
        <w:tc>
          <w:tcPr>
            <w:tcW w:w="0" w:type="auto"/>
            <w:vAlign w:val="center"/>
          </w:tcPr>
          <w:p>
            <w:pPr>
              <w:pStyle w:val="100"/>
              <w:widowControl w:val="0"/>
              <w:bidi w:val="0"/>
              <w:adjustRightInd w:val="0"/>
              <w:snapToGrid w:val="0"/>
            </w:pPr>
            <w:r>
              <w:rPr>
                <w:rFonts w:hint="eastAsia"/>
              </w:rPr>
              <w:t>水胶</w:t>
            </w:r>
          </w:p>
        </w:tc>
        <w:tc>
          <w:tcPr>
            <w:tcW w:w="1652" w:type="pct"/>
            <w:vAlign w:val="center"/>
          </w:tcPr>
          <w:p>
            <w:pPr>
              <w:pStyle w:val="100"/>
              <w:widowControl w:val="0"/>
              <w:bidi w:val="0"/>
              <w:adjustRightInd w:val="0"/>
              <w:snapToGrid w:val="0"/>
            </w:pPr>
            <w:r>
              <w:rPr>
                <w:rFonts w:hint="eastAsia"/>
              </w:rPr>
              <w:t>原料仓库</w:t>
            </w:r>
          </w:p>
        </w:tc>
        <w:tc>
          <w:tcPr>
            <w:tcW w:w="0" w:type="auto"/>
            <w:vAlign w:val="center"/>
          </w:tcPr>
          <w:p>
            <w:pPr>
              <w:pStyle w:val="100"/>
              <w:widowControl w:val="0"/>
              <w:bidi w:val="0"/>
              <w:adjustRightInd w:val="0"/>
              <w:snapToGrid w:val="0"/>
            </w:pPr>
            <w:r>
              <w:rPr>
                <w:rFonts w:hint="eastAsia"/>
              </w:rPr>
              <w:t>罐装</w:t>
            </w:r>
          </w:p>
        </w:tc>
        <w:tc>
          <w:tcPr>
            <w:tcW w:w="1034" w:type="pct"/>
            <w:vAlign w:val="center"/>
          </w:tcPr>
          <w:p>
            <w:pPr>
              <w:pStyle w:val="100"/>
              <w:widowControl w:val="0"/>
              <w:bidi w:val="0"/>
              <w:adjustRightInd w:val="0"/>
              <w:snapToGrid w:val="0"/>
            </w:pPr>
            <w:r>
              <w:rPr>
                <w:rFonts w:hint="eastAsia"/>
              </w:rPr>
              <w:t>0</w:t>
            </w:r>
            <w:r>
              <w:t>.</w:t>
            </w:r>
            <w:r>
              <w:rPr>
                <w:rFonts w:hint="eastAsia"/>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0" w:type="auto"/>
            <w:vAlign w:val="center"/>
          </w:tcPr>
          <w:p>
            <w:pPr>
              <w:pStyle w:val="100"/>
              <w:widowControl w:val="0"/>
              <w:bidi w:val="0"/>
              <w:adjustRightInd w:val="0"/>
              <w:snapToGrid w:val="0"/>
            </w:pPr>
            <w:r>
              <w:t>环境影响途径及危害后果（大气、地表水、地下水等）</w:t>
            </w:r>
          </w:p>
        </w:tc>
        <w:tc>
          <w:tcPr>
            <w:tcW w:w="4061" w:type="pct"/>
            <w:gridSpan w:val="4"/>
            <w:vAlign w:val="center"/>
          </w:tcPr>
          <w:p>
            <w:pPr>
              <w:pStyle w:val="100"/>
              <w:widowControl w:val="0"/>
              <w:bidi w:val="0"/>
              <w:adjustRightInd w:val="0"/>
              <w:snapToGrid w:val="0"/>
            </w:pPr>
            <w:r>
              <w:rPr>
                <w:rFonts w:hint="eastAsia"/>
              </w:rPr>
              <w:t>生产过程使用的油墨、水胶，如若储存不当，可能发生泄漏，引起地表水、地下水、土壤污染。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0" w:type="auto"/>
            <w:vAlign w:val="center"/>
          </w:tcPr>
          <w:p>
            <w:pPr>
              <w:pStyle w:val="100"/>
              <w:widowControl w:val="0"/>
              <w:bidi w:val="0"/>
              <w:adjustRightInd w:val="0"/>
              <w:snapToGrid w:val="0"/>
            </w:pPr>
            <w:r>
              <w:t>风险防范措施要求</w:t>
            </w:r>
          </w:p>
        </w:tc>
        <w:tc>
          <w:tcPr>
            <w:tcW w:w="4061" w:type="pct"/>
            <w:gridSpan w:val="4"/>
            <w:vAlign w:val="center"/>
          </w:tcPr>
          <w:p>
            <w:pPr>
              <w:pStyle w:val="100"/>
              <w:widowControl w:val="0"/>
              <w:bidi w:val="0"/>
              <w:adjustRightInd w:val="0"/>
              <w:snapToGrid w:val="0"/>
            </w:pPr>
            <w:r>
              <w:rPr>
                <w:rFonts w:hint="eastAsia"/>
              </w:rPr>
              <w:t>做好化学品仓库的防渗防漏防范措施；按照规范设置铝粉尘收集处理设施，并正常开启；健全消防应急措施；编制突发环境事故应急预案。</w:t>
            </w:r>
          </w:p>
        </w:tc>
      </w:tr>
    </w:tbl>
    <w:p>
      <w:pPr>
        <w:pStyle w:val="103"/>
        <w:bidi w:val="0"/>
      </w:pPr>
      <w:r>
        <w:rPr>
          <w:rFonts w:hint="eastAsia"/>
        </w:rPr>
        <w:t>综上，本项目风险潜势为I，环境风险影响较小。项目最可能发生的风险事故为铝粉尘引发的爆炸、火灾等，通过采取风险防治措施，可有效降低事故发生概率，确保风险事故对外环境造成环境可接受。因此，本项目的环境风险可防控。</w:t>
      </w:r>
    </w:p>
    <w:p>
      <w:pPr>
        <w:pStyle w:val="105"/>
        <w:numPr>
          <w:ilvl w:val="3"/>
          <w:numId w:val="0"/>
        </w:numPr>
        <w:tabs>
          <w:tab w:val="clear" w:pos="1080"/>
        </w:tabs>
        <w:ind w:firstLine="482" w:firstLineChars="200"/>
        <w:rPr>
          <w:rFonts w:hint="eastAsia"/>
        </w:rPr>
      </w:pPr>
      <w:r>
        <w:rPr>
          <w:rFonts w:hint="eastAsia"/>
          <w:lang w:val="en-US" w:eastAsia="zh-CN"/>
        </w:rPr>
        <w:t>3</w:t>
      </w:r>
      <w:r>
        <w:rPr>
          <w:rFonts w:hint="eastAsia"/>
        </w:rPr>
        <w:t>、环境风险</w:t>
      </w:r>
      <w:r>
        <w:rPr>
          <w:rFonts w:hint="eastAsia"/>
          <w:lang w:val="en-US" w:eastAsia="zh-CN"/>
        </w:rPr>
        <w:t>评价</w:t>
      </w:r>
      <w:r>
        <w:rPr>
          <w:rFonts w:hint="eastAsia"/>
        </w:rPr>
        <w:t>自查表</w:t>
      </w:r>
    </w:p>
    <w:p>
      <w:pPr>
        <w:pStyle w:val="273"/>
        <w:bidi w:val="0"/>
        <w:rPr>
          <w:rFonts w:hint="eastAsia"/>
        </w:rPr>
      </w:pPr>
      <w:r>
        <w:rPr>
          <w:rFonts w:hint="eastAsia"/>
        </w:rPr>
        <w:t>表7-2</w:t>
      </w:r>
      <w:r>
        <w:rPr>
          <w:rFonts w:hint="eastAsia"/>
          <w:lang w:val="en-US" w:eastAsia="zh-CN"/>
        </w:rPr>
        <w:t>7</w:t>
      </w:r>
      <w:r>
        <w:rPr>
          <w:rFonts w:hint="eastAsia"/>
        </w:rPr>
        <w:t xml:space="preserve">  环境风险评价自查表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8"/>
        <w:gridCol w:w="1221"/>
        <w:gridCol w:w="766"/>
        <w:gridCol w:w="105"/>
        <w:gridCol w:w="1052"/>
        <w:gridCol w:w="631"/>
        <w:gridCol w:w="71"/>
        <w:gridCol w:w="703"/>
        <w:gridCol w:w="702"/>
        <w:gridCol w:w="316"/>
        <w:gridCol w:w="36"/>
        <w:gridCol w:w="492"/>
        <w:gridCol w:w="1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shd w:val="clear" w:color="auto" w:fill="auto"/>
            <w:vAlign w:val="center"/>
          </w:tcPr>
          <w:p>
            <w:pPr>
              <w:pStyle w:val="100"/>
              <w:bidi w:val="0"/>
            </w:pPr>
            <w:r>
              <w:t>工作内容</w:t>
            </w:r>
          </w:p>
        </w:tc>
        <w:tc>
          <w:tcPr>
            <w:tcW w:w="7400" w:type="dxa"/>
            <w:gridSpan w:val="12"/>
            <w:shd w:val="clear" w:color="auto" w:fill="auto"/>
            <w:vAlign w:val="center"/>
          </w:tcPr>
          <w:p>
            <w:pPr>
              <w:pStyle w:val="100"/>
              <w:bidi w:val="0"/>
            </w:pPr>
            <w:r>
              <w:t>完成情况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5" w:type="dxa"/>
            <w:vMerge w:val="restart"/>
            <w:shd w:val="clear" w:color="auto" w:fill="auto"/>
            <w:vAlign w:val="center"/>
          </w:tcPr>
          <w:p>
            <w:pPr>
              <w:pStyle w:val="100"/>
              <w:bidi w:val="0"/>
            </w:pPr>
            <w:r>
              <w:t>风险调查</w:t>
            </w:r>
          </w:p>
        </w:tc>
        <w:tc>
          <w:tcPr>
            <w:tcW w:w="743" w:type="dxa"/>
            <w:vMerge w:val="restart"/>
            <w:shd w:val="clear" w:color="auto" w:fill="auto"/>
            <w:vAlign w:val="center"/>
          </w:tcPr>
          <w:p>
            <w:pPr>
              <w:pStyle w:val="100"/>
              <w:bidi w:val="0"/>
            </w:pPr>
            <w:r>
              <w:t>危险物质</w:t>
            </w:r>
          </w:p>
        </w:tc>
        <w:tc>
          <w:tcPr>
            <w:tcW w:w="1227" w:type="dxa"/>
            <w:shd w:val="clear" w:color="auto" w:fill="auto"/>
            <w:vAlign w:val="center"/>
          </w:tcPr>
          <w:p>
            <w:pPr>
              <w:pStyle w:val="100"/>
              <w:bidi w:val="0"/>
            </w:pPr>
            <w:r>
              <w:t>名称</w:t>
            </w:r>
          </w:p>
        </w:tc>
        <w:tc>
          <w:tcPr>
            <w:tcW w:w="6173" w:type="dxa"/>
            <w:gridSpan w:val="11"/>
            <w:shd w:val="clear" w:color="auto" w:fill="auto"/>
            <w:vAlign w:val="center"/>
          </w:tcPr>
          <w:p>
            <w:pPr>
              <w:pStyle w:val="100"/>
              <w:bidi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227" w:type="dxa"/>
            <w:shd w:val="clear" w:color="auto" w:fill="auto"/>
            <w:vAlign w:val="center"/>
          </w:tcPr>
          <w:p>
            <w:pPr>
              <w:pStyle w:val="100"/>
              <w:bidi w:val="0"/>
            </w:pPr>
            <w:r>
              <w:t>存在总量/t</w:t>
            </w:r>
          </w:p>
        </w:tc>
        <w:tc>
          <w:tcPr>
            <w:tcW w:w="6173" w:type="dxa"/>
            <w:gridSpan w:val="11"/>
            <w:shd w:val="clear" w:color="auto" w:fill="auto"/>
            <w:vAlign w:val="center"/>
          </w:tcPr>
          <w:p>
            <w:pPr>
              <w:pStyle w:val="100"/>
              <w:bidi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vMerge w:val="restart"/>
            <w:shd w:val="clear" w:color="auto" w:fill="auto"/>
            <w:vAlign w:val="center"/>
          </w:tcPr>
          <w:p>
            <w:pPr>
              <w:pStyle w:val="100"/>
              <w:bidi w:val="0"/>
            </w:pPr>
            <w:r>
              <w:t>环境敏感性</w:t>
            </w:r>
          </w:p>
        </w:tc>
        <w:tc>
          <w:tcPr>
            <w:tcW w:w="1227" w:type="dxa"/>
            <w:vMerge w:val="restart"/>
            <w:shd w:val="clear" w:color="auto" w:fill="auto"/>
            <w:vAlign w:val="center"/>
          </w:tcPr>
          <w:p>
            <w:pPr>
              <w:pStyle w:val="100"/>
              <w:bidi w:val="0"/>
            </w:pPr>
            <w:r>
              <w:t>大气</w:t>
            </w:r>
          </w:p>
        </w:tc>
        <w:tc>
          <w:tcPr>
            <w:tcW w:w="3347" w:type="dxa"/>
            <w:gridSpan w:val="6"/>
            <w:shd w:val="clear" w:color="auto" w:fill="auto"/>
            <w:vAlign w:val="center"/>
          </w:tcPr>
          <w:p>
            <w:pPr>
              <w:pStyle w:val="100"/>
              <w:bidi w:val="0"/>
            </w:pPr>
            <w:r>
              <w:t>500m范围内人口数（1000）人</w:t>
            </w:r>
          </w:p>
        </w:tc>
        <w:tc>
          <w:tcPr>
            <w:tcW w:w="2826" w:type="dxa"/>
            <w:gridSpan w:val="5"/>
            <w:shd w:val="clear" w:color="auto" w:fill="auto"/>
            <w:vAlign w:val="center"/>
          </w:tcPr>
          <w:p>
            <w:pPr>
              <w:pStyle w:val="100"/>
              <w:bidi w:val="0"/>
            </w:pPr>
            <w:r>
              <w:t>5000m范围内人口数（</w:t>
            </w:r>
            <w:r>
              <w:rPr>
                <w:rFonts w:hint="eastAsia"/>
                <w:lang w:val="en-US" w:eastAsia="zh-CN"/>
              </w:rPr>
              <w:t>5000</w:t>
            </w:r>
            <w: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227" w:type="dxa"/>
            <w:vMerge w:val="continue"/>
            <w:shd w:val="clear" w:color="auto" w:fill="auto"/>
            <w:vAlign w:val="center"/>
          </w:tcPr>
          <w:p>
            <w:pPr>
              <w:pStyle w:val="100"/>
              <w:bidi w:val="0"/>
            </w:pPr>
          </w:p>
        </w:tc>
        <w:tc>
          <w:tcPr>
            <w:tcW w:w="4900" w:type="dxa"/>
            <w:gridSpan w:val="10"/>
            <w:shd w:val="clear" w:color="auto" w:fill="auto"/>
            <w:vAlign w:val="center"/>
          </w:tcPr>
          <w:p>
            <w:pPr>
              <w:pStyle w:val="100"/>
              <w:bidi w:val="0"/>
            </w:pPr>
            <w:r>
              <w:t>每公里管段周边200m范围内人口数（最大）</w:t>
            </w:r>
          </w:p>
        </w:tc>
        <w:tc>
          <w:tcPr>
            <w:tcW w:w="1273" w:type="dxa"/>
            <w:shd w:val="clear" w:color="auto" w:fill="auto"/>
            <w:vAlign w:val="center"/>
          </w:tcPr>
          <w:p>
            <w:pPr>
              <w:pStyle w:val="100"/>
              <w:bidi w:val="0"/>
            </w:pPr>
            <w: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227" w:type="dxa"/>
            <w:vMerge w:val="restart"/>
            <w:shd w:val="clear" w:color="auto" w:fill="auto"/>
            <w:vAlign w:val="center"/>
          </w:tcPr>
          <w:p>
            <w:pPr>
              <w:pStyle w:val="100"/>
              <w:bidi w:val="0"/>
            </w:pPr>
            <w:r>
              <w:t>地表水</w:t>
            </w:r>
          </w:p>
        </w:tc>
        <w:tc>
          <w:tcPr>
            <w:tcW w:w="1936" w:type="dxa"/>
            <w:gridSpan w:val="3"/>
            <w:shd w:val="clear" w:color="auto" w:fill="auto"/>
            <w:vAlign w:val="center"/>
          </w:tcPr>
          <w:p>
            <w:pPr>
              <w:pStyle w:val="100"/>
              <w:bidi w:val="0"/>
            </w:pPr>
            <w:r>
              <w:t>地表水功能敏感性</w:t>
            </w:r>
          </w:p>
        </w:tc>
        <w:tc>
          <w:tcPr>
            <w:tcW w:w="1411" w:type="dxa"/>
            <w:gridSpan w:val="3"/>
            <w:shd w:val="clear" w:color="auto" w:fill="auto"/>
            <w:vAlign w:val="center"/>
          </w:tcPr>
          <w:p>
            <w:pPr>
              <w:pStyle w:val="100"/>
              <w:bidi w:val="0"/>
            </w:pPr>
            <w:r>
              <w:t>F1□</w:t>
            </w:r>
          </w:p>
        </w:tc>
        <w:tc>
          <w:tcPr>
            <w:tcW w:w="1553" w:type="dxa"/>
            <w:gridSpan w:val="4"/>
            <w:shd w:val="clear" w:color="auto" w:fill="auto"/>
            <w:vAlign w:val="center"/>
          </w:tcPr>
          <w:p>
            <w:pPr>
              <w:pStyle w:val="100"/>
              <w:bidi w:val="0"/>
            </w:pPr>
            <w:r>
              <w:t>F2□</w:t>
            </w:r>
          </w:p>
        </w:tc>
        <w:tc>
          <w:tcPr>
            <w:tcW w:w="1273" w:type="dxa"/>
            <w:shd w:val="clear" w:color="auto" w:fill="auto"/>
            <w:vAlign w:val="center"/>
          </w:tcPr>
          <w:p>
            <w:pPr>
              <w:pStyle w:val="100"/>
              <w:bidi w:val="0"/>
            </w:pPr>
            <w:r>
              <w:t>F3□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51"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227" w:type="dxa"/>
            <w:vMerge w:val="continue"/>
            <w:shd w:val="clear" w:color="auto" w:fill="auto"/>
            <w:vAlign w:val="center"/>
          </w:tcPr>
          <w:p>
            <w:pPr>
              <w:pStyle w:val="100"/>
              <w:bidi w:val="0"/>
            </w:pPr>
          </w:p>
        </w:tc>
        <w:tc>
          <w:tcPr>
            <w:tcW w:w="1936" w:type="dxa"/>
            <w:gridSpan w:val="3"/>
            <w:shd w:val="clear" w:color="auto" w:fill="auto"/>
            <w:vAlign w:val="center"/>
          </w:tcPr>
          <w:p>
            <w:pPr>
              <w:pStyle w:val="100"/>
              <w:bidi w:val="0"/>
            </w:pPr>
            <w:r>
              <w:t>环境敏感目标分级</w:t>
            </w:r>
          </w:p>
        </w:tc>
        <w:tc>
          <w:tcPr>
            <w:tcW w:w="1411" w:type="dxa"/>
            <w:gridSpan w:val="3"/>
            <w:shd w:val="clear" w:color="auto" w:fill="auto"/>
            <w:vAlign w:val="center"/>
          </w:tcPr>
          <w:p>
            <w:pPr>
              <w:pStyle w:val="100"/>
              <w:bidi w:val="0"/>
            </w:pPr>
            <w:r>
              <w:t>S1□</w:t>
            </w:r>
          </w:p>
        </w:tc>
        <w:tc>
          <w:tcPr>
            <w:tcW w:w="1553" w:type="dxa"/>
            <w:gridSpan w:val="4"/>
            <w:shd w:val="clear" w:color="auto" w:fill="auto"/>
            <w:vAlign w:val="center"/>
          </w:tcPr>
          <w:p>
            <w:pPr>
              <w:pStyle w:val="100"/>
              <w:bidi w:val="0"/>
            </w:pPr>
            <w:r>
              <w:t>S2□</w:t>
            </w:r>
          </w:p>
        </w:tc>
        <w:tc>
          <w:tcPr>
            <w:tcW w:w="1273" w:type="dxa"/>
            <w:shd w:val="clear" w:color="auto" w:fill="auto"/>
            <w:vAlign w:val="center"/>
          </w:tcPr>
          <w:p>
            <w:pPr>
              <w:pStyle w:val="100"/>
              <w:bidi w:val="0"/>
            </w:pPr>
            <w:r>
              <w:t>S3□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227" w:type="dxa"/>
            <w:vMerge w:val="restart"/>
            <w:shd w:val="clear" w:color="auto" w:fill="auto"/>
            <w:vAlign w:val="center"/>
          </w:tcPr>
          <w:p>
            <w:pPr>
              <w:pStyle w:val="100"/>
              <w:bidi w:val="0"/>
            </w:pPr>
            <w:r>
              <w:t>地下水</w:t>
            </w:r>
          </w:p>
        </w:tc>
        <w:tc>
          <w:tcPr>
            <w:tcW w:w="1936" w:type="dxa"/>
            <w:gridSpan w:val="3"/>
            <w:shd w:val="clear" w:color="auto" w:fill="auto"/>
            <w:vAlign w:val="center"/>
          </w:tcPr>
          <w:p>
            <w:pPr>
              <w:pStyle w:val="100"/>
              <w:bidi w:val="0"/>
            </w:pPr>
            <w:r>
              <w:t>地下水功能敏感性</w:t>
            </w:r>
          </w:p>
        </w:tc>
        <w:tc>
          <w:tcPr>
            <w:tcW w:w="1411" w:type="dxa"/>
            <w:gridSpan w:val="3"/>
            <w:shd w:val="clear" w:color="auto" w:fill="auto"/>
            <w:vAlign w:val="center"/>
          </w:tcPr>
          <w:p>
            <w:pPr>
              <w:pStyle w:val="100"/>
              <w:bidi w:val="0"/>
            </w:pPr>
            <w:r>
              <w:t>G1□</w:t>
            </w:r>
          </w:p>
        </w:tc>
        <w:tc>
          <w:tcPr>
            <w:tcW w:w="1553" w:type="dxa"/>
            <w:gridSpan w:val="4"/>
            <w:shd w:val="clear" w:color="auto" w:fill="auto"/>
            <w:vAlign w:val="center"/>
          </w:tcPr>
          <w:p>
            <w:pPr>
              <w:pStyle w:val="100"/>
              <w:bidi w:val="0"/>
            </w:pPr>
            <w:r>
              <w:t>G2□</w:t>
            </w:r>
          </w:p>
        </w:tc>
        <w:tc>
          <w:tcPr>
            <w:tcW w:w="1273" w:type="dxa"/>
            <w:shd w:val="clear" w:color="auto" w:fill="auto"/>
            <w:vAlign w:val="center"/>
          </w:tcPr>
          <w:p>
            <w:pPr>
              <w:pStyle w:val="100"/>
              <w:bidi w:val="0"/>
            </w:pPr>
            <w:r>
              <w:t>G3□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227" w:type="dxa"/>
            <w:vMerge w:val="continue"/>
            <w:shd w:val="clear" w:color="auto" w:fill="auto"/>
            <w:vAlign w:val="center"/>
          </w:tcPr>
          <w:p>
            <w:pPr>
              <w:pStyle w:val="100"/>
              <w:bidi w:val="0"/>
            </w:pPr>
          </w:p>
        </w:tc>
        <w:tc>
          <w:tcPr>
            <w:tcW w:w="1936" w:type="dxa"/>
            <w:gridSpan w:val="3"/>
            <w:shd w:val="clear" w:color="auto" w:fill="auto"/>
            <w:vAlign w:val="center"/>
          </w:tcPr>
          <w:p>
            <w:pPr>
              <w:pStyle w:val="100"/>
              <w:bidi w:val="0"/>
            </w:pPr>
            <w:r>
              <w:t>包气带防污性能</w:t>
            </w:r>
          </w:p>
        </w:tc>
        <w:tc>
          <w:tcPr>
            <w:tcW w:w="1411" w:type="dxa"/>
            <w:gridSpan w:val="3"/>
            <w:shd w:val="clear" w:color="auto" w:fill="auto"/>
            <w:vAlign w:val="center"/>
          </w:tcPr>
          <w:p>
            <w:pPr>
              <w:pStyle w:val="100"/>
              <w:bidi w:val="0"/>
            </w:pPr>
            <w:r>
              <w:t>D1□</w:t>
            </w:r>
          </w:p>
        </w:tc>
        <w:tc>
          <w:tcPr>
            <w:tcW w:w="1553" w:type="dxa"/>
            <w:gridSpan w:val="4"/>
            <w:shd w:val="clear" w:color="auto" w:fill="auto"/>
            <w:vAlign w:val="center"/>
          </w:tcPr>
          <w:p>
            <w:pPr>
              <w:pStyle w:val="100"/>
              <w:bidi w:val="0"/>
            </w:pPr>
            <w:r>
              <w:t>D2□</w:t>
            </w:r>
          </w:p>
        </w:tc>
        <w:tc>
          <w:tcPr>
            <w:tcW w:w="1273" w:type="dxa"/>
            <w:shd w:val="clear" w:color="auto" w:fill="auto"/>
            <w:vAlign w:val="center"/>
          </w:tcPr>
          <w:p>
            <w:pPr>
              <w:pStyle w:val="100"/>
              <w:bidi w:val="0"/>
            </w:pPr>
            <w:r>
              <w:t>D3□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vMerge w:val="restart"/>
            <w:shd w:val="clear" w:color="auto" w:fill="auto"/>
            <w:vAlign w:val="center"/>
          </w:tcPr>
          <w:p>
            <w:pPr>
              <w:pStyle w:val="100"/>
              <w:bidi w:val="0"/>
            </w:pPr>
            <w:r>
              <w:t>物质及工艺系统危险性</w:t>
            </w:r>
          </w:p>
        </w:tc>
        <w:tc>
          <w:tcPr>
            <w:tcW w:w="1227" w:type="dxa"/>
            <w:shd w:val="clear" w:color="auto" w:fill="auto"/>
            <w:vAlign w:val="center"/>
          </w:tcPr>
          <w:p>
            <w:pPr>
              <w:pStyle w:val="100"/>
              <w:bidi w:val="0"/>
            </w:pPr>
            <w:r>
              <w:t>Q值</w:t>
            </w:r>
          </w:p>
        </w:tc>
        <w:tc>
          <w:tcPr>
            <w:tcW w:w="1936" w:type="dxa"/>
            <w:gridSpan w:val="3"/>
            <w:shd w:val="clear" w:color="auto" w:fill="auto"/>
            <w:vAlign w:val="center"/>
          </w:tcPr>
          <w:p>
            <w:pPr>
              <w:pStyle w:val="100"/>
              <w:bidi w:val="0"/>
            </w:pPr>
            <w:r>
              <w:t>Q＜1</w:t>
            </w:r>
            <w:r>
              <w:rPr/>
              <w:sym w:font="Wingdings 2" w:char="0052"/>
            </w:r>
          </w:p>
        </w:tc>
        <w:tc>
          <w:tcPr>
            <w:tcW w:w="1411" w:type="dxa"/>
            <w:gridSpan w:val="3"/>
            <w:shd w:val="clear" w:color="auto" w:fill="auto"/>
            <w:vAlign w:val="center"/>
          </w:tcPr>
          <w:p>
            <w:pPr>
              <w:pStyle w:val="100"/>
              <w:bidi w:val="0"/>
            </w:pPr>
            <w:r>
              <w:t>1≤Q＜10</w:t>
            </w:r>
            <w:r>
              <w:rPr/>
              <w:sym w:font="Wingdings 2" w:char="00A3"/>
            </w:r>
          </w:p>
        </w:tc>
        <w:tc>
          <w:tcPr>
            <w:tcW w:w="1553" w:type="dxa"/>
            <w:gridSpan w:val="4"/>
            <w:shd w:val="clear" w:color="auto" w:fill="auto"/>
            <w:vAlign w:val="center"/>
          </w:tcPr>
          <w:p>
            <w:pPr>
              <w:pStyle w:val="100"/>
              <w:bidi w:val="0"/>
            </w:pPr>
            <w:r>
              <w:t>10≤Q＜100</w:t>
            </w:r>
            <w:r>
              <w:rPr/>
              <w:sym w:font="Wingdings 2" w:char="00A3"/>
            </w:r>
          </w:p>
        </w:tc>
        <w:tc>
          <w:tcPr>
            <w:tcW w:w="1273" w:type="dxa"/>
            <w:shd w:val="clear" w:color="auto" w:fill="auto"/>
            <w:vAlign w:val="center"/>
          </w:tcPr>
          <w:p>
            <w:pPr>
              <w:pStyle w:val="100"/>
              <w:bidi w:val="0"/>
            </w:pPr>
            <w:r>
              <w:t>Q＞100</w:t>
            </w:r>
            <w:r>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vMerge w:val="continue"/>
            <w:shd w:val="clear" w:color="auto" w:fill="auto"/>
            <w:vAlign w:val="center"/>
          </w:tcPr>
          <w:p>
            <w:pPr>
              <w:pStyle w:val="100"/>
              <w:bidi w:val="0"/>
            </w:pPr>
          </w:p>
        </w:tc>
        <w:tc>
          <w:tcPr>
            <w:tcW w:w="1227" w:type="dxa"/>
            <w:shd w:val="clear" w:color="auto" w:fill="auto"/>
            <w:vAlign w:val="center"/>
          </w:tcPr>
          <w:p>
            <w:pPr>
              <w:pStyle w:val="100"/>
              <w:bidi w:val="0"/>
            </w:pPr>
            <w:r>
              <w:t>M值</w:t>
            </w:r>
          </w:p>
        </w:tc>
        <w:tc>
          <w:tcPr>
            <w:tcW w:w="1936" w:type="dxa"/>
            <w:gridSpan w:val="3"/>
            <w:shd w:val="clear" w:color="auto" w:fill="auto"/>
            <w:vAlign w:val="center"/>
          </w:tcPr>
          <w:p>
            <w:pPr>
              <w:pStyle w:val="100"/>
              <w:bidi w:val="0"/>
            </w:pPr>
            <w:r>
              <w:t>M1</w:t>
            </w:r>
            <w:r>
              <w:rPr/>
              <w:sym w:font="Wingdings 2" w:char="0052"/>
            </w:r>
          </w:p>
        </w:tc>
        <w:tc>
          <w:tcPr>
            <w:tcW w:w="1411" w:type="dxa"/>
            <w:gridSpan w:val="3"/>
            <w:shd w:val="clear" w:color="auto" w:fill="auto"/>
            <w:vAlign w:val="center"/>
          </w:tcPr>
          <w:p>
            <w:pPr>
              <w:pStyle w:val="100"/>
              <w:bidi w:val="0"/>
            </w:pPr>
            <w:r>
              <w:t>M2□</w:t>
            </w:r>
          </w:p>
        </w:tc>
        <w:tc>
          <w:tcPr>
            <w:tcW w:w="1553" w:type="dxa"/>
            <w:gridSpan w:val="4"/>
            <w:shd w:val="clear" w:color="auto" w:fill="auto"/>
            <w:vAlign w:val="center"/>
          </w:tcPr>
          <w:p>
            <w:pPr>
              <w:pStyle w:val="100"/>
              <w:bidi w:val="0"/>
            </w:pPr>
            <w:r>
              <w:t>M3□</w:t>
            </w:r>
          </w:p>
        </w:tc>
        <w:tc>
          <w:tcPr>
            <w:tcW w:w="1273" w:type="dxa"/>
            <w:shd w:val="clear" w:color="auto" w:fill="auto"/>
            <w:vAlign w:val="center"/>
          </w:tcPr>
          <w:p>
            <w:pPr>
              <w:pStyle w:val="100"/>
              <w:bidi w:val="0"/>
            </w:pPr>
            <w:r>
              <w:t>M4□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vMerge w:val="continue"/>
            <w:shd w:val="clear" w:color="auto" w:fill="auto"/>
            <w:vAlign w:val="center"/>
          </w:tcPr>
          <w:p>
            <w:pPr>
              <w:pStyle w:val="100"/>
              <w:bidi w:val="0"/>
            </w:pPr>
          </w:p>
        </w:tc>
        <w:tc>
          <w:tcPr>
            <w:tcW w:w="1227" w:type="dxa"/>
            <w:shd w:val="clear" w:color="auto" w:fill="auto"/>
            <w:vAlign w:val="center"/>
          </w:tcPr>
          <w:p>
            <w:pPr>
              <w:pStyle w:val="100"/>
              <w:bidi w:val="0"/>
            </w:pPr>
            <w:r>
              <w:t>P值</w:t>
            </w:r>
          </w:p>
        </w:tc>
        <w:tc>
          <w:tcPr>
            <w:tcW w:w="1936" w:type="dxa"/>
            <w:gridSpan w:val="3"/>
            <w:shd w:val="clear" w:color="auto" w:fill="auto"/>
            <w:vAlign w:val="center"/>
          </w:tcPr>
          <w:p>
            <w:pPr>
              <w:pStyle w:val="100"/>
              <w:bidi w:val="0"/>
            </w:pPr>
            <w:r>
              <w:t>P1</w:t>
            </w:r>
            <w:r>
              <w:rPr/>
              <w:sym w:font="Wingdings 2" w:char="0052"/>
            </w:r>
          </w:p>
        </w:tc>
        <w:tc>
          <w:tcPr>
            <w:tcW w:w="1411" w:type="dxa"/>
            <w:gridSpan w:val="3"/>
            <w:shd w:val="clear" w:color="auto" w:fill="auto"/>
            <w:vAlign w:val="center"/>
          </w:tcPr>
          <w:p>
            <w:pPr>
              <w:pStyle w:val="100"/>
              <w:bidi w:val="0"/>
            </w:pPr>
            <w:r>
              <w:t>P2□</w:t>
            </w:r>
          </w:p>
        </w:tc>
        <w:tc>
          <w:tcPr>
            <w:tcW w:w="1553" w:type="dxa"/>
            <w:gridSpan w:val="4"/>
            <w:shd w:val="clear" w:color="auto" w:fill="auto"/>
            <w:vAlign w:val="center"/>
          </w:tcPr>
          <w:p>
            <w:pPr>
              <w:pStyle w:val="100"/>
              <w:bidi w:val="0"/>
            </w:pPr>
            <w:r>
              <w:t>P3□</w:t>
            </w:r>
          </w:p>
        </w:tc>
        <w:tc>
          <w:tcPr>
            <w:tcW w:w="1273" w:type="dxa"/>
            <w:shd w:val="clear" w:color="auto" w:fill="auto"/>
            <w:vAlign w:val="center"/>
          </w:tcPr>
          <w:p>
            <w:pPr>
              <w:pStyle w:val="100"/>
              <w:bidi w:val="0"/>
            </w:pPr>
            <w: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vMerge w:val="restart"/>
            <w:shd w:val="clear" w:color="auto" w:fill="auto"/>
            <w:vAlign w:val="center"/>
          </w:tcPr>
          <w:p>
            <w:pPr>
              <w:pStyle w:val="100"/>
              <w:bidi w:val="0"/>
            </w:pPr>
            <w:r>
              <w:t>环境敏感程度</w:t>
            </w:r>
          </w:p>
        </w:tc>
        <w:tc>
          <w:tcPr>
            <w:tcW w:w="2105" w:type="dxa"/>
            <w:gridSpan w:val="3"/>
            <w:shd w:val="clear" w:color="auto" w:fill="auto"/>
            <w:vAlign w:val="center"/>
          </w:tcPr>
          <w:p>
            <w:pPr>
              <w:pStyle w:val="100"/>
              <w:bidi w:val="0"/>
            </w:pPr>
            <w:r>
              <w:t>大气</w:t>
            </w:r>
          </w:p>
        </w:tc>
        <w:tc>
          <w:tcPr>
            <w:tcW w:w="1763" w:type="dxa"/>
            <w:gridSpan w:val="3"/>
            <w:shd w:val="clear" w:color="auto" w:fill="auto"/>
            <w:vAlign w:val="center"/>
          </w:tcPr>
          <w:p>
            <w:pPr>
              <w:pStyle w:val="100"/>
              <w:bidi w:val="0"/>
            </w:pPr>
            <w:r>
              <w:t>E1</w:t>
            </w:r>
            <w:r>
              <w:rPr/>
              <w:sym w:font="Wingdings 2" w:char="0052"/>
            </w:r>
          </w:p>
        </w:tc>
        <w:tc>
          <w:tcPr>
            <w:tcW w:w="1764" w:type="dxa"/>
            <w:gridSpan w:val="4"/>
            <w:shd w:val="clear" w:color="auto" w:fill="auto"/>
            <w:vAlign w:val="center"/>
          </w:tcPr>
          <w:p>
            <w:pPr>
              <w:pStyle w:val="100"/>
              <w:bidi w:val="0"/>
            </w:pPr>
            <w:r>
              <w:t>E2□</w:t>
            </w:r>
          </w:p>
        </w:tc>
        <w:tc>
          <w:tcPr>
            <w:tcW w:w="1768" w:type="dxa"/>
            <w:gridSpan w:val="2"/>
            <w:shd w:val="clear" w:color="auto" w:fill="auto"/>
            <w:vAlign w:val="center"/>
          </w:tcPr>
          <w:p>
            <w:pPr>
              <w:pStyle w:val="100"/>
              <w:bidi w:val="0"/>
            </w:pPr>
            <w: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vMerge w:val="continue"/>
            <w:shd w:val="clear" w:color="auto" w:fill="auto"/>
            <w:vAlign w:val="center"/>
          </w:tcPr>
          <w:p>
            <w:pPr>
              <w:pStyle w:val="100"/>
              <w:bidi w:val="0"/>
            </w:pPr>
          </w:p>
        </w:tc>
        <w:tc>
          <w:tcPr>
            <w:tcW w:w="2105" w:type="dxa"/>
            <w:gridSpan w:val="3"/>
            <w:shd w:val="clear" w:color="auto" w:fill="auto"/>
            <w:vAlign w:val="center"/>
          </w:tcPr>
          <w:p>
            <w:pPr>
              <w:pStyle w:val="100"/>
              <w:bidi w:val="0"/>
            </w:pPr>
            <w:r>
              <w:t>地表水</w:t>
            </w:r>
          </w:p>
        </w:tc>
        <w:tc>
          <w:tcPr>
            <w:tcW w:w="1763" w:type="dxa"/>
            <w:gridSpan w:val="3"/>
            <w:shd w:val="clear" w:color="auto" w:fill="auto"/>
            <w:vAlign w:val="center"/>
          </w:tcPr>
          <w:p>
            <w:pPr>
              <w:pStyle w:val="100"/>
              <w:bidi w:val="0"/>
            </w:pPr>
            <w:r>
              <w:t>E1</w:t>
            </w:r>
            <w:r>
              <w:rPr/>
              <w:sym w:font="Wingdings 2" w:char="0052"/>
            </w:r>
          </w:p>
        </w:tc>
        <w:tc>
          <w:tcPr>
            <w:tcW w:w="1764" w:type="dxa"/>
            <w:gridSpan w:val="4"/>
            <w:shd w:val="clear" w:color="auto" w:fill="auto"/>
            <w:vAlign w:val="center"/>
          </w:tcPr>
          <w:p>
            <w:pPr>
              <w:pStyle w:val="100"/>
              <w:bidi w:val="0"/>
            </w:pPr>
            <w:r>
              <w:t>E2□</w:t>
            </w:r>
          </w:p>
        </w:tc>
        <w:tc>
          <w:tcPr>
            <w:tcW w:w="1768" w:type="dxa"/>
            <w:gridSpan w:val="2"/>
            <w:shd w:val="clear" w:color="auto" w:fill="auto"/>
            <w:vAlign w:val="center"/>
          </w:tcPr>
          <w:p>
            <w:pPr>
              <w:pStyle w:val="100"/>
              <w:bidi w:val="0"/>
            </w:pPr>
            <w: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vMerge w:val="continue"/>
            <w:shd w:val="clear" w:color="auto" w:fill="auto"/>
            <w:vAlign w:val="center"/>
          </w:tcPr>
          <w:p>
            <w:pPr>
              <w:pStyle w:val="100"/>
              <w:bidi w:val="0"/>
            </w:pPr>
          </w:p>
        </w:tc>
        <w:tc>
          <w:tcPr>
            <w:tcW w:w="2105" w:type="dxa"/>
            <w:gridSpan w:val="3"/>
            <w:shd w:val="clear" w:color="auto" w:fill="auto"/>
            <w:vAlign w:val="center"/>
          </w:tcPr>
          <w:p>
            <w:pPr>
              <w:pStyle w:val="100"/>
              <w:bidi w:val="0"/>
            </w:pPr>
            <w:r>
              <w:t>地下水</w:t>
            </w:r>
          </w:p>
        </w:tc>
        <w:tc>
          <w:tcPr>
            <w:tcW w:w="1763" w:type="dxa"/>
            <w:gridSpan w:val="3"/>
            <w:shd w:val="clear" w:color="auto" w:fill="auto"/>
            <w:vAlign w:val="center"/>
          </w:tcPr>
          <w:p>
            <w:pPr>
              <w:pStyle w:val="100"/>
              <w:bidi w:val="0"/>
            </w:pPr>
            <w:r>
              <w:t>E1</w:t>
            </w:r>
            <w:r>
              <w:rPr/>
              <w:sym w:font="Wingdings 2" w:char="0052"/>
            </w:r>
          </w:p>
        </w:tc>
        <w:tc>
          <w:tcPr>
            <w:tcW w:w="1764" w:type="dxa"/>
            <w:gridSpan w:val="4"/>
            <w:shd w:val="clear" w:color="auto" w:fill="auto"/>
            <w:vAlign w:val="center"/>
          </w:tcPr>
          <w:p>
            <w:pPr>
              <w:pStyle w:val="100"/>
              <w:bidi w:val="0"/>
            </w:pPr>
            <w:r>
              <w:t>E2□</w:t>
            </w:r>
          </w:p>
        </w:tc>
        <w:tc>
          <w:tcPr>
            <w:tcW w:w="1768" w:type="dxa"/>
            <w:gridSpan w:val="2"/>
            <w:shd w:val="clear" w:color="auto" w:fill="auto"/>
            <w:vAlign w:val="center"/>
          </w:tcPr>
          <w:p>
            <w:pPr>
              <w:pStyle w:val="100"/>
              <w:bidi w:val="0"/>
            </w:pPr>
            <w: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shd w:val="clear" w:color="auto" w:fill="auto"/>
            <w:vAlign w:val="center"/>
          </w:tcPr>
          <w:p>
            <w:pPr>
              <w:pStyle w:val="100"/>
              <w:bidi w:val="0"/>
            </w:pPr>
            <w:r>
              <w:t>环境风险潜势</w:t>
            </w:r>
          </w:p>
        </w:tc>
        <w:tc>
          <w:tcPr>
            <w:tcW w:w="1227" w:type="dxa"/>
            <w:shd w:val="clear" w:color="auto" w:fill="auto"/>
            <w:vAlign w:val="center"/>
          </w:tcPr>
          <w:p>
            <w:pPr>
              <w:pStyle w:val="100"/>
              <w:bidi w:val="0"/>
            </w:pPr>
            <w:r>
              <w:t>Ⅳ+□</w:t>
            </w:r>
          </w:p>
        </w:tc>
        <w:tc>
          <w:tcPr>
            <w:tcW w:w="1936" w:type="dxa"/>
            <w:gridSpan w:val="3"/>
            <w:shd w:val="clear" w:color="auto" w:fill="auto"/>
            <w:vAlign w:val="center"/>
          </w:tcPr>
          <w:p>
            <w:pPr>
              <w:pStyle w:val="100"/>
              <w:bidi w:val="0"/>
            </w:pPr>
            <w:r>
              <w:t>Ⅳ□</w:t>
            </w:r>
          </w:p>
        </w:tc>
        <w:tc>
          <w:tcPr>
            <w:tcW w:w="1411" w:type="dxa"/>
            <w:gridSpan w:val="3"/>
            <w:shd w:val="clear" w:color="auto" w:fill="auto"/>
            <w:vAlign w:val="center"/>
          </w:tcPr>
          <w:p>
            <w:pPr>
              <w:pStyle w:val="100"/>
              <w:bidi w:val="0"/>
            </w:pPr>
            <w:r>
              <w:t>Ⅲ□</w:t>
            </w:r>
          </w:p>
        </w:tc>
        <w:tc>
          <w:tcPr>
            <w:tcW w:w="1553" w:type="dxa"/>
            <w:gridSpan w:val="4"/>
            <w:shd w:val="clear" w:color="auto" w:fill="auto"/>
            <w:vAlign w:val="center"/>
          </w:tcPr>
          <w:p>
            <w:pPr>
              <w:pStyle w:val="100"/>
              <w:bidi w:val="0"/>
            </w:pPr>
            <w:r>
              <w:t>Ⅱ□</w:t>
            </w:r>
          </w:p>
        </w:tc>
        <w:tc>
          <w:tcPr>
            <w:tcW w:w="1273" w:type="dxa"/>
            <w:shd w:val="clear" w:color="auto" w:fill="auto"/>
            <w:vAlign w:val="center"/>
          </w:tcPr>
          <w:p>
            <w:pPr>
              <w:pStyle w:val="100"/>
              <w:bidi w:val="0"/>
            </w:pPr>
            <w:r>
              <w:t>Ⅰ</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shd w:val="clear" w:color="auto" w:fill="auto"/>
            <w:vAlign w:val="center"/>
          </w:tcPr>
          <w:p>
            <w:pPr>
              <w:pStyle w:val="100"/>
              <w:bidi w:val="0"/>
            </w:pPr>
            <w:r>
              <w:t>评价等级</w:t>
            </w:r>
          </w:p>
        </w:tc>
        <w:tc>
          <w:tcPr>
            <w:tcW w:w="3163" w:type="dxa"/>
            <w:gridSpan w:val="4"/>
            <w:shd w:val="clear" w:color="auto" w:fill="auto"/>
            <w:vAlign w:val="center"/>
          </w:tcPr>
          <w:p>
            <w:pPr>
              <w:pStyle w:val="100"/>
              <w:bidi w:val="0"/>
            </w:pPr>
            <w:r>
              <w:t>一级□</w:t>
            </w:r>
          </w:p>
        </w:tc>
        <w:tc>
          <w:tcPr>
            <w:tcW w:w="1411" w:type="dxa"/>
            <w:gridSpan w:val="3"/>
            <w:shd w:val="clear" w:color="auto" w:fill="auto"/>
            <w:vAlign w:val="center"/>
          </w:tcPr>
          <w:p>
            <w:pPr>
              <w:pStyle w:val="100"/>
              <w:bidi w:val="0"/>
            </w:pPr>
            <w:r>
              <w:t>二级□</w:t>
            </w:r>
          </w:p>
        </w:tc>
        <w:tc>
          <w:tcPr>
            <w:tcW w:w="1553" w:type="dxa"/>
            <w:gridSpan w:val="4"/>
            <w:shd w:val="clear" w:color="auto" w:fill="auto"/>
            <w:vAlign w:val="center"/>
          </w:tcPr>
          <w:p>
            <w:pPr>
              <w:pStyle w:val="100"/>
              <w:bidi w:val="0"/>
            </w:pPr>
            <w:r>
              <w:t>三级□</w:t>
            </w:r>
          </w:p>
        </w:tc>
        <w:tc>
          <w:tcPr>
            <w:tcW w:w="1273" w:type="dxa"/>
            <w:shd w:val="clear" w:color="auto" w:fill="auto"/>
            <w:vAlign w:val="center"/>
          </w:tcPr>
          <w:p>
            <w:pPr>
              <w:pStyle w:val="100"/>
              <w:bidi w:val="0"/>
            </w:pPr>
            <w:r>
              <w:t>简单分析</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restart"/>
            <w:shd w:val="clear" w:color="auto" w:fill="auto"/>
            <w:vAlign w:val="center"/>
          </w:tcPr>
          <w:p>
            <w:pPr>
              <w:pStyle w:val="100"/>
              <w:bidi w:val="0"/>
            </w:pPr>
            <w:r>
              <w:t>风险识别</w:t>
            </w:r>
          </w:p>
        </w:tc>
        <w:tc>
          <w:tcPr>
            <w:tcW w:w="743" w:type="dxa"/>
            <w:shd w:val="clear" w:color="auto" w:fill="auto"/>
            <w:vAlign w:val="center"/>
          </w:tcPr>
          <w:p>
            <w:pPr>
              <w:pStyle w:val="100"/>
              <w:bidi w:val="0"/>
            </w:pPr>
            <w:r>
              <w:t>物质危险性</w:t>
            </w:r>
          </w:p>
        </w:tc>
        <w:tc>
          <w:tcPr>
            <w:tcW w:w="3797" w:type="dxa"/>
            <w:gridSpan w:val="5"/>
            <w:shd w:val="clear" w:color="auto" w:fill="auto"/>
            <w:vAlign w:val="center"/>
          </w:tcPr>
          <w:p>
            <w:pPr>
              <w:pStyle w:val="100"/>
              <w:bidi w:val="0"/>
            </w:pPr>
            <w:r>
              <w:t>有毒有害</w:t>
            </w:r>
            <w:r>
              <w:rPr/>
              <w:sym w:font="Wingdings 2" w:char="0052"/>
            </w:r>
          </w:p>
        </w:tc>
        <w:tc>
          <w:tcPr>
            <w:tcW w:w="3603" w:type="dxa"/>
            <w:gridSpan w:val="7"/>
            <w:shd w:val="clear" w:color="auto" w:fill="auto"/>
            <w:vAlign w:val="center"/>
          </w:tcPr>
          <w:p>
            <w:pPr>
              <w:pStyle w:val="100"/>
              <w:bidi w:val="0"/>
            </w:pPr>
            <w:r>
              <w:t>易燃易爆</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shd w:val="clear" w:color="auto" w:fill="auto"/>
            <w:vAlign w:val="center"/>
          </w:tcPr>
          <w:p>
            <w:pPr>
              <w:pStyle w:val="100"/>
              <w:bidi w:val="0"/>
            </w:pPr>
            <w:r>
              <w:t>环境风险类型</w:t>
            </w:r>
          </w:p>
        </w:tc>
        <w:tc>
          <w:tcPr>
            <w:tcW w:w="3163" w:type="dxa"/>
            <w:gridSpan w:val="4"/>
            <w:shd w:val="clear" w:color="auto" w:fill="auto"/>
            <w:vAlign w:val="center"/>
          </w:tcPr>
          <w:p>
            <w:pPr>
              <w:pStyle w:val="100"/>
              <w:bidi w:val="0"/>
            </w:pPr>
            <w:r>
              <w:t>泄漏</w:t>
            </w:r>
            <w:r>
              <w:rPr/>
              <w:sym w:font="Wingdings 2" w:char="0052"/>
            </w:r>
          </w:p>
        </w:tc>
        <w:tc>
          <w:tcPr>
            <w:tcW w:w="4237" w:type="dxa"/>
            <w:gridSpan w:val="8"/>
            <w:shd w:val="clear" w:color="auto" w:fill="auto"/>
            <w:vAlign w:val="center"/>
          </w:tcPr>
          <w:p>
            <w:pPr>
              <w:pStyle w:val="100"/>
              <w:bidi w:val="0"/>
            </w:pPr>
            <w:r>
              <w:t>火灾、爆炸引发伴生/次生污染物排放</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shd w:val="clear" w:color="auto" w:fill="auto"/>
            <w:vAlign w:val="center"/>
          </w:tcPr>
          <w:p>
            <w:pPr>
              <w:pStyle w:val="100"/>
              <w:bidi w:val="0"/>
            </w:pPr>
            <w:r>
              <w:t>影响途径</w:t>
            </w:r>
          </w:p>
        </w:tc>
        <w:tc>
          <w:tcPr>
            <w:tcW w:w="3163" w:type="dxa"/>
            <w:gridSpan w:val="4"/>
            <w:shd w:val="clear" w:color="auto" w:fill="auto"/>
            <w:vAlign w:val="center"/>
          </w:tcPr>
          <w:p>
            <w:pPr>
              <w:pStyle w:val="100"/>
              <w:bidi w:val="0"/>
            </w:pPr>
            <w:r>
              <w:t>大气</w:t>
            </w:r>
            <w:r>
              <w:rPr/>
              <w:sym w:font="Wingdings 2" w:char="0052"/>
            </w:r>
          </w:p>
        </w:tc>
        <w:tc>
          <w:tcPr>
            <w:tcW w:w="2116" w:type="dxa"/>
            <w:gridSpan w:val="4"/>
            <w:shd w:val="clear" w:color="auto" w:fill="auto"/>
            <w:vAlign w:val="center"/>
          </w:tcPr>
          <w:p>
            <w:pPr>
              <w:pStyle w:val="100"/>
              <w:bidi w:val="0"/>
            </w:pPr>
            <w:r>
              <w:t>地表水</w:t>
            </w:r>
            <w:r>
              <w:rPr/>
              <w:sym w:font="Wingdings 2" w:char="0052"/>
            </w:r>
          </w:p>
        </w:tc>
        <w:tc>
          <w:tcPr>
            <w:tcW w:w="2121" w:type="dxa"/>
            <w:gridSpan w:val="4"/>
            <w:shd w:val="clear" w:color="auto" w:fill="auto"/>
            <w:vAlign w:val="center"/>
          </w:tcPr>
          <w:p>
            <w:pPr>
              <w:pStyle w:val="100"/>
              <w:bidi w:val="0"/>
            </w:pPr>
            <w:r>
              <w:t>地下水</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128" w:type="dxa"/>
            <w:gridSpan w:val="2"/>
            <w:shd w:val="clear" w:color="auto" w:fill="auto"/>
            <w:vAlign w:val="center"/>
          </w:tcPr>
          <w:p>
            <w:pPr>
              <w:pStyle w:val="100"/>
              <w:bidi w:val="0"/>
            </w:pPr>
            <w:r>
              <w:t>事故情形分析</w:t>
            </w:r>
          </w:p>
        </w:tc>
        <w:tc>
          <w:tcPr>
            <w:tcW w:w="1999" w:type="dxa"/>
            <w:gridSpan w:val="2"/>
            <w:shd w:val="clear" w:color="auto" w:fill="auto"/>
            <w:vAlign w:val="center"/>
          </w:tcPr>
          <w:p>
            <w:pPr>
              <w:pStyle w:val="100"/>
              <w:bidi w:val="0"/>
            </w:pPr>
            <w:r>
              <w:t>源强设定方法□</w:t>
            </w:r>
          </w:p>
        </w:tc>
        <w:tc>
          <w:tcPr>
            <w:tcW w:w="1798" w:type="dxa"/>
            <w:gridSpan w:val="3"/>
            <w:shd w:val="clear" w:color="auto" w:fill="auto"/>
            <w:vAlign w:val="center"/>
          </w:tcPr>
          <w:p>
            <w:pPr>
              <w:pStyle w:val="100"/>
              <w:bidi w:val="0"/>
            </w:pPr>
            <w:r>
              <w:t>计算法□</w:t>
            </w:r>
          </w:p>
        </w:tc>
        <w:tc>
          <w:tcPr>
            <w:tcW w:w="1799" w:type="dxa"/>
            <w:gridSpan w:val="4"/>
            <w:shd w:val="clear" w:color="auto" w:fill="auto"/>
            <w:vAlign w:val="center"/>
          </w:tcPr>
          <w:p>
            <w:pPr>
              <w:pStyle w:val="100"/>
              <w:bidi w:val="0"/>
            </w:pPr>
            <w:r>
              <w:t>经验估算法</w:t>
            </w:r>
            <w:r>
              <w:rPr/>
              <w:sym w:font="Wingdings 2" w:char="0052"/>
            </w:r>
          </w:p>
        </w:tc>
        <w:tc>
          <w:tcPr>
            <w:tcW w:w="1804" w:type="dxa"/>
            <w:gridSpan w:val="3"/>
            <w:shd w:val="clear" w:color="auto" w:fill="auto"/>
            <w:vAlign w:val="center"/>
          </w:tcPr>
          <w:p>
            <w:pPr>
              <w:pStyle w:val="100"/>
              <w:bidi w:val="0"/>
            </w:pPr>
            <w:r>
              <w:t>其他估算法□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0" w:hRule="atLeast"/>
          <w:jc w:val="center"/>
        </w:trPr>
        <w:tc>
          <w:tcPr>
            <w:tcW w:w="385" w:type="dxa"/>
            <w:vMerge w:val="restart"/>
            <w:shd w:val="clear" w:color="auto" w:fill="auto"/>
            <w:vAlign w:val="center"/>
          </w:tcPr>
          <w:p>
            <w:pPr>
              <w:pStyle w:val="100"/>
              <w:bidi w:val="0"/>
            </w:pPr>
            <w:r>
              <w:t>风险预测与评价</w:t>
            </w:r>
          </w:p>
        </w:tc>
        <w:tc>
          <w:tcPr>
            <w:tcW w:w="743" w:type="dxa"/>
            <w:vMerge w:val="restart"/>
            <w:shd w:val="clear" w:color="auto" w:fill="auto"/>
            <w:vAlign w:val="center"/>
          </w:tcPr>
          <w:p>
            <w:pPr>
              <w:pStyle w:val="100"/>
              <w:bidi w:val="0"/>
            </w:pPr>
            <w:r>
              <w:t>大气</w:t>
            </w:r>
          </w:p>
        </w:tc>
        <w:tc>
          <w:tcPr>
            <w:tcW w:w="1999" w:type="dxa"/>
            <w:gridSpan w:val="2"/>
            <w:shd w:val="clear" w:color="auto" w:fill="auto"/>
            <w:vAlign w:val="center"/>
          </w:tcPr>
          <w:p>
            <w:pPr>
              <w:pStyle w:val="100"/>
              <w:bidi w:val="0"/>
            </w:pPr>
            <w:r>
              <w:t>预测模型</w:t>
            </w:r>
          </w:p>
        </w:tc>
        <w:tc>
          <w:tcPr>
            <w:tcW w:w="1798" w:type="dxa"/>
            <w:gridSpan w:val="3"/>
            <w:shd w:val="clear" w:color="auto" w:fill="auto"/>
            <w:vAlign w:val="center"/>
          </w:tcPr>
          <w:p>
            <w:pPr>
              <w:pStyle w:val="100"/>
              <w:bidi w:val="0"/>
            </w:pPr>
            <w:r>
              <w:t>SLAB□</w:t>
            </w:r>
          </w:p>
        </w:tc>
        <w:tc>
          <w:tcPr>
            <w:tcW w:w="1799" w:type="dxa"/>
            <w:gridSpan w:val="4"/>
            <w:shd w:val="clear" w:color="auto" w:fill="auto"/>
            <w:vAlign w:val="center"/>
          </w:tcPr>
          <w:p>
            <w:pPr>
              <w:pStyle w:val="100"/>
              <w:bidi w:val="0"/>
            </w:pPr>
            <w:r>
              <w:t>AFTOX□</w:t>
            </w:r>
          </w:p>
        </w:tc>
        <w:tc>
          <w:tcPr>
            <w:tcW w:w="1804" w:type="dxa"/>
            <w:gridSpan w:val="3"/>
            <w:shd w:val="clear" w:color="auto" w:fill="auto"/>
            <w:vAlign w:val="center"/>
          </w:tcPr>
          <w:p>
            <w:pPr>
              <w:pStyle w:val="100"/>
              <w:bidi w:val="0"/>
            </w:pPr>
            <w: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999" w:type="dxa"/>
            <w:gridSpan w:val="2"/>
            <w:vMerge w:val="restart"/>
            <w:shd w:val="clear" w:color="auto" w:fill="auto"/>
            <w:vAlign w:val="center"/>
          </w:tcPr>
          <w:p>
            <w:pPr>
              <w:pStyle w:val="100"/>
              <w:bidi w:val="0"/>
            </w:pPr>
            <w:r>
              <w:t>预测结果</w:t>
            </w:r>
          </w:p>
        </w:tc>
        <w:tc>
          <w:tcPr>
            <w:tcW w:w="5401" w:type="dxa"/>
            <w:gridSpan w:val="10"/>
            <w:shd w:val="clear" w:color="auto" w:fill="auto"/>
            <w:vAlign w:val="center"/>
          </w:tcPr>
          <w:p>
            <w:pPr>
              <w:pStyle w:val="100"/>
              <w:bidi w:val="0"/>
            </w:pPr>
            <w:r>
              <w:t>大气毒性终点浓度-1 最大影响范围（）m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1999" w:type="dxa"/>
            <w:gridSpan w:val="2"/>
            <w:vMerge w:val="continue"/>
            <w:shd w:val="clear" w:color="auto" w:fill="auto"/>
            <w:vAlign w:val="center"/>
          </w:tcPr>
          <w:p>
            <w:pPr>
              <w:pStyle w:val="100"/>
              <w:bidi w:val="0"/>
            </w:pPr>
          </w:p>
        </w:tc>
        <w:tc>
          <w:tcPr>
            <w:tcW w:w="5401" w:type="dxa"/>
            <w:gridSpan w:val="10"/>
            <w:shd w:val="clear" w:color="auto" w:fill="auto"/>
            <w:vAlign w:val="center"/>
          </w:tcPr>
          <w:p>
            <w:pPr>
              <w:pStyle w:val="100"/>
              <w:bidi w:val="0"/>
            </w:pPr>
            <w:r>
              <w:t>大气毒性终点浓度-2 最大影响范围（）m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shd w:val="clear" w:color="auto" w:fill="auto"/>
            <w:vAlign w:val="center"/>
          </w:tcPr>
          <w:p>
            <w:pPr>
              <w:pStyle w:val="100"/>
              <w:bidi w:val="0"/>
            </w:pPr>
            <w:r>
              <w:t>地表水</w:t>
            </w:r>
          </w:p>
        </w:tc>
        <w:tc>
          <w:tcPr>
            <w:tcW w:w="7400" w:type="dxa"/>
            <w:gridSpan w:val="12"/>
            <w:shd w:val="clear" w:color="auto" w:fill="auto"/>
            <w:vAlign w:val="center"/>
          </w:tcPr>
          <w:p>
            <w:pPr>
              <w:pStyle w:val="100"/>
              <w:bidi w:val="0"/>
            </w:pPr>
            <w:r>
              <w:t>最近环境敏感目标（），到达时间（）h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vMerge w:val="restart"/>
            <w:shd w:val="clear" w:color="auto" w:fill="auto"/>
            <w:vAlign w:val="center"/>
          </w:tcPr>
          <w:p>
            <w:pPr>
              <w:pStyle w:val="100"/>
              <w:bidi w:val="0"/>
            </w:pPr>
            <w:r>
              <w:t>地下水</w:t>
            </w:r>
          </w:p>
        </w:tc>
        <w:tc>
          <w:tcPr>
            <w:tcW w:w="7400" w:type="dxa"/>
            <w:gridSpan w:val="12"/>
            <w:shd w:val="clear" w:color="auto" w:fill="auto"/>
            <w:vAlign w:val="center"/>
          </w:tcPr>
          <w:p>
            <w:pPr>
              <w:pStyle w:val="100"/>
              <w:bidi w:val="0"/>
            </w:pPr>
            <w:r>
              <w:t>下游厂区边界达到时间（）d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85" w:type="dxa"/>
            <w:vMerge w:val="continue"/>
            <w:shd w:val="clear" w:color="auto" w:fill="auto"/>
            <w:vAlign w:val="center"/>
          </w:tcPr>
          <w:p>
            <w:pPr>
              <w:pStyle w:val="100"/>
              <w:bidi w:val="0"/>
            </w:pPr>
          </w:p>
        </w:tc>
        <w:tc>
          <w:tcPr>
            <w:tcW w:w="743" w:type="dxa"/>
            <w:vMerge w:val="continue"/>
            <w:shd w:val="clear" w:color="auto" w:fill="auto"/>
            <w:vAlign w:val="center"/>
          </w:tcPr>
          <w:p>
            <w:pPr>
              <w:pStyle w:val="100"/>
              <w:bidi w:val="0"/>
            </w:pPr>
          </w:p>
        </w:tc>
        <w:tc>
          <w:tcPr>
            <w:tcW w:w="7400" w:type="dxa"/>
            <w:gridSpan w:val="12"/>
            <w:shd w:val="clear" w:color="auto" w:fill="auto"/>
            <w:vAlign w:val="center"/>
          </w:tcPr>
          <w:p>
            <w:pPr>
              <w:pStyle w:val="100"/>
              <w:bidi w:val="0"/>
            </w:pPr>
            <w:r>
              <w:t>最近环境敏感目标（），到达时间（）d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28" w:type="dxa"/>
            <w:gridSpan w:val="2"/>
            <w:shd w:val="clear" w:color="auto" w:fill="auto"/>
            <w:vAlign w:val="center"/>
          </w:tcPr>
          <w:p>
            <w:pPr>
              <w:pStyle w:val="100"/>
              <w:bidi w:val="0"/>
            </w:pPr>
            <w:r>
              <w:t>重点风险防范措施</w:t>
            </w:r>
          </w:p>
        </w:tc>
        <w:tc>
          <w:tcPr>
            <w:tcW w:w="7400" w:type="dxa"/>
            <w:gridSpan w:val="12"/>
            <w:shd w:val="clear" w:color="auto" w:fill="auto"/>
            <w:vAlign w:val="center"/>
          </w:tcPr>
          <w:p>
            <w:pPr>
              <w:pStyle w:val="100"/>
              <w:bidi w:val="0"/>
            </w:pPr>
            <w:r>
              <w:t>桶装贮存，避免高温储存(室温条件即可)。避免储存接近电源、火源之场所。如发生泄露，迅速撤离泄露污染区人员至安全区，并进行隔离，严格限制出入。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28" w:type="dxa"/>
            <w:gridSpan w:val="2"/>
            <w:shd w:val="clear" w:color="auto" w:fill="auto"/>
            <w:vAlign w:val="center"/>
          </w:tcPr>
          <w:p>
            <w:pPr>
              <w:pStyle w:val="100"/>
              <w:bidi w:val="0"/>
            </w:pPr>
            <w:r>
              <w:t>评价结论与建议</w:t>
            </w:r>
          </w:p>
        </w:tc>
        <w:tc>
          <w:tcPr>
            <w:tcW w:w="7400" w:type="dxa"/>
            <w:gridSpan w:val="12"/>
            <w:shd w:val="clear" w:color="auto" w:fill="auto"/>
            <w:vAlign w:val="center"/>
          </w:tcPr>
          <w:p>
            <w:pPr>
              <w:pStyle w:val="100"/>
              <w:bidi w:val="0"/>
            </w:pPr>
            <w:r>
              <w:t>本项目风险潜势为 I，环境风险影响较小。项目可能发生的风险事故为</w:t>
            </w:r>
            <w:r>
              <w:rPr>
                <w:rFonts w:hint="eastAsia"/>
              </w:rPr>
              <w:t>白乳胶</w:t>
            </w:r>
          </w:p>
          <w:p>
            <w:pPr>
              <w:pStyle w:val="100"/>
              <w:bidi w:val="0"/>
            </w:pPr>
            <w:r>
              <w:t>的小规模泄漏、火灾等，通过采取风险防治措施，可有效降低事故发生概率，确保泄漏等风险事故对外环境造成环境可接受。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8528" w:type="dxa"/>
            <w:gridSpan w:val="14"/>
            <w:shd w:val="clear" w:color="auto" w:fill="auto"/>
            <w:vAlign w:val="center"/>
          </w:tcPr>
          <w:p>
            <w:pPr>
              <w:pStyle w:val="100"/>
              <w:bidi w:val="0"/>
            </w:pPr>
            <w:r>
              <w:t>注：“□”为勾选项，“（）”为填写项。</w:t>
            </w:r>
          </w:p>
        </w:tc>
      </w:tr>
    </w:tbl>
    <w:p>
      <w:pPr>
        <w:pStyle w:val="103"/>
      </w:pPr>
      <w:bookmarkStart w:id="82" w:name="_Hlk7262191"/>
      <w:r>
        <w:t>7.2.6 环境管理与监测计划</w:t>
      </w:r>
    </w:p>
    <w:p>
      <w:pPr>
        <w:pStyle w:val="103"/>
        <w:bidi w:val="0"/>
      </w:pPr>
      <w:r>
        <w:t>（1）环境管理</w:t>
      </w:r>
    </w:p>
    <w:p>
      <w:pPr>
        <w:pStyle w:val="103"/>
        <w:bidi w:val="0"/>
      </w:pPr>
      <w:r>
        <w:t>《中华人民共和国环境保护法》明确指出，我国环境保护的任务是保证在现代化建设中，合理利用自然资源，防止环境污染和生态破坏，为人民创造清洁适宜的生活和劳动环境，保护人民健康，促进经济发展。建设单位应在加强环境管理的同时定期进行环境监测，及时了解工程在不同时期的环境影响，以便采取相应措施，消除不利因素，减轻环境污染，以实现预定的各项环境目标。</w:t>
      </w:r>
    </w:p>
    <w:p>
      <w:pPr>
        <w:pStyle w:val="103"/>
        <w:bidi w:val="0"/>
      </w:pPr>
      <w:r>
        <w:t>本项目的环保工作应由专门的环保机构负责。项目建成后针对本项目应设1～2名专职环保管理人员，负责公司的环境管理以及对外的环保协调工作，履行环境管理职责和环境监控职责。本项目应严格执行申报的设备，不得擅自增加生产设备。各项污染防治措施在生产时必须同时开启。危险废物收集、贮存、运输、处置各环节应按照各环保标准、技术规范要求。</w:t>
      </w:r>
    </w:p>
    <w:p>
      <w:pPr>
        <w:pStyle w:val="103"/>
        <w:bidi w:val="0"/>
      </w:pPr>
      <w:r>
        <w:t>依法向社会公开：</w:t>
      </w:r>
      <w:r>
        <w:rPr>
          <w:rFonts w:hint="eastAsia"/>
        </w:rPr>
        <w:t>①</w:t>
      </w:r>
      <w:r>
        <w:t>企业环境保护方针、年度环境保护目标及成效；</w:t>
      </w:r>
      <w:r>
        <w:rPr>
          <w:rFonts w:hint="eastAsia"/>
        </w:rPr>
        <w:t>②</w:t>
      </w:r>
      <w:r>
        <w:t>企业年度资源消耗量；</w:t>
      </w:r>
      <w:r>
        <w:rPr>
          <w:rFonts w:hint="eastAsia"/>
        </w:rPr>
        <w:t>③</w:t>
      </w:r>
      <w:r>
        <w:t>企业环保投资和环境技术开发情况；</w:t>
      </w:r>
      <w:r>
        <w:rPr>
          <w:rFonts w:hint="eastAsia"/>
        </w:rPr>
        <w:t>④</w:t>
      </w:r>
      <w:r>
        <w:t>企业排放污染物种类、数量、浓度和去向；</w:t>
      </w:r>
      <w:r>
        <w:rPr>
          <w:rFonts w:hint="eastAsia"/>
        </w:rPr>
        <w:t>⑤</w:t>
      </w:r>
      <w:r>
        <w:t>企业环保设施的建设和运行情况；</w:t>
      </w:r>
      <w:r>
        <w:rPr>
          <w:rFonts w:hint="eastAsia"/>
        </w:rPr>
        <w:t>⑥</w:t>
      </w:r>
      <w:r>
        <w:t>企业在生产过程中产生的废物的处理、处置情况，废弃产品的回收、综合利用情况；</w:t>
      </w:r>
      <w:r>
        <w:rPr>
          <w:rFonts w:hint="eastAsia"/>
        </w:rPr>
        <w:t>⑦</w:t>
      </w:r>
      <w:r>
        <w:t>与环保部门签订的改善环境行为的自愿协议；</w:t>
      </w:r>
      <w:r>
        <w:rPr>
          <w:rFonts w:hint="eastAsia"/>
        </w:rPr>
        <w:t>⑧</w:t>
      </w:r>
      <w:r>
        <w:t>企业履行社会责任的情况；</w:t>
      </w:r>
      <w:r>
        <w:rPr>
          <w:rFonts w:hint="eastAsia"/>
        </w:rPr>
        <w:t>⑨</w:t>
      </w:r>
      <w:r>
        <w:t>企业自愿公开的其他环境信息。</w:t>
      </w:r>
    </w:p>
    <w:p>
      <w:pPr>
        <w:pStyle w:val="103"/>
        <w:bidi w:val="0"/>
      </w:pPr>
      <w:r>
        <w:t>（2）监测计划</w:t>
      </w:r>
    </w:p>
    <w:p>
      <w:pPr>
        <w:pStyle w:val="103"/>
        <w:bidi w:val="0"/>
      </w:pPr>
      <w:r>
        <w:t>为了掌握本项目投产后的排污情况，监督排放标准的执行，减少对环境的影响，达到本报告表提出的排放要求，必须加强环境监测制度。</w:t>
      </w:r>
    </w:p>
    <w:bookmarkEnd w:id="82"/>
    <w:p>
      <w:pPr>
        <w:pStyle w:val="273"/>
        <w:bidi w:val="0"/>
        <w:rPr>
          <w:rFonts w:hint="eastAsia"/>
        </w:rPr>
      </w:pPr>
      <w:r>
        <w:rPr>
          <w:rFonts w:hint="eastAsia"/>
        </w:rPr>
        <w:t>表7-2</w:t>
      </w:r>
      <w:r>
        <w:rPr>
          <w:rFonts w:hint="eastAsia"/>
          <w:lang w:val="en-US" w:eastAsia="zh-CN"/>
        </w:rPr>
        <w:t>8</w:t>
      </w:r>
      <w:r>
        <w:rPr>
          <w:rFonts w:hint="eastAsia"/>
        </w:rPr>
        <w:t xml:space="preserve">  水污染源监测计划一览表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21"/>
        <w:gridCol w:w="881"/>
        <w:gridCol w:w="770"/>
        <w:gridCol w:w="699"/>
        <w:gridCol w:w="698"/>
        <w:gridCol w:w="983"/>
        <w:gridCol w:w="698"/>
        <w:gridCol w:w="606"/>
        <w:gridCol w:w="1032"/>
        <w:gridCol w:w="601"/>
        <w:gridCol w:w="10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12" w:type="pct"/>
            <w:shd w:val="clear" w:color="auto" w:fill="auto"/>
            <w:vAlign w:val="center"/>
          </w:tcPr>
          <w:p>
            <w:pPr>
              <w:pStyle w:val="100"/>
              <w:bidi w:val="0"/>
            </w:pPr>
            <w:bookmarkStart w:id="83" w:name="_Hlk8907362"/>
            <w:r>
              <w:rPr>
                <w:rFonts w:hint="eastAsia"/>
              </w:rPr>
              <w:t>序号</w:t>
            </w:r>
          </w:p>
        </w:tc>
        <w:tc>
          <w:tcPr>
            <w:tcW w:w="456" w:type="pct"/>
            <w:shd w:val="clear" w:color="auto" w:fill="auto"/>
            <w:vAlign w:val="center"/>
          </w:tcPr>
          <w:p>
            <w:pPr>
              <w:pStyle w:val="100"/>
              <w:bidi w:val="0"/>
            </w:pPr>
            <w:r>
              <w:rPr>
                <w:rFonts w:hint="eastAsia"/>
              </w:rPr>
              <w:t>排放口编号</w:t>
            </w:r>
          </w:p>
        </w:tc>
        <w:tc>
          <w:tcPr>
            <w:tcW w:w="458" w:type="pct"/>
            <w:shd w:val="clear" w:color="auto" w:fill="auto"/>
            <w:vAlign w:val="center"/>
          </w:tcPr>
          <w:p>
            <w:pPr>
              <w:pStyle w:val="100"/>
              <w:bidi w:val="0"/>
            </w:pPr>
            <w:r>
              <w:rPr>
                <w:rFonts w:hint="eastAsia"/>
              </w:rPr>
              <w:t>污染物名称</w:t>
            </w:r>
          </w:p>
        </w:tc>
        <w:tc>
          <w:tcPr>
            <w:tcW w:w="416" w:type="pct"/>
            <w:shd w:val="clear" w:color="auto" w:fill="auto"/>
            <w:vAlign w:val="center"/>
          </w:tcPr>
          <w:p>
            <w:pPr>
              <w:pStyle w:val="100"/>
              <w:bidi w:val="0"/>
            </w:pPr>
            <w:r>
              <w:rPr>
                <w:rFonts w:hint="eastAsia"/>
              </w:rPr>
              <w:t>监测设施</w:t>
            </w:r>
          </w:p>
        </w:tc>
        <w:tc>
          <w:tcPr>
            <w:tcW w:w="415" w:type="pct"/>
            <w:shd w:val="clear" w:color="auto" w:fill="auto"/>
            <w:vAlign w:val="center"/>
          </w:tcPr>
          <w:p>
            <w:pPr>
              <w:pStyle w:val="100"/>
              <w:bidi w:val="0"/>
            </w:pPr>
            <w:r>
              <w:rPr>
                <w:rFonts w:hint="eastAsia"/>
              </w:rPr>
              <w:t>自动监测设施安装位置</w:t>
            </w:r>
          </w:p>
        </w:tc>
        <w:tc>
          <w:tcPr>
            <w:tcW w:w="582" w:type="pct"/>
            <w:shd w:val="clear" w:color="auto" w:fill="auto"/>
            <w:vAlign w:val="center"/>
          </w:tcPr>
          <w:p>
            <w:pPr>
              <w:pStyle w:val="100"/>
              <w:bidi w:val="0"/>
            </w:pPr>
            <w:r>
              <w:rPr>
                <w:rFonts w:hint="eastAsia"/>
              </w:rPr>
              <w:t>自动监测设施的安装、运行、维护等相关管理要求</w:t>
            </w:r>
          </w:p>
        </w:tc>
        <w:tc>
          <w:tcPr>
            <w:tcW w:w="415" w:type="pct"/>
            <w:shd w:val="clear" w:color="auto" w:fill="auto"/>
            <w:vAlign w:val="center"/>
          </w:tcPr>
          <w:p>
            <w:pPr>
              <w:pStyle w:val="100"/>
              <w:bidi w:val="0"/>
            </w:pPr>
            <w:r>
              <w:rPr>
                <w:rFonts w:hint="eastAsia"/>
              </w:rPr>
              <w:t>自动监测是否联网</w:t>
            </w:r>
          </w:p>
        </w:tc>
        <w:tc>
          <w:tcPr>
            <w:tcW w:w="361" w:type="pct"/>
            <w:shd w:val="clear" w:color="auto" w:fill="auto"/>
            <w:vAlign w:val="center"/>
          </w:tcPr>
          <w:p>
            <w:pPr>
              <w:pStyle w:val="100"/>
              <w:bidi w:val="0"/>
            </w:pPr>
            <w:r>
              <w:rPr>
                <w:rFonts w:hint="eastAsia"/>
              </w:rPr>
              <w:t>自动监测仪器名称</w:t>
            </w:r>
          </w:p>
        </w:tc>
        <w:tc>
          <w:tcPr>
            <w:tcW w:w="611" w:type="pct"/>
            <w:shd w:val="clear" w:color="auto" w:fill="auto"/>
            <w:vAlign w:val="center"/>
          </w:tcPr>
          <w:p>
            <w:pPr>
              <w:pStyle w:val="100"/>
              <w:bidi w:val="0"/>
            </w:pPr>
            <w:r>
              <w:rPr>
                <w:rFonts w:hint="eastAsia"/>
              </w:rPr>
              <w:t>手工监测采样方法及个数</w:t>
            </w:r>
          </w:p>
        </w:tc>
        <w:tc>
          <w:tcPr>
            <w:tcW w:w="358" w:type="pct"/>
            <w:shd w:val="clear" w:color="auto" w:fill="auto"/>
            <w:vAlign w:val="center"/>
          </w:tcPr>
          <w:p>
            <w:pPr>
              <w:pStyle w:val="100"/>
              <w:bidi w:val="0"/>
            </w:pPr>
            <w:r>
              <w:rPr>
                <w:rFonts w:hint="eastAsia"/>
              </w:rPr>
              <w:t>手工监测频次</w:t>
            </w:r>
          </w:p>
        </w:tc>
        <w:tc>
          <w:tcPr>
            <w:tcW w:w="615" w:type="pct"/>
            <w:shd w:val="clear" w:color="auto" w:fill="auto"/>
            <w:vAlign w:val="center"/>
          </w:tcPr>
          <w:p>
            <w:pPr>
              <w:pStyle w:val="100"/>
              <w:bidi w:val="0"/>
            </w:pPr>
            <w:r>
              <w:rPr>
                <w:rFonts w:hint="eastAsia"/>
              </w:rPr>
              <w:t>手工测定方法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12" w:type="pct"/>
            <w:shd w:val="clear" w:color="auto" w:fill="auto"/>
            <w:vAlign w:val="center"/>
          </w:tcPr>
          <w:p>
            <w:pPr>
              <w:pStyle w:val="100"/>
              <w:bidi w:val="0"/>
            </w:pPr>
            <w:r>
              <w:rPr>
                <w:rFonts w:hint="eastAsia"/>
              </w:rPr>
              <w:t>1</w:t>
            </w:r>
          </w:p>
        </w:tc>
        <w:tc>
          <w:tcPr>
            <w:tcW w:w="456" w:type="pct"/>
            <w:vMerge w:val="restart"/>
            <w:shd w:val="clear" w:color="auto" w:fill="auto"/>
            <w:vAlign w:val="center"/>
          </w:tcPr>
          <w:p>
            <w:pPr>
              <w:pStyle w:val="100"/>
              <w:bidi w:val="0"/>
              <w:rPr>
                <w:rFonts w:hint="eastAsia" w:eastAsia="宋体"/>
                <w:lang w:eastAsia="zh-CN"/>
              </w:rPr>
            </w:pPr>
            <w:r>
              <w:rPr>
                <w:rFonts w:hint="eastAsia"/>
                <w:lang w:val="en-US" w:eastAsia="zh-CN"/>
              </w:rPr>
              <w:t>DW001</w:t>
            </w:r>
          </w:p>
        </w:tc>
        <w:tc>
          <w:tcPr>
            <w:tcW w:w="458" w:type="pct"/>
            <w:shd w:val="clear" w:color="auto" w:fill="auto"/>
            <w:vAlign w:val="center"/>
          </w:tcPr>
          <w:p>
            <w:pPr>
              <w:pStyle w:val="100"/>
              <w:bidi w:val="0"/>
            </w:pPr>
            <w:r>
              <w:rPr>
                <w:rFonts w:hint="eastAsia"/>
              </w:rPr>
              <w:t>COD</w:t>
            </w:r>
          </w:p>
        </w:tc>
        <w:tc>
          <w:tcPr>
            <w:tcW w:w="416" w:type="pct"/>
            <w:shd w:val="clear" w:color="auto" w:fill="auto"/>
            <w:vAlign w:val="center"/>
          </w:tcPr>
          <w:p>
            <w:pPr>
              <w:pStyle w:val="100"/>
              <w:bidi w:val="0"/>
            </w:pPr>
            <w:r>
              <w:rPr>
                <w:rFonts w:hint="eastAsia"/>
              </w:rPr>
              <w:t>手动</w:t>
            </w:r>
          </w:p>
        </w:tc>
        <w:tc>
          <w:tcPr>
            <w:tcW w:w="415" w:type="pct"/>
            <w:shd w:val="clear" w:color="auto" w:fill="auto"/>
            <w:vAlign w:val="center"/>
          </w:tcPr>
          <w:p>
            <w:pPr>
              <w:pStyle w:val="100"/>
              <w:bidi w:val="0"/>
            </w:pPr>
            <w:r>
              <w:rPr>
                <w:rFonts w:hint="eastAsia"/>
              </w:rPr>
              <w:t>/</w:t>
            </w:r>
          </w:p>
        </w:tc>
        <w:tc>
          <w:tcPr>
            <w:tcW w:w="582" w:type="pct"/>
            <w:shd w:val="clear" w:color="auto" w:fill="auto"/>
            <w:vAlign w:val="center"/>
          </w:tcPr>
          <w:p>
            <w:pPr>
              <w:pStyle w:val="100"/>
              <w:bidi w:val="0"/>
            </w:pPr>
            <w:r>
              <w:rPr>
                <w:rFonts w:hint="eastAsia"/>
              </w:rPr>
              <w:t>/</w:t>
            </w:r>
          </w:p>
        </w:tc>
        <w:tc>
          <w:tcPr>
            <w:tcW w:w="415" w:type="pct"/>
            <w:shd w:val="clear" w:color="auto" w:fill="auto"/>
            <w:vAlign w:val="center"/>
          </w:tcPr>
          <w:p>
            <w:pPr>
              <w:pStyle w:val="100"/>
              <w:bidi w:val="0"/>
            </w:pPr>
            <w:r>
              <w:rPr>
                <w:rFonts w:hint="eastAsia"/>
              </w:rPr>
              <w:t>/</w:t>
            </w:r>
          </w:p>
        </w:tc>
        <w:tc>
          <w:tcPr>
            <w:tcW w:w="361" w:type="pct"/>
            <w:shd w:val="clear" w:color="auto" w:fill="auto"/>
            <w:vAlign w:val="center"/>
          </w:tcPr>
          <w:p>
            <w:pPr>
              <w:pStyle w:val="100"/>
              <w:bidi w:val="0"/>
            </w:pPr>
            <w:r>
              <w:rPr>
                <w:rFonts w:hint="eastAsia"/>
              </w:rPr>
              <w:t>/</w:t>
            </w:r>
          </w:p>
        </w:tc>
        <w:tc>
          <w:tcPr>
            <w:tcW w:w="611" w:type="pct"/>
            <w:shd w:val="clear" w:color="auto" w:fill="auto"/>
            <w:vAlign w:val="center"/>
          </w:tcPr>
          <w:p>
            <w:pPr>
              <w:pStyle w:val="100"/>
              <w:bidi w:val="0"/>
            </w:pPr>
            <w:r>
              <w:rPr>
                <w:rFonts w:hint="eastAsia"/>
              </w:rPr>
              <w:t>瞬时采样，至少3个</w:t>
            </w:r>
          </w:p>
        </w:tc>
        <w:tc>
          <w:tcPr>
            <w:tcW w:w="358" w:type="pct"/>
            <w:shd w:val="clear" w:color="auto" w:fill="auto"/>
            <w:vAlign w:val="center"/>
          </w:tcPr>
          <w:p>
            <w:pPr>
              <w:pStyle w:val="100"/>
              <w:bidi w:val="0"/>
            </w:pPr>
            <w:r>
              <w:rPr>
                <w:rFonts w:hint="eastAsia"/>
              </w:rPr>
              <w:t>1次/1年</w:t>
            </w:r>
          </w:p>
        </w:tc>
        <w:tc>
          <w:tcPr>
            <w:tcW w:w="615" w:type="pct"/>
            <w:shd w:val="clear" w:color="auto" w:fill="auto"/>
            <w:vAlign w:val="center"/>
          </w:tcPr>
          <w:p>
            <w:pPr>
              <w:pStyle w:val="100"/>
              <w:bidi w:val="0"/>
            </w:pPr>
            <w:r>
              <w:rPr>
                <w:rFonts w:hint="eastAsia"/>
              </w:rPr>
              <w:t>重铬酸盐法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12" w:type="pct"/>
            <w:shd w:val="clear" w:color="auto" w:fill="auto"/>
            <w:vAlign w:val="center"/>
          </w:tcPr>
          <w:p>
            <w:pPr>
              <w:pStyle w:val="100"/>
              <w:bidi w:val="0"/>
            </w:pPr>
            <w:r>
              <w:rPr>
                <w:rFonts w:hint="eastAsia"/>
              </w:rPr>
              <w:t>2</w:t>
            </w:r>
          </w:p>
        </w:tc>
        <w:tc>
          <w:tcPr>
            <w:tcW w:w="456" w:type="pct"/>
            <w:vMerge w:val="continue"/>
            <w:shd w:val="clear" w:color="auto" w:fill="auto"/>
            <w:vAlign w:val="center"/>
          </w:tcPr>
          <w:p>
            <w:pPr>
              <w:pStyle w:val="100"/>
              <w:bidi w:val="0"/>
            </w:pPr>
          </w:p>
        </w:tc>
        <w:tc>
          <w:tcPr>
            <w:tcW w:w="458" w:type="pct"/>
            <w:shd w:val="clear" w:color="auto" w:fill="auto"/>
            <w:vAlign w:val="center"/>
          </w:tcPr>
          <w:p>
            <w:pPr>
              <w:pStyle w:val="100"/>
              <w:bidi w:val="0"/>
            </w:pPr>
            <w:r>
              <w:rPr>
                <w:rFonts w:hint="eastAsia"/>
              </w:rPr>
              <w:t>SS</w:t>
            </w:r>
          </w:p>
        </w:tc>
        <w:tc>
          <w:tcPr>
            <w:tcW w:w="416" w:type="pct"/>
            <w:shd w:val="clear" w:color="auto" w:fill="auto"/>
            <w:vAlign w:val="center"/>
          </w:tcPr>
          <w:p>
            <w:pPr>
              <w:pStyle w:val="100"/>
              <w:bidi w:val="0"/>
            </w:pPr>
            <w:r>
              <w:rPr>
                <w:rFonts w:hint="eastAsia"/>
              </w:rPr>
              <w:t>手动</w:t>
            </w:r>
          </w:p>
        </w:tc>
        <w:tc>
          <w:tcPr>
            <w:tcW w:w="415" w:type="pct"/>
            <w:shd w:val="clear" w:color="auto" w:fill="auto"/>
            <w:vAlign w:val="center"/>
          </w:tcPr>
          <w:p>
            <w:pPr>
              <w:pStyle w:val="100"/>
              <w:bidi w:val="0"/>
            </w:pPr>
            <w:r>
              <w:rPr>
                <w:rFonts w:hint="eastAsia"/>
              </w:rPr>
              <w:t>/</w:t>
            </w:r>
          </w:p>
        </w:tc>
        <w:tc>
          <w:tcPr>
            <w:tcW w:w="582" w:type="pct"/>
            <w:shd w:val="clear" w:color="auto" w:fill="auto"/>
            <w:vAlign w:val="center"/>
          </w:tcPr>
          <w:p>
            <w:pPr>
              <w:pStyle w:val="100"/>
              <w:bidi w:val="0"/>
            </w:pPr>
            <w:r>
              <w:rPr>
                <w:rFonts w:hint="eastAsia"/>
              </w:rPr>
              <w:t>/</w:t>
            </w:r>
          </w:p>
        </w:tc>
        <w:tc>
          <w:tcPr>
            <w:tcW w:w="415" w:type="pct"/>
            <w:shd w:val="clear" w:color="auto" w:fill="auto"/>
            <w:vAlign w:val="center"/>
          </w:tcPr>
          <w:p>
            <w:pPr>
              <w:pStyle w:val="100"/>
              <w:bidi w:val="0"/>
            </w:pPr>
            <w:r>
              <w:rPr>
                <w:rFonts w:hint="eastAsia"/>
              </w:rPr>
              <w:t>/</w:t>
            </w:r>
          </w:p>
        </w:tc>
        <w:tc>
          <w:tcPr>
            <w:tcW w:w="361" w:type="pct"/>
            <w:shd w:val="clear" w:color="auto" w:fill="auto"/>
            <w:vAlign w:val="center"/>
          </w:tcPr>
          <w:p>
            <w:pPr>
              <w:pStyle w:val="100"/>
              <w:bidi w:val="0"/>
            </w:pPr>
            <w:r>
              <w:rPr>
                <w:rFonts w:hint="eastAsia"/>
              </w:rPr>
              <w:t>/</w:t>
            </w:r>
          </w:p>
        </w:tc>
        <w:tc>
          <w:tcPr>
            <w:tcW w:w="611" w:type="pct"/>
            <w:shd w:val="clear" w:color="auto" w:fill="auto"/>
            <w:vAlign w:val="center"/>
          </w:tcPr>
          <w:p>
            <w:pPr>
              <w:pStyle w:val="100"/>
              <w:bidi w:val="0"/>
            </w:pPr>
            <w:r>
              <w:rPr>
                <w:rFonts w:hint="eastAsia"/>
              </w:rPr>
              <w:t>瞬时采样，至少3个</w:t>
            </w:r>
          </w:p>
        </w:tc>
        <w:tc>
          <w:tcPr>
            <w:tcW w:w="358" w:type="pct"/>
            <w:shd w:val="clear" w:color="auto" w:fill="auto"/>
            <w:vAlign w:val="center"/>
          </w:tcPr>
          <w:p>
            <w:pPr>
              <w:pStyle w:val="100"/>
              <w:bidi w:val="0"/>
            </w:pPr>
            <w:r>
              <w:rPr>
                <w:rFonts w:hint="eastAsia"/>
              </w:rPr>
              <w:t>1次/1年</w:t>
            </w:r>
          </w:p>
        </w:tc>
        <w:tc>
          <w:tcPr>
            <w:tcW w:w="615" w:type="pct"/>
            <w:shd w:val="clear" w:color="auto" w:fill="auto"/>
            <w:vAlign w:val="center"/>
          </w:tcPr>
          <w:p>
            <w:pPr>
              <w:pStyle w:val="100"/>
              <w:bidi w:val="0"/>
            </w:pPr>
            <w:r>
              <w:rPr>
                <w:rFonts w:hint="eastAsia"/>
              </w:rPr>
              <w:t>重量法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12" w:type="pct"/>
            <w:shd w:val="clear" w:color="auto" w:fill="auto"/>
            <w:vAlign w:val="center"/>
          </w:tcPr>
          <w:p>
            <w:pPr>
              <w:pStyle w:val="100"/>
              <w:bidi w:val="0"/>
            </w:pPr>
            <w:r>
              <w:rPr>
                <w:rFonts w:hint="eastAsia"/>
              </w:rPr>
              <w:t>3</w:t>
            </w:r>
          </w:p>
        </w:tc>
        <w:tc>
          <w:tcPr>
            <w:tcW w:w="456" w:type="pct"/>
            <w:vMerge w:val="continue"/>
            <w:shd w:val="clear" w:color="auto" w:fill="auto"/>
            <w:vAlign w:val="center"/>
          </w:tcPr>
          <w:p>
            <w:pPr>
              <w:pStyle w:val="100"/>
              <w:bidi w:val="0"/>
            </w:pPr>
          </w:p>
        </w:tc>
        <w:tc>
          <w:tcPr>
            <w:tcW w:w="458" w:type="pct"/>
            <w:shd w:val="clear" w:color="auto" w:fill="auto"/>
            <w:vAlign w:val="center"/>
          </w:tcPr>
          <w:p>
            <w:pPr>
              <w:pStyle w:val="100"/>
              <w:bidi w:val="0"/>
            </w:pPr>
            <w:r>
              <w:rPr>
                <w:rFonts w:hint="eastAsia"/>
              </w:rPr>
              <w:t>氨氮</w:t>
            </w:r>
          </w:p>
        </w:tc>
        <w:tc>
          <w:tcPr>
            <w:tcW w:w="416" w:type="pct"/>
            <w:shd w:val="clear" w:color="auto" w:fill="auto"/>
            <w:vAlign w:val="center"/>
          </w:tcPr>
          <w:p>
            <w:pPr>
              <w:pStyle w:val="100"/>
              <w:bidi w:val="0"/>
            </w:pPr>
            <w:r>
              <w:rPr>
                <w:rFonts w:hint="eastAsia"/>
              </w:rPr>
              <w:t>手动</w:t>
            </w:r>
          </w:p>
        </w:tc>
        <w:tc>
          <w:tcPr>
            <w:tcW w:w="415" w:type="pct"/>
            <w:shd w:val="clear" w:color="auto" w:fill="auto"/>
            <w:vAlign w:val="center"/>
          </w:tcPr>
          <w:p>
            <w:pPr>
              <w:pStyle w:val="100"/>
              <w:bidi w:val="0"/>
            </w:pPr>
            <w:r>
              <w:rPr>
                <w:rFonts w:hint="eastAsia"/>
              </w:rPr>
              <w:t>/</w:t>
            </w:r>
          </w:p>
        </w:tc>
        <w:tc>
          <w:tcPr>
            <w:tcW w:w="582" w:type="pct"/>
            <w:shd w:val="clear" w:color="auto" w:fill="auto"/>
            <w:vAlign w:val="center"/>
          </w:tcPr>
          <w:p>
            <w:pPr>
              <w:pStyle w:val="100"/>
              <w:bidi w:val="0"/>
            </w:pPr>
            <w:r>
              <w:rPr>
                <w:rFonts w:hint="eastAsia"/>
              </w:rPr>
              <w:t>/</w:t>
            </w:r>
          </w:p>
        </w:tc>
        <w:tc>
          <w:tcPr>
            <w:tcW w:w="415" w:type="pct"/>
            <w:shd w:val="clear" w:color="auto" w:fill="auto"/>
            <w:vAlign w:val="center"/>
          </w:tcPr>
          <w:p>
            <w:pPr>
              <w:pStyle w:val="100"/>
              <w:bidi w:val="0"/>
            </w:pPr>
            <w:r>
              <w:rPr>
                <w:rFonts w:hint="eastAsia"/>
              </w:rPr>
              <w:t>/</w:t>
            </w:r>
          </w:p>
        </w:tc>
        <w:tc>
          <w:tcPr>
            <w:tcW w:w="361" w:type="pct"/>
            <w:shd w:val="clear" w:color="auto" w:fill="auto"/>
            <w:vAlign w:val="center"/>
          </w:tcPr>
          <w:p>
            <w:pPr>
              <w:pStyle w:val="100"/>
              <w:bidi w:val="0"/>
            </w:pPr>
            <w:r>
              <w:rPr>
                <w:rFonts w:hint="eastAsia"/>
              </w:rPr>
              <w:t>/</w:t>
            </w:r>
          </w:p>
        </w:tc>
        <w:tc>
          <w:tcPr>
            <w:tcW w:w="611" w:type="pct"/>
            <w:shd w:val="clear" w:color="auto" w:fill="auto"/>
            <w:vAlign w:val="center"/>
          </w:tcPr>
          <w:p>
            <w:pPr>
              <w:pStyle w:val="100"/>
              <w:bidi w:val="0"/>
            </w:pPr>
            <w:r>
              <w:rPr>
                <w:rFonts w:hint="eastAsia"/>
              </w:rPr>
              <w:t>瞬时采样，至少3个</w:t>
            </w:r>
          </w:p>
        </w:tc>
        <w:tc>
          <w:tcPr>
            <w:tcW w:w="358" w:type="pct"/>
            <w:shd w:val="clear" w:color="auto" w:fill="auto"/>
            <w:vAlign w:val="center"/>
          </w:tcPr>
          <w:p>
            <w:pPr>
              <w:pStyle w:val="100"/>
              <w:bidi w:val="0"/>
            </w:pPr>
            <w:r>
              <w:rPr>
                <w:rFonts w:hint="eastAsia"/>
              </w:rPr>
              <w:t>1次/1年</w:t>
            </w:r>
          </w:p>
        </w:tc>
        <w:tc>
          <w:tcPr>
            <w:tcW w:w="615" w:type="pct"/>
            <w:shd w:val="clear" w:color="auto" w:fill="auto"/>
            <w:vAlign w:val="center"/>
          </w:tcPr>
          <w:p>
            <w:pPr>
              <w:pStyle w:val="100"/>
              <w:bidi w:val="0"/>
            </w:pPr>
            <w:r>
              <w:rPr>
                <w:rFonts w:hint="eastAsia"/>
              </w:rPr>
              <w:t>纳氏试剂分光光度法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12" w:type="pct"/>
            <w:shd w:val="clear" w:color="auto" w:fill="auto"/>
            <w:vAlign w:val="center"/>
          </w:tcPr>
          <w:p>
            <w:pPr>
              <w:pStyle w:val="100"/>
              <w:bidi w:val="0"/>
            </w:pPr>
            <w:r>
              <w:rPr>
                <w:rFonts w:hint="eastAsia"/>
              </w:rPr>
              <w:t>4</w:t>
            </w:r>
          </w:p>
        </w:tc>
        <w:tc>
          <w:tcPr>
            <w:tcW w:w="456" w:type="pct"/>
            <w:vMerge w:val="continue"/>
            <w:shd w:val="clear" w:color="auto" w:fill="auto"/>
            <w:vAlign w:val="center"/>
          </w:tcPr>
          <w:p>
            <w:pPr>
              <w:pStyle w:val="100"/>
              <w:bidi w:val="0"/>
            </w:pPr>
          </w:p>
        </w:tc>
        <w:tc>
          <w:tcPr>
            <w:tcW w:w="458" w:type="pct"/>
            <w:shd w:val="clear" w:color="auto" w:fill="auto"/>
            <w:vAlign w:val="center"/>
          </w:tcPr>
          <w:p>
            <w:pPr>
              <w:pStyle w:val="100"/>
              <w:bidi w:val="0"/>
            </w:pPr>
            <w:r>
              <w:rPr>
                <w:rFonts w:hint="eastAsia"/>
              </w:rPr>
              <w:t>总磷</w:t>
            </w:r>
          </w:p>
        </w:tc>
        <w:tc>
          <w:tcPr>
            <w:tcW w:w="416" w:type="pct"/>
            <w:shd w:val="clear" w:color="auto" w:fill="auto"/>
            <w:vAlign w:val="center"/>
          </w:tcPr>
          <w:p>
            <w:pPr>
              <w:pStyle w:val="100"/>
              <w:bidi w:val="0"/>
            </w:pPr>
            <w:r>
              <w:rPr>
                <w:rFonts w:hint="eastAsia"/>
              </w:rPr>
              <w:t>手动</w:t>
            </w:r>
          </w:p>
        </w:tc>
        <w:tc>
          <w:tcPr>
            <w:tcW w:w="415" w:type="pct"/>
            <w:shd w:val="clear" w:color="auto" w:fill="auto"/>
            <w:vAlign w:val="center"/>
          </w:tcPr>
          <w:p>
            <w:pPr>
              <w:pStyle w:val="100"/>
              <w:bidi w:val="0"/>
            </w:pPr>
            <w:r>
              <w:rPr>
                <w:rFonts w:hint="eastAsia"/>
              </w:rPr>
              <w:t>/</w:t>
            </w:r>
          </w:p>
        </w:tc>
        <w:tc>
          <w:tcPr>
            <w:tcW w:w="582" w:type="pct"/>
            <w:shd w:val="clear" w:color="auto" w:fill="auto"/>
            <w:vAlign w:val="center"/>
          </w:tcPr>
          <w:p>
            <w:pPr>
              <w:pStyle w:val="100"/>
              <w:bidi w:val="0"/>
            </w:pPr>
            <w:r>
              <w:rPr>
                <w:rFonts w:hint="eastAsia"/>
              </w:rPr>
              <w:t>/</w:t>
            </w:r>
          </w:p>
        </w:tc>
        <w:tc>
          <w:tcPr>
            <w:tcW w:w="415" w:type="pct"/>
            <w:shd w:val="clear" w:color="auto" w:fill="auto"/>
            <w:vAlign w:val="center"/>
          </w:tcPr>
          <w:p>
            <w:pPr>
              <w:pStyle w:val="100"/>
              <w:bidi w:val="0"/>
            </w:pPr>
            <w:r>
              <w:rPr>
                <w:rFonts w:hint="eastAsia"/>
              </w:rPr>
              <w:t>/</w:t>
            </w:r>
          </w:p>
        </w:tc>
        <w:tc>
          <w:tcPr>
            <w:tcW w:w="361" w:type="pct"/>
            <w:shd w:val="clear" w:color="auto" w:fill="auto"/>
            <w:vAlign w:val="center"/>
          </w:tcPr>
          <w:p>
            <w:pPr>
              <w:pStyle w:val="100"/>
              <w:bidi w:val="0"/>
            </w:pPr>
            <w:r>
              <w:rPr>
                <w:rFonts w:hint="eastAsia"/>
              </w:rPr>
              <w:t>/</w:t>
            </w:r>
          </w:p>
        </w:tc>
        <w:tc>
          <w:tcPr>
            <w:tcW w:w="611" w:type="pct"/>
            <w:shd w:val="clear" w:color="auto" w:fill="auto"/>
            <w:vAlign w:val="center"/>
          </w:tcPr>
          <w:p>
            <w:pPr>
              <w:pStyle w:val="100"/>
              <w:bidi w:val="0"/>
            </w:pPr>
            <w:r>
              <w:rPr>
                <w:rFonts w:hint="eastAsia"/>
              </w:rPr>
              <w:t>瞬时采样，至少3个</w:t>
            </w:r>
          </w:p>
        </w:tc>
        <w:tc>
          <w:tcPr>
            <w:tcW w:w="358" w:type="pct"/>
            <w:shd w:val="clear" w:color="auto" w:fill="auto"/>
            <w:vAlign w:val="center"/>
          </w:tcPr>
          <w:p>
            <w:pPr>
              <w:pStyle w:val="100"/>
              <w:bidi w:val="0"/>
            </w:pPr>
            <w:r>
              <w:rPr>
                <w:rFonts w:hint="eastAsia"/>
              </w:rPr>
              <w:t>1次/1年</w:t>
            </w:r>
          </w:p>
        </w:tc>
        <w:tc>
          <w:tcPr>
            <w:tcW w:w="615" w:type="pct"/>
            <w:shd w:val="clear" w:color="auto" w:fill="auto"/>
            <w:vAlign w:val="center"/>
          </w:tcPr>
          <w:p>
            <w:pPr>
              <w:pStyle w:val="100"/>
              <w:bidi w:val="0"/>
            </w:pPr>
            <w:r>
              <w:rPr>
                <w:rFonts w:hint="eastAsia"/>
              </w:rPr>
              <w:t>钼酸铵分光光度法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12" w:type="pct"/>
            <w:shd w:val="clear" w:color="auto" w:fill="auto"/>
            <w:vAlign w:val="center"/>
          </w:tcPr>
          <w:p>
            <w:pPr>
              <w:pStyle w:val="100"/>
              <w:bidi w:val="0"/>
            </w:pPr>
            <w:r>
              <w:rPr>
                <w:rFonts w:hint="eastAsia"/>
              </w:rPr>
              <w:t>5</w:t>
            </w:r>
          </w:p>
        </w:tc>
        <w:tc>
          <w:tcPr>
            <w:tcW w:w="456" w:type="pct"/>
            <w:vMerge w:val="continue"/>
            <w:shd w:val="clear" w:color="auto" w:fill="auto"/>
            <w:vAlign w:val="center"/>
          </w:tcPr>
          <w:p>
            <w:pPr>
              <w:pStyle w:val="100"/>
              <w:bidi w:val="0"/>
            </w:pPr>
          </w:p>
        </w:tc>
        <w:tc>
          <w:tcPr>
            <w:tcW w:w="458" w:type="pct"/>
            <w:shd w:val="clear" w:color="auto" w:fill="auto"/>
            <w:vAlign w:val="center"/>
          </w:tcPr>
          <w:p>
            <w:pPr>
              <w:pStyle w:val="100"/>
              <w:bidi w:val="0"/>
            </w:pPr>
            <w:r>
              <w:rPr>
                <w:rFonts w:hint="eastAsia"/>
              </w:rPr>
              <w:t>总氮</w:t>
            </w:r>
          </w:p>
        </w:tc>
        <w:tc>
          <w:tcPr>
            <w:tcW w:w="416" w:type="pct"/>
            <w:shd w:val="clear" w:color="auto" w:fill="auto"/>
            <w:vAlign w:val="center"/>
          </w:tcPr>
          <w:p>
            <w:pPr>
              <w:pStyle w:val="100"/>
              <w:bidi w:val="0"/>
            </w:pPr>
            <w:r>
              <w:rPr>
                <w:rFonts w:hint="eastAsia"/>
              </w:rPr>
              <w:t>手动</w:t>
            </w:r>
          </w:p>
        </w:tc>
        <w:tc>
          <w:tcPr>
            <w:tcW w:w="415" w:type="pct"/>
            <w:shd w:val="clear" w:color="auto" w:fill="auto"/>
            <w:vAlign w:val="center"/>
          </w:tcPr>
          <w:p>
            <w:pPr>
              <w:pStyle w:val="100"/>
              <w:bidi w:val="0"/>
            </w:pPr>
            <w:r>
              <w:rPr>
                <w:rFonts w:hint="eastAsia"/>
              </w:rPr>
              <w:t>/</w:t>
            </w:r>
          </w:p>
        </w:tc>
        <w:tc>
          <w:tcPr>
            <w:tcW w:w="582" w:type="pct"/>
            <w:shd w:val="clear" w:color="auto" w:fill="auto"/>
            <w:vAlign w:val="center"/>
          </w:tcPr>
          <w:p>
            <w:pPr>
              <w:pStyle w:val="100"/>
              <w:bidi w:val="0"/>
            </w:pPr>
            <w:r>
              <w:rPr>
                <w:rFonts w:hint="eastAsia"/>
              </w:rPr>
              <w:t>/</w:t>
            </w:r>
          </w:p>
        </w:tc>
        <w:tc>
          <w:tcPr>
            <w:tcW w:w="415" w:type="pct"/>
            <w:shd w:val="clear" w:color="auto" w:fill="auto"/>
            <w:vAlign w:val="center"/>
          </w:tcPr>
          <w:p>
            <w:pPr>
              <w:pStyle w:val="100"/>
              <w:bidi w:val="0"/>
            </w:pPr>
            <w:r>
              <w:rPr>
                <w:rFonts w:hint="eastAsia"/>
              </w:rPr>
              <w:t>/</w:t>
            </w:r>
          </w:p>
        </w:tc>
        <w:tc>
          <w:tcPr>
            <w:tcW w:w="361" w:type="pct"/>
            <w:shd w:val="clear" w:color="auto" w:fill="auto"/>
            <w:vAlign w:val="center"/>
          </w:tcPr>
          <w:p>
            <w:pPr>
              <w:pStyle w:val="100"/>
              <w:bidi w:val="0"/>
            </w:pPr>
            <w:r>
              <w:rPr>
                <w:rFonts w:hint="eastAsia"/>
              </w:rPr>
              <w:t>/</w:t>
            </w:r>
          </w:p>
        </w:tc>
        <w:tc>
          <w:tcPr>
            <w:tcW w:w="611" w:type="pct"/>
            <w:shd w:val="clear" w:color="auto" w:fill="auto"/>
            <w:vAlign w:val="center"/>
          </w:tcPr>
          <w:p>
            <w:pPr>
              <w:pStyle w:val="100"/>
              <w:bidi w:val="0"/>
            </w:pPr>
            <w:r>
              <w:rPr>
                <w:rFonts w:hint="eastAsia"/>
              </w:rPr>
              <w:t>瞬时采样，至少3个</w:t>
            </w:r>
          </w:p>
        </w:tc>
        <w:tc>
          <w:tcPr>
            <w:tcW w:w="358" w:type="pct"/>
            <w:shd w:val="clear" w:color="auto" w:fill="auto"/>
            <w:vAlign w:val="center"/>
          </w:tcPr>
          <w:p>
            <w:pPr>
              <w:pStyle w:val="100"/>
              <w:bidi w:val="0"/>
            </w:pPr>
            <w:r>
              <w:rPr>
                <w:rFonts w:hint="eastAsia"/>
              </w:rPr>
              <w:t>1次/1年</w:t>
            </w:r>
          </w:p>
        </w:tc>
        <w:tc>
          <w:tcPr>
            <w:tcW w:w="615" w:type="pct"/>
            <w:shd w:val="clear" w:color="auto" w:fill="auto"/>
            <w:vAlign w:val="center"/>
          </w:tcPr>
          <w:p>
            <w:pPr>
              <w:pStyle w:val="100"/>
              <w:bidi w:val="0"/>
            </w:pPr>
            <w:r>
              <w:rPr>
                <w:rFonts w:hint="eastAsia"/>
              </w:rPr>
              <w:t>碱性过硫酸钾消解紫外分光光度法</w:t>
            </w:r>
          </w:p>
        </w:tc>
      </w:tr>
      <w:bookmarkEnd w:id="83"/>
    </w:tbl>
    <w:p>
      <w:pPr>
        <w:pStyle w:val="273"/>
        <w:bidi w:val="0"/>
        <w:rPr>
          <w:rFonts w:hint="eastAsia"/>
        </w:rPr>
      </w:pPr>
      <w:r>
        <w:rPr>
          <w:rFonts w:hint="eastAsia"/>
        </w:rPr>
        <w:t>表7-</w:t>
      </w:r>
      <w:r>
        <w:rPr>
          <w:rFonts w:hint="eastAsia"/>
          <w:lang w:val="en-US" w:eastAsia="zh-CN"/>
        </w:rPr>
        <w:t>29</w:t>
      </w:r>
      <w:r>
        <w:rPr>
          <w:rFonts w:hint="eastAsia"/>
        </w:rPr>
        <w:t xml:space="preserve">  其他污染源监测计划一览表</w:t>
      </w:r>
    </w:p>
    <w:tbl>
      <w:tblPr>
        <w:tblStyle w:val="8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715"/>
        <w:gridCol w:w="1164"/>
        <w:gridCol w:w="1938"/>
        <w:gridCol w:w="1577"/>
        <w:gridCol w:w="24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92" w:type="pct"/>
            <w:vAlign w:val="center"/>
          </w:tcPr>
          <w:p>
            <w:pPr>
              <w:pStyle w:val="100"/>
              <w:bidi w:val="0"/>
            </w:pPr>
            <w:r>
              <w:rPr>
                <w:rFonts w:hint="eastAsia"/>
              </w:rPr>
              <w:t>污染源类型</w:t>
            </w:r>
          </w:p>
        </w:tc>
        <w:tc>
          <w:tcPr>
            <w:tcW w:w="1101" w:type="pct"/>
            <w:gridSpan w:val="2"/>
            <w:vAlign w:val="center"/>
          </w:tcPr>
          <w:p>
            <w:pPr>
              <w:pStyle w:val="100"/>
              <w:bidi w:val="0"/>
            </w:pPr>
            <w:r>
              <w:rPr>
                <w:rFonts w:hint="eastAsia"/>
              </w:rPr>
              <w:t>监测点位</w:t>
            </w:r>
          </w:p>
        </w:tc>
        <w:tc>
          <w:tcPr>
            <w:tcW w:w="1136" w:type="pct"/>
            <w:vAlign w:val="center"/>
          </w:tcPr>
          <w:p>
            <w:pPr>
              <w:pStyle w:val="100"/>
              <w:bidi w:val="0"/>
            </w:pPr>
            <w:r>
              <w:rPr>
                <w:rFonts w:hint="eastAsia"/>
              </w:rPr>
              <w:t>监测项目</w:t>
            </w:r>
          </w:p>
        </w:tc>
        <w:tc>
          <w:tcPr>
            <w:tcW w:w="924" w:type="pct"/>
            <w:vAlign w:val="center"/>
          </w:tcPr>
          <w:p>
            <w:pPr>
              <w:pStyle w:val="100"/>
              <w:bidi w:val="0"/>
            </w:pPr>
            <w:r>
              <w:rPr>
                <w:rFonts w:hint="eastAsia"/>
              </w:rPr>
              <w:t>监测周期</w:t>
            </w:r>
          </w:p>
        </w:tc>
        <w:tc>
          <w:tcPr>
            <w:tcW w:w="1445" w:type="pct"/>
            <w:vAlign w:val="center"/>
          </w:tcPr>
          <w:p>
            <w:pPr>
              <w:pStyle w:val="100"/>
              <w:bidi w:val="0"/>
            </w:pPr>
            <w:r>
              <w:rPr>
                <w:rFonts w:hint="eastAsia"/>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92" w:type="pct"/>
            <w:vMerge w:val="restart"/>
            <w:vAlign w:val="center"/>
          </w:tcPr>
          <w:p>
            <w:pPr>
              <w:pStyle w:val="100"/>
              <w:bidi w:val="0"/>
            </w:pPr>
            <w:r>
              <w:rPr>
                <w:rFonts w:hint="eastAsia"/>
              </w:rPr>
              <w:t>大气污染物</w:t>
            </w:r>
          </w:p>
        </w:tc>
        <w:tc>
          <w:tcPr>
            <w:tcW w:w="419" w:type="pct"/>
            <w:vAlign w:val="center"/>
          </w:tcPr>
          <w:p>
            <w:pPr>
              <w:pStyle w:val="100"/>
              <w:bidi w:val="0"/>
            </w:pPr>
            <w:r>
              <w:rPr>
                <w:rFonts w:hint="eastAsia"/>
              </w:rPr>
              <w:t>有组织</w:t>
            </w:r>
          </w:p>
        </w:tc>
        <w:tc>
          <w:tcPr>
            <w:tcW w:w="681" w:type="pct"/>
            <w:vAlign w:val="center"/>
          </w:tcPr>
          <w:p>
            <w:pPr>
              <w:pStyle w:val="100"/>
              <w:bidi w:val="0"/>
            </w:pPr>
            <w:r>
              <w:rPr>
                <w:rFonts w:hint="eastAsia"/>
              </w:rPr>
              <w:t>DA001</w:t>
            </w:r>
          </w:p>
        </w:tc>
        <w:tc>
          <w:tcPr>
            <w:tcW w:w="1136" w:type="pct"/>
            <w:vAlign w:val="center"/>
          </w:tcPr>
          <w:p>
            <w:pPr>
              <w:pStyle w:val="100"/>
              <w:bidi w:val="0"/>
            </w:pPr>
            <w:r>
              <w:rPr>
                <w:rFonts w:hint="eastAsia"/>
              </w:rPr>
              <w:t>非甲烷总烃</w:t>
            </w:r>
          </w:p>
        </w:tc>
        <w:tc>
          <w:tcPr>
            <w:tcW w:w="924" w:type="pct"/>
            <w:vAlign w:val="center"/>
          </w:tcPr>
          <w:p>
            <w:pPr>
              <w:pStyle w:val="100"/>
              <w:bidi w:val="0"/>
            </w:pPr>
            <w:r>
              <w:rPr>
                <w:rFonts w:hint="eastAsia"/>
              </w:rPr>
              <w:t>半年监测1次</w:t>
            </w:r>
          </w:p>
        </w:tc>
        <w:tc>
          <w:tcPr>
            <w:tcW w:w="1445" w:type="pct"/>
            <w:vAlign w:val="center"/>
          </w:tcPr>
          <w:p>
            <w:pPr>
              <w:pStyle w:val="100"/>
              <w:bidi w:val="0"/>
            </w:pPr>
            <w:r>
              <w:rPr>
                <w:rFonts w:hint="eastAsia"/>
              </w:rPr>
              <w:t>排放满足《合成树脂工业污染物排放标准》（GB31572-2015）表5大气污染物特别排放限值及《大气污染物综合排放标准》（GB-16297-1996）表2标准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92" w:type="pct"/>
            <w:vMerge w:val="continue"/>
            <w:vAlign w:val="center"/>
          </w:tcPr>
          <w:p>
            <w:pPr>
              <w:pStyle w:val="100"/>
              <w:bidi w:val="0"/>
            </w:pPr>
          </w:p>
        </w:tc>
        <w:tc>
          <w:tcPr>
            <w:tcW w:w="1101" w:type="pct"/>
            <w:gridSpan w:val="2"/>
            <w:vAlign w:val="center"/>
          </w:tcPr>
          <w:p>
            <w:pPr>
              <w:pStyle w:val="100"/>
              <w:bidi w:val="0"/>
            </w:pPr>
            <w:r>
              <w:rPr>
                <w:rFonts w:hint="eastAsia"/>
              </w:rPr>
              <w:t>无组织</w:t>
            </w:r>
          </w:p>
        </w:tc>
        <w:tc>
          <w:tcPr>
            <w:tcW w:w="1136" w:type="pct"/>
            <w:vAlign w:val="center"/>
          </w:tcPr>
          <w:p>
            <w:pPr>
              <w:pStyle w:val="100"/>
              <w:bidi w:val="0"/>
            </w:pPr>
            <w:r>
              <w:rPr>
                <w:rFonts w:hint="eastAsia"/>
              </w:rPr>
              <w:t>非甲烷总烃</w:t>
            </w:r>
          </w:p>
        </w:tc>
        <w:tc>
          <w:tcPr>
            <w:tcW w:w="924" w:type="pct"/>
            <w:vAlign w:val="center"/>
          </w:tcPr>
          <w:p>
            <w:pPr>
              <w:pStyle w:val="100"/>
              <w:bidi w:val="0"/>
            </w:pPr>
            <w:r>
              <w:rPr>
                <w:rFonts w:hint="eastAsia"/>
              </w:rPr>
              <w:t>1次/1年</w:t>
            </w:r>
          </w:p>
        </w:tc>
        <w:tc>
          <w:tcPr>
            <w:tcW w:w="1445" w:type="pct"/>
            <w:vAlign w:val="center"/>
          </w:tcPr>
          <w:p>
            <w:pPr>
              <w:pStyle w:val="100"/>
              <w:bidi w:val="0"/>
            </w:pPr>
            <w:r>
              <w:rPr>
                <w:rFonts w:hint="eastAsia"/>
              </w:rPr>
              <w:t>满足相应无组织监控浓度限值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92" w:type="pct"/>
            <w:vMerge w:val="restart"/>
            <w:vAlign w:val="center"/>
          </w:tcPr>
          <w:p>
            <w:pPr>
              <w:pStyle w:val="100"/>
              <w:bidi w:val="0"/>
            </w:pPr>
            <w:r>
              <w:rPr>
                <w:rFonts w:hint="eastAsia"/>
              </w:rPr>
              <w:t>噪声</w:t>
            </w:r>
          </w:p>
        </w:tc>
        <w:tc>
          <w:tcPr>
            <w:tcW w:w="1101" w:type="pct"/>
            <w:gridSpan w:val="2"/>
            <w:vAlign w:val="center"/>
          </w:tcPr>
          <w:p>
            <w:pPr>
              <w:pStyle w:val="100"/>
              <w:bidi w:val="0"/>
            </w:pPr>
            <w:r>
              <w:rPr>
                <w:rFonts w:hint="eastAsia"/>
              </w:rPr>
              <w:t>高噪声设备噪声源</w:t>
            </w:r>
          </w:p>
        </w:tc>
        <w:tc>
          <w:tcPr>
            <w:tcW w:w="1136" w:type="pct"/>
            <w:vMerge w:val="restart"/>
            <w:vAlign w:val="center"/>
          </w:tcPr>
          <w:p>
            <w:pPr>
              <w:pStyle w:val="100"/>
              <w:bidi w:val="0"/>
            </w:pPr>
            <w:r>
              <w:rPr>
                <w:rFonts w:hint="eastAsia"/>
              </w:rPr>
              <w:t>等效A声级</w:t>
            </w:r>
          </w:p>
        </w:tc>
        <w:tc>
          <w:tcPr>
            <w:tcW w:w="924" w:type="pct"/>
            <w:vMerge w:val="restart"/>
            <w:vAlign w:val="center"/>
          </w:tcPr>
          <w:p>
            <w:pPr>
              <w:pStyle w:val="100"/>
              <w:bidi w:val="0"/>
            </w:pPr>
            <w:r>
              <w:rPr>
                <w:rFonts w:hint="eastAsia"/>
              </w:rPr>
              <w:t>1季度1次，每次昼、夜各监测1次</w:t>
            </w:r>
          </w:p>
        </w:tc>
        <w:tc>
          <w:tcPr>
            <w:tcW w:w="1445" w:type="pct"/>
            <w:vMerge w:val="restart"/>
            <w:vAlign w:val="center"/>
          </w:tcPr>
          <w:p>
            <w:pPr>
              <w:pStyle w:val="100"/>
              <w:bidi w:val="0"/>
            </w:pPr>
            <w:r>
              <w:rPr>
                <w:rFonts w:hint="eastAsia"/>
              </w:rPr>
              <w:t>满足《工业企业厂界环境噪声排放标准》（GB12348-2008）3类标准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92" w:type="pct"/>
            <w:vMerge w:val="continue"/>
            <w:vAlign w:val="center"/>
          </w:tcPr>
          <w:p>
            <w:pPr>
              <w:pStyle w:val="100"/>
              <w:bidi w:val="0"/>
            </w:pPr>
          </w:p>
        </w:tc>
        <w:tc>
          <w:tcPr>
            <w:tcW w:w="1101" w:type="pct"/>
            <w:gridSpan w:val="2"/>
            <w:vAlign w:val="center"/>
          </w:tcPr>
          <w:p>
            <w:pPr>
              <w:pStyle w:val="100"/>
              <w:bidi w:val="0"/>
            </w:pPr>
            <w:r>
              <w:rPr>
                <w:rFonts w:hint="eastAsia"/>
              </w:rPr>
              <w:t>厂界</w:t>
            </w:r>
          </w:p>
        </w:tc>
        <w:tc>
          <w:tcPr>
            <w:tcW w:w="1136" w:type="pct"/>
            <w:vMerge w:val="continue"/>
            <w:vAlign w:val="center"/>
          </w:tcPr>
          <w:p>
            <w:pPr>
              <w:pStyle w:val="100"/>
              <w:bidi w:val="0"/>
            </w:pPr>
          </w:p>
        </w:tc>
        <w:tc>
          <w:tcPr>
            <w:tcW w:w="924" w:type="pct"/>
            <w:vMerge w:val="continue"/>
            <w:vAlign w:val="center"/>
          </w:tcPr>
          <w:p>
            <w:pPr>
              <w:pStyle w:val="100"/>
              <w:bidi w:val="0"/>
            </w:pPr>
          </w:p>
        </w:tc>
        <w:tc>
          <w:tcPr>
            <w:tcW w:w="1445" w:type="pct"/>
            <w:vMerge w:val="continue"/>
          </w:tcPr>
          <w:p>
            <w:pPr>
              <w:pStyle w:val="100"/>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392" w:type="pct"/>
            <w:vAlign w:val="center"/>
          </w:tcPr>
          <w:p>
            <w:pPr>
              <w:pStyle w:val="100"/>
              <w:bidi w:val="0"/>
            </w:pPr>
            <w:r>
              <w:rPr>
                <w:rFonts w:hint="eastAsia"/>
              </w:rPr>
              <w:t>固废</w:t>
            </w:r>
          </w:p>
        </w:tc>
        <w:tc>
          <w:tcPr>
            <w:tcW w:w="1101" w:type="pct"/>
            <w:gridSpan w:val="2"/>
            <w:vAlign w:val="center"/>
          </w:tcPr>
          <w:p>
            <w:pPr>
              <w:pStyle w:val="100"/>
              <w:bidi w:val="0"/>
            </w:pPr>
            <w:r>
              <w:rPr>
                <w:rFonts w:hint="eastAsia"/>
              </w:rPr>
              <w:t>/</w:t>
            </w:r>
          </w:p>
        </w:tc>
        <w:tc>
          <w:tcPr>
            <w:tcW w:w="1136" w:type="pct"/>
            <w:vAlign w:val="center"/>
          </w:tcPr>
          <w:p>
            <w:pPr>
              <w:pStyle w:val="100"/>
              <w:bidi w:val="0"/>
            </w:pPr>
            <w:r>
              <w:rPr>
                <w:rFonts w:hint="eastAsia"/>
              </w:rPr>
              <w:t>固体废弃物堆放场所，必须有防火、防腐蚀、防渗透等措施，并应设置标志牌，及时清运处理。</w:t>
            </w:r>
          </w:p>
        </w:tc>
        <w:tc>
          <w:tcPr>
            <w:tcW w:w="924" w:type="pct"/>
            <w:vAlign w:val="center"/>
          </w:tcPr>
          <w:p>
            <w:pPr>
              <w:pStyle w:val="100"/>
              <w:bidi w:val="0"/>
            </w:pPr>
            <w:r>
              <w:rPr>
                <w:rFonts w:hint="eastAsia"/>
              </w:rPr>
              <w:t>/</w:t>
            </w:r>
          </w:p>
        </w:tc>
        <w:tc>
          <w:tcPr>
            <w:tcW w:w="1445" w:type="pct"/>
            <w:vAlign w:val="center"/>
          </w:tcPr>
          <w:p>
            <w:pPr>
              <w:pStyle w:val="100"/>
              <w:bidi w:val="0"/>
            </w:pPr>
            <w:r>
              <w:rPr>
                <w:rFonts w:hint="eastAsia"/>
              </w:rPr>
              <w:t>/</w:t>
            </w:r>
          </w:p>
        </w:tc>
      </w:tr>
    </w:tbl>
    <w:p>
      <w:pPr>
        <w:pStyle w:val="103"/>
        <w:bidi w:val="0"/>
      </w:pPr>
      <w:r>
        <w:t>按照上述监测的要求配备必要的监测仪器或委托有关监测部门监测。</w:t>
      </w:r>
    </w:p>
    <w:p>
      <w:pPr>
        <w:pStyle w:val="103"/>
        <w:bidi w:val="0"/>
      </w:pPr>
      <w:r>
        <w:t>监测数据和污染治理设施效率测试数据建立环保档案保存，为监督执行环境法规和排放标准提供依据</w:t>
      </w:r>
      <w:r>
        <w:rPr>
          <w:rFonts w:hint="eastAsia"/>
        </w:rPr>
        <w:t>。</w:t>
      </w:r>
    </w:p>
    <w:p>
      <w:pPr>
        <w:pStyle w:val="103"/>
        <w:bidi w:val="0"/>
      </w:pPr>
    </w:p>
    <w:p>
      <w:pPr>
        <w:pStyle w:val="103"/>
      </w:pPr>
    </w:p>
    <w:p>
      <w:pPr>
        <w:pStyle w:val="103"/>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tbl>
      <w:tblPr>
        <w:tblStyle w:val="87"/>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353"/>
        <w:gridCol w:w="1656"/>
        <w:gridCol w:w="2327"/>
        <w:gridCol w:w="1914"/>
      </w:tblGrid>
      <w:tr>
        <w:tblPrEx>
          <w:tblCellMar>
            <w:top w:w="0" w:type="dxa"/>
            <w:left w:w="108" w:type="dxa"/>
            <w:bottom w:w="0" w:type="dxa"/>
            <w:right w:w="108" w:type="dxa"/>
          </w:tblCellMar>
        </w:tblPrEx>
        <w:trPr>
          <w:cantSplit/>
          <w:trHeight w:val="36" w:hRule="atLeast"/>
          <w:jc w:val="center"/>
        </w:trPr>
        <w:tc>
          <w:tcPr>
            <w:tcW w:w="661" w:type="pct"/>
            <w:tcBorders>
              <w:top w:val="nil"/>
              <w:left w:val="nil"/>
              <w:tl2br w:val="single" w:color="auto" w:sz="4" w:space="0"/>
            </w:tcBorders>
            <w:vAlign w:val="center"/>
          </w:tcPr>
          <w:p>
            <w:pPr>
              <w:pStyle w:val="100"/>
              <w:bidi w:val="0"/>
            </w:pPr>
            <w:r>
              <w:rPr>
                <w:rFonts w:hint="eastAsia"/>
              </w:rPr>
              <mc:AlternateContent>
                <mc:Choice Requires="wps">
                  <w:drawing>
                    <wp:anchor distT="0" distB="0" distL="114300" distR="114300" simplePos="0" relativeHeight="251666432" behindDoc="0" locked="0" layoutInCell="1" allowOverlap="1">
                      <wp:simplePos x="0" y="0"/>
                      <wp:positionH relativeFrom="column">
                        <wp:posOffset>-152400</wp:posOffset>
                      </wp:positionH>
                      <wp:positionV relativeFrom="paragraph">
                        <wp:posOffset>-330200</wp:posOffset>
                      </wp:positionV>
                      <wp:extent cx="4914900" cy="419100"/>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4914900" cy="419100"/>
                              </a:xfrm>
                              <a:prstGeom prst="rect">
                                <a:avLst/>
                              </a:prstGeom>
                              <a:solidFill>
                                <a:srgbClr val="FFFFFF">
                                  <a:alpha val="0"/>
                                </a:srgbClr>
                              </a:solidFill>
                              <a:ln>
                                <a:noFill/>
                              </a:ln>
                            </wps:spPr>
                            <wps:txbx>
                              <w:txbxContent>
                                <w:p>
                                  <w:pPr>
                                    <w:pStyle w:val="4"/>
                                    <w:numPr>
                                      <w:ilvl w:val="0"/>
                                      <w:numId w:val="0"/>
                                    </w:numPr>
                                  </w:pPr>
                                  <w:bookmarkStart w:id="102" w:name="_Toc307515831"/>
                                  <w:r>
                                    <w:rPr>
                                      <w:rFonts w:hint="eastAsia"/>
                                    </w:rPr>
                                    <w:t>八、建设项目拟采取的防治措施及预期治理效果</w:t>
                                  </w:r>
                                  <w:bookmarkEnd w:id="102"/>
                                </w:p>
                                <w:p>
                                  <w:pPr>
                                    <w:rPr>
                                      <w:szCs w:val="30"/>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pt;margin-top:-26pt;height:33pt;width:387pt;z-index:251666432;mso-width-relative:page;mso-height-relative:page;" fillcolor="#FFFFFF" filled="t" stroked="f" coordsize="21600,21600" o:gfxdata="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zv961QAAAAoBAAAPAAAAAAAAAAEAIAAAACIAAABkcnMvZG93bnJldi54bWxQ&#10;SwECFAAUAAAACACHTuJAC8dHaTMCAABdBAAADgAAAAAAAAABACAAAAAkAQAAZHJzL2Uyb0RvYy54&#10;bWxQSwUGAAAAAAYABgBZAQAAyQUAAAAA&#10;">
                      <v:fill on="t" opacity="0f" focussize="0,0"/>
                      <v:stroke on="f"/>
                      <v:imagedata o:title=""/>
                      <o:lock v:ext="edit" aspectratio="f"/>
                      <v:textbox>
                        <w:txbxContent>
                          <w:p>
                            <w:pPr>
                              <w:pStyle w:val="4"/>
                              <w:numPr>
                                <w:ilvl w:val="0"/>
                                <w:numId w:val="0"/>
                              </w:numPr>
                            </w:pPr>
                            <w:bookmarkStart w:id="102" w:name="_Toc307515831"/>
                            <w:r>
                              <w:rPr>
                                <w:rFonts w:hint="eastAsia"/>
                              </w:rPr>
                              <w:t>八、建设项目拟采取的防治措施及预期治理效果</w:t>
                            </w:r>
                            <w:bookmarkEnd w:id="102"/>
                          </w:p>
                          <w:p>
                            <w:pPr>
                              <w:rPr>
                                <w:szCs w:val="30"/>
                              </w:rPr>
                            </w:pPr>
                          </w:p>
                        </w:txbxContent>
                      </v:textbox>
                    </v:shape>
                  </w:pict>
                </mc:Fallback>
              </mc:AlternateContent>
            </w:r>
            <w:r>
              <w:rPr>
                <w:rFonts w:hint="eastAsia"/>
              </w:rPr>
              <w:br w:type="page"/>
            </w:r>
            <w:r>
              <w:rPr>
                <w:rFonts w:hint="eastAsia"/>
              </w:rPr>
              <w:t>内容</w:t>
            </w:r>
          </w:p>
          <w:p>
            <w:pPr>
              <w:pStyle w:val="100"/>
              <w:bidi w:val="0"/>
              <w:rPr>
                <w:rFonts w:hint="eastAsia"/>
                <w:lang w:val="en-US" w:eastAsia="zh-CN"/>
              </w:rPr>
            </w:pPr>
            <w:r>
              <w:rPr>
                <w:rFonts w:hint="eastAsia"/>
              </w:rPr>
              <w:t>类型</w:t>
            </w:r>
          </w:p>
        </w:tc>
        <w:tc>
          <w:tcPr>
            <w:tcW w:w="809" w:type="pct"/>
            <w:tcBorders>
              <w:top w:val="nil"/>
            </w:tcBorders>
            <w:vAlign w:val="center"/>
          </w:tcPr>
          <w:p>
            <w:pPr>
              <w:pStyle w:val="100"/>
              <w:bidi w:val="0"/>
            </w:pPr>
            <w:r>
              <w:rPr>
                <w:rFonts w:hint="eastAsia"/>
              </w:rPr>
              <w:t>排放源（编号）</w:t>
            </w:r>
          </w:p>
        </w:tc>
        <w:tc>
          <w:tcPr>
            <w:tcW w:w="991" w:type="pct"/>
            <w:tcBorders>
              <w:top w:val="nil"/>
            </w:tcBorders>
            <w:vAlign w:val="center"/>
          </w:tcPr>
          <w:p>
            <w:pPr>
              <w:pStyle w:val="100"/>
              <w:bidi w:val="0"/>
            </w:pPr>
            <w:r>
              <w:rPr>
                <w:rFonts w:hint="eastAsia"/>
              </w:rPr>
              <w:t>污染物名称</w:t>
            </w:r>
          </w:p>
        </w:tc>
        <w:tc>
          <w:tcPr>
            <w:tcW w:w="1392" w:type="pct"/>
            <w:tcBorders>
              <w:top w:val="nil"/>
            </w:tcBorders>
            <w:vAlign w:val="center"/>
          </w:tcPr>
          <w:p>
            <w:pPr>
              <w:pStyle w:val="100"/>
              <w:bidi w:val="0"/>
            </w:pPr>
            <w:r>
              <w:rPr>
                <w:rFonts w:hint="eastAsia"/>
              </w:rPr>
              <w:t>防治措施</w:t>
            </w:r>
          </w:p>
        </w:tc>
        <w:tc>
          <w:tcPr>
            <w:tcW w:w="1145" w:type="pct"/>
            <w:tcBorders>
              <w:top w:val="nil"/>
              <w:right w:val="nil"/>
            </w:tcBorders>
            <w:vAlign w:val="center"/>
          </w:tcPr>
          <w:p>
            <w:pPr>
              <w:pStyle w:val="100"/>
              <w:bidi w:val="0"/>
            </w:pPr>
            <w:r>
              <w:rPr>
                <w:rFonts w:hint="eastAsia"/>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661" w:type="pct"/>
            <w:tcBorders>
              <w:left w:val="nil"/>
            </w:tcBorders>
            <w:vAlign w:val="center"/>
          </w:tcPr>
          <w:p>
            <w:pPr>
              <w:pStyle w:val="100"/>
              <w:bidi w:val="0"/>
            </w:pPr>
            <w:r>
              <w:rPr>
                <w:rFonts w:hint="eastAsia"/>
              </w:rPr>
              <w:t>大</w:t>
            </w:r>
          </w:p>
          <w:p>
            <w:pPr>
              <w:pStyle w:val="100"/>
              <w:bidi w:val="0"/>
            </w:pPr>
            <w:r>
              <w:rPr>
                <w:rFonts w:hint="eastAsia"/>
              </w:rPr>
              <w:t>气</w:t>
            </w:r>
          </w:p>
          <w:p>
            <w:pPr>
              <w:pStyle w:val="100"/>
              <w:bidi w:val="0"/>
            </w:pPr>
            <w:r>
              <w:rPr>
                <w:rFonts w:hint="eastAsia"/>
              </w:rPr>
              <w:t>污</w:t>
            </w:r>
          </w:p>
          <w:p>
            <w:pPr>
              <w:pStyle w:val="100"/>
              <w:bidi w:val="0"/>
            </w:pPr>
            <w:r>
              <w:rPr>
                <w:rFonts w:hint="eastAsia"/>
              </w:rPr>
              <w:t>染</w:t>
            </w:r>
          </w:p>
          <w:p>
            <w:pPr>
              <w:pStyle w:val="100"/>
              <w:bidi w:val="0"/>
            </w:pPr>
            <w:r>
              <w:rPr>
                <w:rFonts w:hint="eastAsia"/>
              </w:rPr>
              <w:t>物</w:t>
            </w:r>
          </w:p>
        </w:tc>
        <w:tc>
          <w:tcPr>
            <w:tcW w:w="809" w:type="pct"/>
            <w:vAlign w:val="center"/>
          </w:tcPr>
          <w:p>
            <w:pPr>
              <w:pStyle w:val="100"/>
              <w:bidi w:val="0"/>
            </w:pPr>
            <w:r>
              <w:rPr>
                <w:rFonts w:hint="eastAsia"/>
              </w:rPr>
              <w:t>无组织排放</w:t>
            </w:r>
          </w:p>
        </w:tc>
        <w:tc>
          <w:tcPr>
            <w:tcW w:w="991" w:type="pct"/>
            <w:vAlign w:val="center"/>
          </w:tcPr>
          <w:p>
            <w:pPr>
              <w:pStyle w:val="100"/>
              <w:bidi w:val="0"/>
            </w:pPr>
            <w:r>
              <w:rPr>
                <w:rFonts w:hint="eastAsia"/>
              </w:rPr>
              <w:t>非甲烷总烃</w:t>
            </w:r>
          </w:p>
        </w:tc>
        <w:tc>
          <w:tcPr>
            <w:tcW w:w="1392" w:type="pct"/>
            <w:shd w:val="clear" w:color="auto" w:fill="auto"/>
            <w:vAlign w:val="center"/>
          </w:tcPr>
          <w:p>
            <w:pPr>
              <w:pStyle w:val="100"/>
              <w:bidi w:val="0"/>
            </w:pPr>
            <w:r>
              <w:rPr>
                <w:rFonts w:hint="eastAsia"/>
              </w:rPr>
              <w:t>场地通风、周围加强绿化</w:t>
            </w:r>
          </w:p>
        </w:tc>
        <w:tc>
          <w:tcPr>
            <w:tcW w:w="1145" w:type="pct"/>
            <w:tcBorders>
              <w:right w:val="nil"/>
            </w:tcBorders>
            <w:vAlign w:val="center"/>
          </w:tcPr>
          <w:p>
            <w:pPr>
              <w:pStyle w:val="100"/>
              <w:bidi w:val="0"/>
            </w:pPr>
            <w:r>
              <w:rPr>
                <w:rFonts w:hint="eastAsia"/>
              </w:rPr>
              <w:t>达到相应的无组织监控浓度限值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61" w:type="pct"/>
            <w:tcBorders>
              <w:left w:val="nil"/>
            </w:tcBorders>
            <w:vAlign w:val="center"/>
          </w:tcPr>
          <w:p>
            <w:pPr>
              <w:pStyle w:val="100"/>
              <w:bidi w:val="0"/>
            </w:pPr>
            <w:bookmarkStart w:id="84" w:name="_Hlk299461947"/>
            <w:r>
              <w:rPr>
                <w:rFonts w:hint="eastAsia"/>
              </w:rPr>
              <w:t>水</w:t>
            </w:r>
          </w:p>
          <w:p>
            <w:pPr>
              <w:pStyle w:val="100"/>
              <w:bidi w:val="0"/>
            </w:pPr>
            <w:r>
              <w:rPr>
                <w:rFonts w:hint="eastAsia"/>
              </w:rPr>
              <w:t>污</w:t>
            </w:r>
          </w:p>
          <w:p>
            <w:pPr>
              <w:pStyle w:val="100"/>
              <w:bidi w:val="0"/>
            </w:pPr>
            <w:r>
              <w:rPr>
                <w:rFonts w:hint="eastAsia"/>
              </w:rPr>
              <w:t>染</w:t>
            </w:r>
          </w:p>
          <w:p>
            <w:pPr>
              <w:pStyle w:val="100"/>
              <w:bidi w:val="0"/>
            </w:pPr>
            <w:r>
              <w:rPr>
                <w:rFonts w:hint="eastAsia"/>
              </w:rPr>
              <w:t>物</w:t>
            </w:r>
          </w:p>
        </w:tc>
        <w:tc>
          <w:tcPr>
            <w:tcW w:w="809" w:type="pct"/>
            <w:vAlign w:val="center"/>
          </w:tcPr>
          <w:p>
            <w:pPr>
              <w:pStyle w:val="100"/>
              <w:bidi w:val="0"/>
            </w:pPr>
            <w:r>
              <w:rPr>
                <w:rFonts w:hint="eastAsia"/>
              </w:rPr>
              <w:t>生活污水</w:t>
            </w:r>
          </w:p>
        </w:tc>
        <w:tc>
          <w:tcPr>
            <w:tcW w:w="991" w:type="pct"/>
            <w:vAlign w:val="center"/>
          </w:tcPr>
          <w:p>
            <w:pPr>
              <w:pStyle w:val="100"/>
              <w:bidi w:val="0"/>
            </w:pPr>
            <w:r>
              <w:rPr>
                <w:rFonts w:hint="eastAsia"/>
              </w:rPr>
              <w:t>COD</w:t>
            </w:r>
          </w:p>
          <w:p>
            <w:pPr>
              <w:pStyle w:val="100"/>
              <w:bidi w:val="0"/>
            </w:pPr>
            <w:r>
              <w:rPr>
                <w:rFonts w:hint="eastAsia"/>
              </w:rPr>
              <w:t>SS</w:t>
            </w:r>
          </w:p>
          <w:p>
            <w:pPr>
              <w:pStyle w:val="100"/>
              <w:bidi w:val="0"/>
            </w:pPr>
            <w:r>
              <w:rPr>
                <w:rFonts w:hint="eastAsia"/>
              </w:rPr>
              <w:t>氨氮</w:t>
            </w:r>
          </w:p>
          <w:p>
            <w:pPr>
              <w:pStyle w:val="100"/>
              <w:bidi w:val="0"/>
            </w:pPr>
            <w:r>
              <w:rPr>
                <w:rFonts w:hint="eastAsia"/>
              </w:rPr>
              <w:t>总氮</w:t>
            </w:r>
          </w:p>
          <w:p>
            <w:pPr>
              <w:pStyle w:val="100"/>
              <w:bidi w:val="0"/>
            </w:pPr>
            <w:r>
              <w:rPr>
                <w:rFonts w:hint="eastAsia"/>
              </w:rPr>
              <w:t>总磷</w:t>
            </w:r>
          </w:p>
        </w:tc>
        <w:tc>
          <w:tcPr>
            <w:tcW w:w="1392" w:type="pct"/>
            <w:shd w:val="clear" w:color="auto" w:fill="auto"/>
            <w:vAlign w:val="center"/>
          </w:tcPr>
          <w:p>
            <w:pPr>
              <w:pStyle w:val="100"/>
              <w:bidi w:val="0"/>
            </w:pPr>
            <w:r>
              <w:rPr>
                <w:rFonts w:hint="eastAsia"/>
              </w:rPr>
              <w:t>经</w:t>
            </w:r>
            <w:r>
              <w:rPr>
                <w:rFonts w:hint="eastAsia"/>
                <w:lang w:val="en-US" w:eastAsia="zh-CN"/>
              </w:rPr>
              <w:t>市政管网</w:t>
            </w:r>
            <w:r>
              <w:rPr>
                <w:rFonts w:hint="eastAsia"/>
              </w:rPr>
              <w:t>后接管至吴江经济技术开发区运东污水处理厂处理</w:t>
            </w:r>
          </w:p>
        </w:tc>
        <w:tc>
          <w:tcPr>
            <w:tcW w:w="1145" w:type="pct"/>
            <w:tcBorders>
              <w:right w:val="nil"/>
            </w:tcBorders>
            <w:shd w:val="clear" w:color="auto" w:fill="auto"/>
            <w:vAlign w:val="center"/>
          </w:tcPr>
          <w:p>
            <w:pPr>
              <w:pStyle w:val="100"/>
              <w:bidi w:val="0"/>
            </w:pPr>
            <w:r>
              <w:rPr>
                <w:rFonts w:hint="eastAsia"/>
              </w:rPr>
              <w:t>达到GB8978-1996三级标准要求纳管，尾水排放执行DB32/1072-2007</w:t>
            </w:r>
          </w:p>
        </w:tc>
      </w:tr>
      <w:bookmarkEnd w:id="8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661" w:type="pct"/>
            <w:tcBorders>
              <w:left w:val="nil"/>
            </w:tcBorders>
            <w:vAlign w:val="center"/>
          </w:tcPr>
          <w:p>
            <w:pPr>
              <w:pStyle w:val="100"/>
              <w:bidi w:val="0"/>
            </w:pPr>
            <w:r>
              <w:rPr>
                <w:rFonts w:hint="eastAsia"/>
              </w:rPr>
              <w:t>电离辐射和电磁辐射</w:t>
            </w:r>
          </w:p>
        </w:tc>
        <w:tc>
          <w:tcPr>
            <w:tcW w:w="4338" w:type="pct"/>
            <w:gridSpan w:val="4"/>
            <w:tcBorders>
              <w:right w:val="nil"/>
            </w:tcBorders>
            <w:vAlign w:val="center"/>
          </w:tcPr>
          <w:p>
            <w:pPr>
              <w:pStyle w:val="100"/>
              <w:bidi w:val="0"/>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restart"/>
            <w:tcBorders>
              <w:left w:val="nil"/>
            </w:tcBorders>
            <w:vAlign w:val="center"/>
          </w:tcPr>
          <w:p>
            <w:pPr>
              <w:pStyle w:val="100"/>
              <w:bidi w:val="0"/>
              <w:rPr>
                <w:rFonts w:hint="eastAsia"/>
              </w:rPr>
            </w:pPr>
            <w:r>
              <w:rPr>
                <w:rFonts w:hint="eastAsia"/>
              </w:rPr>
              <w:t>固</w:t>
            </w:r>
          </w:p>
          <w:p>
            <w:pPr>
              <w:pStyle w:val="100"/>
              <w:bidi w:val="0"/>
              <w:rPr>
                <w:rFonts w:hint="eastAsia"/>
              </w:rPr>
            </w:pPr>
            <w:r>
              <w:rPr>
                <w:rFonts w:hint="eastAsia"/>
              </w:rPr>
              <w:t>体</w:t>
            </w:r>
          </w:p>
          <w:p>
            <w:pPr>
              <w:pStyle w:val="100"/>
              <w:bidi w:val="0"/>
              <w:rPr>
                <w:rFonts w:hint="eastAsia"/>
              </w:rPr>
            </w:pPr>
            <w:r>
              <w:rPr>
                <w:rFonts w:hint="eastAsia"/>
              </w:rPr>
              <w:t>废</w:t>
            </w:r>
          </w:p>
          <w:p>
            <w:pPr>
              <w:pStyle w:val="100"/>
              <w:bidi w:val="0"/>
            </w:pPr>
            <w:r>
              <w:rPr>
                <w:rFonts w:hint="eastAsia"/>
              </w:rPr>
              <w:t>物</w:t>
            </w:r>
          </w:p>
        </w:tc>
        <w:tc>
          <w:tcPr>
            <w:tcW w:w="809" w:type="pct"/>
            <w:vAlign w:val="center"/>
          </w:tcPr>
          <w:p>
            <w:pPr>
              <w:pStyle w:val="100"/>
              <w:bidi w:val="0"/>
            </w:pPr>
            <w:r>
              <w:rPr>
                <w:rFonts w:hint="eastAsia"/>
              </w:rPr>
              <w:t>职工生活</w:t>
            </w:r>
          </w:p>
        </w:tc>
        <w:tc>
          <w:tcPr>
            <w:tcW w:w="991" w:type="pct"/>
            <w:shd w:val="clear" w:color="auto" w:fill="auto"/>
            <w:vAlign w:val="center"/>
          </w:tcPr>
          <w:p>
            <w:pPr>
              <w:pStyle w:val="100"/>
              <w:bidi w:val="0"/>
            </w:pPr>
            <w:r>
              <w:rPr>
                <w:rFonts w:hint="eastAsia"/>
              </w:rPr>
              <w:t>生活垃圾</w:t>
            </w:r>
          </w:p>
        </w:tc>
        <w:tc>
          <w:tcPr>
            <w:tcW w:w="1392" w:type="pct"/>
            <w:shd w:val="clear" w:color="auto" w:fill="auto"/>
            <w:vAlign w:val="center"/>
          </w:tcPr>
          <w:p>
            <w:pPr>
              <w:pStyle w:val="100"/>
              <w:bidi w:val="0"/>
            </w:pPr>
            <w:r>
              <w:rPr>
                <w:rFonts w:hint="eastAsia"/>
              </w:rPr>
              <w:t>环卫清运</w:t>
            </w:r>
          </w:p>
        </w:tc>
        <w:tc>
          <w:tcPr>
            <w:tcW w:w="1145" w:type="pct"/>
            <w:tcBorders>
              <w:right w:val="nil"/>
            </w:tcBorders>
            <w:shd w:val="clear" w:color="auto" w:fill="auto"/>
            <w:vAlign w:val="center"/>
          </w:tcPr>
          <w:p>
            <w:pPr>
              <w:pStyle w:val="100"/>
              <w:bidi w:val="0"/>
            </w:pPr>
            <w:r>
              <w:rPr>
                <w:rFonts w:hint="eastAsia"/>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continue"/>
            <w:tcBorders>
              <w:left w:val="nil"/>
            </w:tcBorders>
            <w:vAlign w:val="center"/>
          </w:tcPr>
          <w:p>
            <w:pPr>
              <w:pStyle w:val="100"/>
              <w:bidi w:val="0"/>
              <w:rPr>
                <w:rFonts w:hint="eastAsia"/>
              </w:rPr>
            </w:pPr>
          </w:p>
        </w:tc>
        <w:tc>
          <w:tcPr>
            <w:tcW w:w="809" w:type="pct"/>
            <w:vAlign w:val="center"/>
          </w:tcPr>
          <w:p>
            <w:pPr>
              <w:pStyle w:val="100"/>
              <w:bidi w:val="0"/>
              <w:rPr>
                <w:rFonts w:hint="eastAsia"/>
                <w:lang w:val="en-US" w:eastAsia="zh-CN"/>
              </w:rPr>
            </w:pPr>
            <w:r>
              <w:rPr>
                <w:rFonts w:hint="eastAsia"/>
                <w:lang w:val="en-US" w:eastAsia="zh-CN"/>
              </w:rPr>
              <w:t>印刷</w:t>
            </w:r>
          </w:p>
        </w:tc>
        <w:tc>
          <w:tcPr>
            <w:tcW w:w="991" w:type="pct"/>
            <w:shd w:val="clear" w:color="auto" w:fill="auto"/>
            <w:vAlign w:val="center"/>
          </w:tcPr>
          <w:p>
            <w:pPr>
              <w:pStyle w:val="100"/>
              <w:bidi w:val="0"/>
              <w:rPr>
                <w:rFonts w:hint="default"/>
                <w:lang w:val="en-US" w:eastAsia="zh-CN"/>
              </w:rPr>
            </w:pPr>
            <w:r>
              <w:rPr>
                <w:rFonts w:hint="eastAsia"/>
                <w:lang w:val="en-US" w:eastAsia="zh-CN"/>
              </w:rPr>
              <w:t>废油墨罐</w:t>
            </w:r>
          </w:p>
        </w:tc>
        <w:tc>
          <w:tcPr>
            <w:tcW w:w="1392" w:type="pct"/>
            <w:shd w:val="clear" w:color="auto" w:fill="auto"/>
            <w:vAlign w:val="center"/>
          </w:tcPr>
          <w:p>
            <w:pPr>
              <w:pStyle w:val="100"/>
              <w:bidi w:val="0"/>
              <w:rPr>
                <w:rFonts w:hint="eastAsia"/>
                <w:lang w:val="en-US" w:eastAsia="zh-CN"/>
              </w:rPr>
            </w:pPr>
            <w:r>
              <w:rPr>
                <w:rFonts w:hint="eastAsia"/>
                <w:lang w:val="en-US" w:eastAsia="zh-CN"/>
              </w:rPr>
              <w:t>有资质单位处置</w:t>
            </w:r>
          </w:p>
        </w:tc>
        <w:tc>
          <w:tcPr>
            <w:tcW w:w="1145" w:type="pct"/>
            <w:tcBorders>
              <w:right w:val="nil"/>
            </w:tcBorders>
            <w:shd w:val="clear" w:color="auto" w:fill="auto"/>
            <w:vAlign w:val="center"/>
          </w:tcPr>
          <w:p>
            <w:pPr>
              <w:pStyle w:val="100"/>
              <w:bidi w:val="0"/>
              <w:rPr>
                <w:rFonts w:hint="eastAsia"/>
                <w:lang w:val="en-US" w:eastAsia="zh-CN"/>
              </w:rPr>
            </w:pPr>
            <w:r>
              <w:rPr>
                <w:rFonts w:hint="eastAsia"/>
                <w:lang w:val="en-US" w:eastAsia="zh-CN"/>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continue"/>
            <w:tcBorders>
              <w:left w:val="nil"/>
            </w:tcBorders>
            <w:vAlign w:val="center"/>
          </w:tcPr>
          <w:p>
            <w:pPr>
              <w:pStyle w:val="100"/>
              <w:bidi w:val="0"/>
              <w:rPr>
                <w:rFonts w:hint="eastAsia"/>
              </w:rPr>
            </w:pPr>
          </w:p>
        </w:tc>
        <w:tc>
          <w:tcPr>
            <w:tcW w:w="809" w:type="pct"/>
            <w:vAlign w:val="center"/>
          </w:tcPr>
          <w:p>
            <w:pPr>
              <w:pStyle w:val="100"/>
              <w:bidi w:val="0"/>
              <w:rPr>
                <w:rFonts w:hint="eastAsia"/>
                <w:lang w:val="en-US" w:eastAsia="zh-CN"/>
              </w:rPr>
            </w:pPr>
            <w:r>
              <w:rPr>
                <w:rFonts w:hint="eastAsia"/>
                <w:lang w:val="en-US" w:eastAsia="zh-CN"/>
              </w:rPr>
              <w:t>印刷</w:t>
            </w:r>
          </w:p>
        </w:tc>
        <w:tc>
          <w:tcPr>
            <w:tcW w:w="991" w:type="pct"/>
            <w:shd w:val="clear" w:color="auto" w:fill="auto"/>
            <w:vAlign w:val="center"/>
          </w:tcPr>
          <w:p>
            <w:pPr>
              <w:pStyle w:val="100"/>
              <w:bidi w:val="0"/>
              <w:rPr>
                <w:rFonts w:hint="eastAsia"/>
                <w:lang w:val="en-US" w:eastAsia="zh-CN"/>
              </w:rPr>
            </w:pPr>
            <w:r>
              <w:rPr>
                <w:rFonts w:hint="eastAsia"/>
                <w:lang w:val="en-US" w:eastAsia="zh-CN"/>
              </w:rPr>
              <w:t>废胶水罐</w:t>
            </w:r>
          </w:p>
        </w:tc>
        <w:tc>
          <w:tcPr>
            <w:tcW w:w="1392" w:type="pct"/>
            <w:shd w:val="clear" w:color="auto" w:fill="auto"/>
            <w:vAlign w:val="center"/>
          </w:tcPr>
          <w:p>
            <w:pPr>
              <w:pStyle w:val="100"/>
              <w:bidi w:val="0"/>
              <w:rPr>
                <w:rFonts w:hint="eastAsia"/>
                <w:lang w:val="en-US" w:eastAsia="zh-CN"/>
              </w:rPr>
            </w:pPr>
            <w:r>
              <w:rPr>
                <w:rFonts w:hint="eastAsia"/>
                <w:lang w:val="en-US" w:eastAsia="zh-CN"/>
              </w:rPr>
              <w:t>有资质单位处置</w:t>
            </w:r>
          </w:p>
        </w:tc>
        <w:tc>
          <w:tcPr>
            <w:tcW w:w="1145" w:type="pct"/>
            <w:tcBorders>
              <w:right w:val="nil"/>
            </w:tcBorders>
            <w:shd w:val="clear" w:color="auto" w:fill="auto"/>
            <w:vAlign w:val="center"/>
          </w:tcPr>
          <w:p>
            <w:pPr>
              <w:pStyle w:val="100"/>
              <w:bidi w:val="0"/>
              <w:rPr>
                <w:rFonts w:hint="eastAsia"/>
                <w:lang w:val="en-US" w:eastAsia="zh-CN"/>
              </w:rPr>
            </w:pPr>
            <w:r>
              <w:rPr>
                <w:rFonts w:hint="eastAsia"/>
                <w:lang w:val="en-US" w:eastAsia="zh-CN"/>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continue"/>
            <w:tcBorders>
              <w:left w:val="nil"/>
            </w:tcBorders>
            <w:vAlign w:val="center"/>
          </w:tcPr>
          <w:p>
            <w:pPr>
              <w:pStyle w:val="100"/>
              <w:bidi w:val="0"/>
              <w:rPr>
                <w:rFonts w:hint="eastAsia"/>
              </w:rPr>
            </w:pPr>
          </w:p>
        </w:tc>
        <w:tc>
          <w:tcPr>
            <w:tcW w:w="809" w:type="pct"/>
            <w:vAlign w:val="center"/>
          </w:tcPr>
          <w:p>
            <w:pPr>
              <w:pStyle w:val="100"/>
              <w:bidi w:val="0"/>
              <w:rPr>
                <w:rFonts w:hint="default"/>
                <w:lang w:val="en-US" w:eastAsia="zh-CN"/>
              </w:rPr>
            </w:pPr>
            <w:r>
              <w:rPr>
                <w:rFonts w:hint="eastAsia"/>
                <w:lang w:val="en-US" w:eastAsia="zh-CN"/>
              </w:rPr>
              <w:t>检验</w:t>
            </w:r>
          </w:p>
        </w:tc>
        <w:tc>
          <w:tcPr>
            <w:tcW w:w="991" w:type="pct"/>
            <w:shd w:val="clear" w:color="auto" w:fill="auto"/>
            <w:vAlign w:val="center"/>
          </w:tcPr>
          <w:p>
            <w:pPr>
              <w:pStyle w:val="100"/>
              <w:bidi w:val="0"/>
              <w:rPr>
                <w:rFonts w:hint="eastAsia"/>
                <w:lang w:val="en-US" w:eastAsia="zh-CN"/>
              </w:rPr>
            </w:pPr>
            <w:r>
              <w:rPr>
                <w:rFonts w:hint="eastAsia"/>
                <w:lang w:val="en-US" w:eastAsia="zh-CN"/>
              </w:rPr>
              <w:t>不合格品</w:t>
            </w:r>
          </w:p>
        </w:tc>
        <w:tc>
          <w:tcPr>
            <w:tcW w:w="1392" w:type="pct"/>
            <w:shd w:val="clear" w:color="auto" w:fill="auto"/>
            <w:vAlign w:val="center"/>
          </w:tcPr>
          <w:p>
            <w:pPr>
              <w:pStyle w:val="100"/>
              <w:bidi w:val="0"/>
              <w:rPr>
                <w:rFonts w:hint="eastAsia"/>
              </w:rPr>
            </w:pPr>
            <w:r>
              <w:rPr>
                <w:rFonts w:hint="eastAsia"/>
                <w:lang w:val="en-US" w:eastAsia="zh-CN"/>
              </w:rPr>
              <w:t>外售</w:t>
            </w:r>
          </w:p>
        </w:tc>
        <w:tc>
          <w:tcPr>
            <w:tcW w:w="1145" w:type="pct"/>
            <w:tcBorders>
              <w:right w:val="nil"/>
            </w:tcBorders>
            <w:shd w:val="clear" w:color="auto" w:fill="auto"/>
            <w:vAlign w:val="center"/>
          </w:tcPr>
          <w:p>
            <w:pPr>
              <w:pStyle w:val="100"/>
              <w:bidi w:val="0"/>
              <w:rPr>
                <w:rFonts w:hint="eastAsia"/>
                <w:lang w:val="en-US" w:eastAsia="zh-CN"/>
              </w:rPr>
            </w:pPr>
            <w:r>
              <w:rPr>
                <w:rFonts w:hint="eastAsia"/>
                <w:lang w:val="en-US" w:eastAsia="zh-CN"/>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continue"/>
            <w:tcBorders>
              <w:left w:val="nil"/>
            </w:tcBorders>
            <w:vAlign w:val="center"/>
          </w:tcPr>
          <w:p>
            <w:pPr>
              <w:pStyle w:val="100"/>
              <w:bidi w:val="0"/>
              <w:rPr>
                <w:rFonts w:hint="eastAsia"/>
              </w:rPr>
            </w:pPr>
          </w:p>
        </w:tc>
        <w:tc>
          <w:tcPr>
            <w:tcW w:w="809" w:type="pct"/>
            <w:vAlign w:val="center"/>
          </w:tcPr>
          <w:p>
            <w:pPr>
              <w:pStyle w:val="100"/>
              <w:bidi w:val="0"/>
              <w:rPr>
                <w:rFonts w:hint="eastAsia"/>
                <w:lang w:val="en-US" w:eastAsia="zh-CN"/>
              </w:rPr>
            </w:pPr>
            <w:r>
              <w:rPr>
                <w:rFonts w:hint="eastAsia"/>
                <w:lang w:val="en-US" w:eastAsia="zh-CN"/>
              </w:rPr>
              <w:t>模切</w:t>
            </w:r>
          </w:p>
        </w:tc>
        <w:tc>
          <w:tcPr>
            <w:tcW w:w="991" w:type="pct"/>
            <w:shd w:val="clear" w:color="auto" w:fill="auto"/>
            <w:vAlign w:val="center"/>
          </w:tcPr>
          <w:p>
            <w:pPr>
              <w:pStyle w:val="100"/>
              <w:bidi w:val="0"/>
              <w:rPr>
                <w:rFonts w:hint="eastAsia"/>
                <w:lang w:val="en-US" w:eastAsia="zh-CN"/>
              </w:rPr>
            </w:pPr>
            <w:r>
              <w:rPr>
                <w:rFonts w:hint="eastAsia"/>
                <w:lang w:val="en-US" w:eastAsia="zh-CN"/>
              </w:rPr>
              <w:t>边角料</w:t>
            </w:r>
          </w:p>
        </w:tc>
        <w:tc>
          <w:tcPr>
            <w:tcW w:w="1392" w:type="pct"/>
            <w:shd w:val="clear" w:color="auto" w:fill="auto"/>
            <w:vAlign w:val="center"/>
          </w:tcPr>
          <w:p>
            <w:pPr>
              <w:pStyle w:val="100"/>
              <w:bidi w:val="0"/>
              <w:rPr>
                <w:rFonts w:hint="eastAsia"/>
                <w:lang w:val="en-US" w:eastAsia="zh-CN"/>
              </w:rPr>
            </w:pPr>
            <w:r>
              <w:rPr>
                <w:rFonts w:hint="eastAsia"/>
                <w:lang w:val="en-US" w:eastAsia="zh-CN"/>
              </w:rPr>
              <w:t>外售</w:t>
            </w:r>
          </w:p>
        </w:tc>
        <w:tc>
          <w:tcPr>
            <w:tcW w:w="1145" w:type="pct"/>
            <w:tcBorders>
              <w:right w:val="nil"/>
            </w:tcBorders>
            <w:shd w:val="clear" w:color="auto" w:fill="auto"/>
            <w:vAlign w:val="center"/>
          </w:tcPr>
          <w:p>
            <w:pPr>
              <w:pStyle w:val="100"/>
              <w:bidi w:val="0"/>
              <w:rPr>
                <w:rFonts w:hint="eastAsia"/>
                <w:lang w:val="en-US" w:eastAsia="zh-CN"/>
              </w:rPr>
            </w:pPr>
            <w:r>
              <w:rPr>
                <w:rFonts w:hint="eastAsia"/>
                <w:lang w:val="en-US" w:eastAsia="zh-CN"/>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continue"/>
            <w:tcBorders>
              <w:left w:val="nil"/>
            </w:tcBorders>
            <w:vAlign w:val="center"/>
          </w:tcPr>
          <w:p>
            <w:pPr>
              <w:pStyle w:val="100"/>
              <w:bidi w:val="0"/>
              <w:rPr>
                <w:rFonts w:hint="eastAsia"/>
              </w:rPr>
            </w:pPr>
          </w:p>
        </w:tc>
        <w:tc>
          <w:tcPr>
            <w:tcW w:w="809" w:type="pct"/>
            <w:vAlign w:val="center"/>
          </w:tcPr>
          <w:p>
            <w:pPr>
              <w:pStyle w:val="100"/>
              <w:bidi w:val="0"/>
              <w:rPr>
                <w:rFonts w:hint="eastAsia"/>
                <w:lang w:val="en-US" w:eastAsia="zh-CN"/>
              </w:rPr>
            </w:pPr>
            <w:r>
              <w:rPr>
                <w:rFonts w:hint="eastAsia"/>
                <w:lang w:val="en-US" w:eastAsia="zh-CN"/>
              </w:rPr>
              <w:t>擦拭</w:t>
            </w:r>
          </w:p>
        </w:tc>
        <w:tc>
          <w:tcPr>
            <w:tcW w:w="991" w:type="pct"/>
            <w:shd w:val="clear" w:color="auto" w:fill="auto"/>
            <w:vAlign w:val="center"/>
          </w:tcPr>
          <w:p>
            <w:pPr>
              <w:pStyle w:val="100"/>
              <w:bidi w:val="0"/>
              <w:rPr>
                <w:rFonts w:hint="eastAsia"/>
                <w:lang w:val="en-US" w:eastAsia="zh-CN"/>
              </w:rPr>
            </w:pPr>
            <w:r>
              <w:rPr>
                <w:rFonts w:hint="eastAsia"/>
                <w:lang w:val="en-US" w:eastAsia="zh-CN"/>
              </w:rPr>
              <w:t>废抹布</w:t>
            </w:r>
          </w:p>
        </w:tc>
        <w:tc>
          <w:tcPr>
            <w:tcW w:w="1392" w:type="pct"/>
            <w:shd w:val="clear" w:color="auto" w:fill="auto"/>
            <w:vAlign w:val="center"/>
          </w:tcPr>
          <w:p>
            <w:pPr>
              <w:pStyle w:val="100"/>
              <w:bidi w:val="0"/>
              <w:rPr>
                <w:rFonts w:hint="eastAsia"/>
                <w:lang w:val="en-US" w:eastAsia="zh-CN"/>
              </w:rPr>
            </w:pPr>
            <w:r>
              <w:rPr>
                <w:rFonts w:hint="eastAsia"/>
                <w:lang w:val="en-US" w:eastAsia="zh-CN"/>
              </w:rPr>
              <w:t>有资质单位处置</w:t>
            </w:r>
          </w:p>
        </w:tc>
        <w:tc>
          <w:tcPr>
            <w:tcW w:w="1145" w:type="pct"/>
            <w:tcBorders>
              <w:right w:val="nil"/>
            </w:tcBorders>
            <w:shd w:val="clear" w:color="auto" w:fill="auto"/>
            <w:vAlign w:val="center"/>
          </w:tcPr>
          <w:p>
            <w:pPr>
              <w:pStyle w:val="100"/>
              <w:bidi w:val="0"/>
              <w:rPr>
                <w:rFonts w:hint="eastAsia"/>
                <w:lang w:val="en-US" w:eastAsia="zh-CN"/>
              </w:rPr>
            </w:pPr>
            <w:r>
              <w:rPr>
                <w:rFonts w:hint="eastAsia"/>
                <w:lang w:val="en-US" w:eastAsia="zh-CN"/>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continue"/>
            <w:tcBorders>
              <w:left w:val="nil"/>
            </w:tcBorders>
            <w:vAlign w:val="center"/>
          </w:tcPr>
          <w:p>
            <w:pPr>
              <w:pStyle w:val="100"/>
              <w:bidi w:val="0"/>
              <w:rPr>
                <w:rFonts w:hint="eastAsia"/>
              </w:rPr>
            </w:pPr>
          </w:p>
        </w:tc>
        <w:tc>
          <w:tcPr>
            <w:tcW w:w="809" w:type="pct"/>
            <w:vAlign w:val="center"/>
          </w:tcPr>
          <w:p>
            <w:pPr>
              <w:pStyle w:val="100"/>
              <w:bidi w:val="0"/>
              <w:rPr>
                <w:rFonts w:hint="eastAsia"/>
                <w:lang w:val="en-US" w:eastAsia="zh-CN"/>
              </w:rPr>
            </w:pPr>
            <w:r>
              <w:rPr>
                <w:rFonts w:hint="eastAsia"/>
                <w:lang w:val="en-US" w:eastAsia="zh-CN"/>
              </w:rPr>
              <w:t>废气治理</w:t>
            </w:r>
          </w:p>
        </w:tc>
        <w:tc>
          <w:tcPr>
            <w:tcW w:w="991" w:type="pct"/>
            <w:shd w:val="clear" w:color="auto" w:fill="auto"/>
            <w:vAlign w:val="center"/>
          </w:tcPr>
          <w:p>
            <w:pPr>
              <w:pStyle w:val="100"/>
              <w:bidi w:val="0"/>
              <w:rPr>
                <w:rFonts w:hint="eastAsia"/>
                <w:lang w:val="en-US" w:eastAsia="zh-CN"/>
              </w:rPr>
            </w:pPr>
            <w:r>
              <w:rPr>
                <w:rFonts w:hint="eastAsia"/>
                <w:lang w:val="en-US" w:eastAsia="zh-CN"/>
              </w:rPr>
              <w:t>废活性炭</w:t>
            </w:r>
          </w:p>
        </w:tc>
        <w:tc>
          <w:tcPr>
            <w:tcW w:w="1392" w:type="pct"/>
            <w:shd w:val="clear" w:color="auto" w:fill="auto"/>
            <w:vAlign w:val="center"/>
          </w:tcPr>
          <w:p>
            <w:pPr>
              <w:pStyle w:val="100"/>
              <w:bidi w:val="0"/>
              <w:rPr>
                <w:rFonts w:hint="default"/>
                <w:lang w:val="en-US" w:eastAsia="zh-CN"/>
              </w:rPr>
            </w:pPr>
            <w:r>
              <w:rPr>
                <w:rFonts w:hint="eastAsia"/>
                <w:lang w:val="en-US" w:eastAsia="zh-CN"/>
              </w:rPr>
              <w:t>有资质单位处置</w:t>
            </w:r>
          </w:p>
        </w:tc>
        <w:tc>
          <w:tcPr>
            <w:tcW w:w="1145" w:type="pct"/>
            <w:tcBorders>
              <w:right w:val="nil"/>
            </w:tcBorders>
            <w:shd w:val="clear" w:color="auto" w:fill="auto"/>
            <w:vAlign w:val="center"/>
          </w:tcPr>
          <w:p>
            <w:pPr>
              <w:pStyle w:val="100"/>
              <w:bidi w:val="0"/>
              <w:rPr>
                <w:rFonts w:hint="eastAsia"/>
                <w:lang w:val="en-US" w:eastAsia="zh-CN"/>
              </w:rPr>
            </w:pPr>
            <w:r>
              <w:rPr>
                <w:rFonts w:hint="eastAsia"/>
                <w:lang w:val="en-US" w:eastAsia="zh-CN"/>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vMerge w:val="continue"/>
            <w:tcBorders>
              <w:left w:val="nil"/>
            </w:tcBorders>
            <w:vAlign w:val="center"/>
          </w:tcPr>
          <w:p>
            <w:pPr>
              <w:pStyle w:val="100"/>
              <w:bidi w:val="0"/>
              <w:rPr>
                <w:rFonts w:hint="eastAsia"/>
              </w:rPr>
            </w:pPr>
          </w:p>
        </w:tc>
        <w:tc>
          <w:tcPr>
            <w:tcW w:w="809" w:type="pct"/>
            <w:vAlign w:val="center"/>
          </w:tcPr>
          <w:p>
            <w:pPr>
              <w:pStyle w:val="100"/>
              <w:bidi w:val="0"/>
              <w:rPr>
                <w:rFonts w:hint="eastAsia"/>
                <w:lang w:val="en-US" w:eastAsia="zh-CN"/>
              </w:rPr>
            </w:pPr>
            <w:r>
              <w:rPr>
                <w:rFonts w:hint="eastAsia"/>
                <w:lang w:val="en-US" w:eastAsia="zh-CN"/>
              </w:rPr>
              <w:t>包装</w:t>
            </w:r>
          </w:p>
        </w:tc>
        <w:tc>
          <w:tcPr>
            <w:tcW w:w="991" w:type="pct"/>
            <w:shd w:val="clear" w:color="auto" w:fill="auto"/>
            <w:vAlign w:val="center"/>
          </w:tcPr>
          <w:p>
            <w:pPr>
              <w:pStyle w:val="100"/>
              <w:bidi w:val="0"/>
              <w:rPr>
                <w:rFonts w:hint="eastAsia"/>
                <w:lang w:val="en-US" w:eastAsia="zh-CN"/>
              </w:rPr>
            </w:pPr>
            <w:r>
              <w:rPr>
                <w:rFonts w:hint="eastAsia"/>
                <w:lang w:val="en-US" w:eastAsia="zh-CN"/>
              </w:rPr>
              <w:t>废纸箱</w:t>
            </w:r>
          </w:p>
        </w:tc>
        <w:tc>
          <w:tcPr>
            <w:tcW w:w="1392" w:type="pct"/>
            <w:shd w:val="clear" w:color="auto" w:fill="auto"/>
            <w:vAlign w:val="center"/>
          </w:tcPr>
          <w:p>
            <w:pPr>
              <w:pStyle w:val="100"/>
              <w:bidi w:val="0"/>
              <w:rPr>
                <w:rFonts w:hint="eastAsia"/>
                <w:lang w:val="en-US" w:eastAsia="zh-CN"/>
              </w:rPr>
            </w:pPr>
            <w:r>
              <w:rPr>
                <w:rFonts w:hint="eastAsia"/>
                <w:lang w:val="en-US" w:eastAsia="zh-CN"/>
              </w:rPr>
              <w:t>外售</w:t>
            </w:r>
          </w:p>
        </w:tc>
        <w:tc>
          <w:tcPr>
            <w:tcW w:w="1145" w:type="pct"/>
            <w:tcBorders>
              <w:right w:val="nil"/>
            </w:tcBorders>
            <w:shd w:val="clear" w:color="auto" w:fill="auto"/>
            <w:vAlign w:val="center"/>
          </w:tcPr>
          <w:p>
            <w:pPr>
              <w:pStyle w:val="100"/>
              <w:bidi w:val="0"/>
              <w:rPr>
                <w:rFonts w:hint="eastAsia"/>
                <w:lang w:val="en-US" w:eastAsia="zh-CN"/>
              </w:rPr>
            </w:pPr>
            <w:r>
              <w:rPr>
                <w:rFonts w:hint="eastAsia"/>
                <w:lang w:val="en-US" w:eastAsia="zh-CN"/>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tcBorders>
              <w:left w:val="nil"/>
            </w:tcBorders>
            <w:vAlign w:val="center"/>
          </w:tcPr>
          <w:p>
            <w:pPr>
              <w:pStyle w:val="100"/>
              <w:bidi w:val="0"/>
            </w:pPr>
            <w:r>
              <w:rPr>
                <w:rFonts w:hint="eastAsia"/>
              </w:rPr>
              <w:t>噪</w:t>
            </w:r>
          </w:p>
          <w:p>
            <w:pPr>
              <w:pStyle w:val="100"/>
              <w:bidi w:val="0"/>
              <w:rPr>
                <w:rFonts w:hint="eastAsia"/>
              </w:rPr>
            </w:pPr>
            <w:r>
              <w:rPr>
                <w:rFonts w:hint="eastAsia"/>
              </w:rPr>
              <w:t>声</w:t>
            </w:r>
          </w:p>
        </w:tc>
        <w:tc>
          <w:tcPr>
            <w:tcW w:w="4338" w:type="pct"/>
            <w:gridSpan w:val="4"/>
            <w:tcBorders>
              <w:right w:val="nil"/>
            </w:tcBorders>
            <w:vAlign w:val="center"/>
          </w:tcPr>
          <w:p>
            <w:pPr>
              <w:pStyle w:val="100"/>
              <w:bidi w:val="0"/>
              <w:rPr>
                <w:rFonts w:hint="eastAsia"/>
                <w:lang w:val="en-US" w:eastAsia="zh-CN"/>
              </w:rPr>
            </w:pPr>
            <w:r>
              <w:rPr>
                <w:rFonts w:hint="eastAsia"/>
              </w:rPr>
              <w:t>项目噪声源主要为机械设备运行时产生的机械噪声。企业在设备选型时选用低噪声设备，合理布局，并采取相应的控制措施，预计厂界噪声可以满足《工业企业厂界环境噪声排放标准》（GB12348-2008）3类标准，不产生噪声扰民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661" w:type="pct"/>
            <w:tcBorders>
              <w:left w:val="nil"/>
            </w:tcBorders>
            <w:vAlign w:val="center"/>
          </w:tcPr>
          <w:p>
            <w:pPr>
              <w:pStyle w:val="100"/>
              <w:bidi w:val="0"/>
            </w:pPr>
            <w:r>
              <w:rPr>
                <w:rFonts w:hint="eastAsia"/>
              </w:rPr>
              <w:t>其</w:t>
            </w:r>
          </w:p>
          <w:p>
            <w:pPr>
              <w:pStyle w:val="100"/>
              <w:bidi w:val="0"/>
              <w:rPr>
                <w:rFonts w:hint="eastAsia"/>
              </w:rPr>
            </w:pPr>
            <w:r>
              <w:rPr>
                <w:rFonts w:hint="eastAsia"/>
              </w:rPr>
              <w:t>他</w:t>
            </w:r>
          </w:p>
        </w:tc>
        <w:tc>
          <w:tcPr>
            <w:tcW w:w="4338" w:type="pct"/>
            <w:gridSpan w:val="4"/>
            <w:tcBorders>
              <w:right w:val="nil"/>
            </w:tcBorders>
            <w:vAlign w:val="center"/>
          </w:tcPr>
          <w:p>
            <w:pPr>
              <w:pStyle w:val="100"/>
              <w:bidi w:val="0"/>
              <w:rPr>
                <w:rFonts w:hint="eastAsia"/>
                <w:lang w:val="en-US" w:eastAsia="zh-CN"/>
              </w:rPr>
            </w:pPr>
            <w:r>
              <w:rPr>
                <w:rFonts w:hint="eastAsia"/>
              </w:rPr>
              <w:t>无</w:t>
            </w:r>
          </w:p>
        </w:tc>
      </w:tr>
    </w:tbl>
    <w:p>
      <w:pPr>
        <w:pStyle w:val="100"/>
        <w:bidi w:val="0"/>
      </w:pPr>
      <w:r>
        <w:t>生态保护措施及预期效果</w:t>
      </w:r>
    </w:p>
    <w:tbl>
      <w:tblPr>
        <w:tblStyle w:val="87"/>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96" w:hRule="atLeast"/>
          <w:jc w:val="center"/>
        </w:trPr>
        <w:tc>
          <w:tcPr>
            <w:tcW w:w="5000" w:type="pct"/>
            <w:tcBorders>
              <w:left w:val="nil"/>
              <w:bottom w:val="nil"/>
              <w:right w:val="nil"/>
            </w:tcBorders>
          </w:tcPr>
          <w:p>
            <w:pPr>
              <w:pStyle w:val="103"/>
              <w:ind w:left="0" w:leftChars="0" w:firstLine="0" w:firstLineChars="0"/>
            </w:pPr>
          </w:p>
        </w:tc>
      </w:tr>
    </w:tbl>
    <w:p>
      <w:pPr>
        <w:pStyle w:val="103"/>
        <w:ind w:left="0" w:leftChars="0" w:firstLine="0" w:firstLineChars="0"/>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pPr>
    </w:p>
    <w:p>
      <w:pPr>
        <w:pStyle w:val="102"/>
        <w:numPr>
          <w:ilvl w:val="1"/>
          <w:numId w:val="0"/>
        </w:numPr>
        <w:tabs>
          <w:tab w:val="clear" w:pos="720"/>
        </w:tabs>
        <w:ind w:leftChars="0"/>
      </w:pPr>
      <w:bookmarkStart w:id="85" w:name="_Toc307515832"/>
      <w:bookmarkStart w:id="86" w:name="_Toc307515834"/>
      <w:r>
        <mc:AlternateContent>
          <mc:Choice Requires="wps">
            <w:drawing>
              <wp:anchor distT="0" distB="0" distL="114300" distR="114300" simplePos="0" relativeHeight="251667456" behindDoc="0" locked="0" layoutInCell="1" allowOverlap="1">
                <wp:simplePos x="0" y="0"/>
                <wp:positionH relativeFrom="column">
                  <wp:posOffset>-95250</wp:posOffset>
                </wp:positionH>
                <wp:positionV relativeFrom="paragraph">
                  <wp:posOffset>-380365</wp:posOffset>
                </wp:positionV>
                <wp:extent cx="3200400" cy="393700"/>
                <wp:effectExtent l="0" t="0" r="0" b="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3200400" cy="393896"/>
                        </a:xfrm>
                        <a:prstGeom prst="rect">
                          <a:avLst/>
                        </a:prstGeom>
                        <a:solidFill>
                          <a:srgbClr val="FFFFFF">
                            <a:alpha val="0"/>
                          </a:srgbClr>
                        </a:solidFill>
                        <a:ln>
                          <a:noFill/>
                        </a:ln>
                      </wps:spPr>
                      <wps:txbx>
                        <w:txbxContent>
                          <w:p>
                            <w:pPr>
                              <w:pStyle w:val="4"/>
                              <w:numPr>
                                <w:ilvl w:val="0"/>
                                <w:numId w:val="0"/>
                              </w:numPr>
                            </w:pPr>
                            <w:bookmarkStart w:id="103" w:name="_Toc307515833"/>
                            <w:r>
                              <w:rPr>
                                <w:rFonts w:hint="eastAsia"/>
                              </w:rPr>
                              <w:t>九、结论与建议</w:t>
                            </w:r>
                            <w:bookmarkEnd w:id="103"/>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5pt;margin-top:-29.95pt;height:31pt;width:252pt;z-index:251667456;mso-width-relative:page;mso-height-relative:page;" fillcolor="#FFFFFF" filled="t" stroked="f" coordsize="21600,21600" o:gfxdata="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xJ7d2AAAAAkBAAAPAAAAAAAAAAEAIAAAACIAAABkcnMvZG93&#10;bnJldi54bWxQSwECFAAUAAAACACHTuJArANJxTkCAABdBAAADgAAAAAAAAABACAAAAAnAQAAZHJz&#10;L2Uyb0RvYy54bWxQSwUGAAAAAAYABgBZAQAA0gUAAAAA&#10;">
                <v:fill on="t" opacity="0f" focussize="0,0"/>
                <v:stroke on="f"/>
                <v:imagedata o:title=""/>
                <o:lock v:ext="edit" aspectratio="f"/>
                <v:textbox>
                  <w:txbxContent>
                    <w:p>
                      <w:pPr>
                        <w:pStyle w:val="4"/>
                        <w:numPr>
                          <w:ilvl w:val="0"/>
                          <w:numId w:val="0"/>
                        </w:numPr>
                      </w:pPr>
                      <w:bookmarkStart w:id="103" w:name="_Toc307515833"/>
                      <w:r>
                        <w:rPr>
                          <w:rFonts w:hint="eastAsia"/>
                        </w:rPr>
                        <w:t>九、结论与建议</w:t>
                      </w:r>
                      <w:bookmarkEnd w:id="103"/>
                    </w:p>
                    <w:p/>
                  </w:txbxContent>
                </v:textbox>
              </v:shape>
            </w:pict>
          </mc:Fallback>
        </mc:AlternateContent>
      </w:r>
      <w:r>
        <w:rPr>
          <w:rFonts w:hint="eastAsia" w:cs="Times New Roman"/>
          <w:sz w:val="28"/>
          <w:szCs w:val="28"/>
        </w:rPr>
        <w:t>9.1 项目基本情况</w:t>
      </w:r>
      <w:bookmarkEnd w:id="85"/>
      <w:bookmarkEnd w:id="86"/>
    </w:p>
    <w:p>
      <w:pPr>
        <w:pStyle w:val="103"/>
        <w:bidi w:val="0"/>
      </w:pPr>
      <w:bookmarkStart w:id="87" w:name="_Toc307515835"/>
      <w:r>
        <w:rPr>
          <w:rFonts w:hint="eastAsia"/>
        </w:rPr>
        <w:t>吴江高利橡塑制品有限公司“公司整体搬迁改造项目”已通过苏州市吴江区吴江经济技术开发区管理委员会备案（备案号2020-320543-39-03-673335），本项目总投资1450万元，环保投资22.8万元。项目建成后，共需职工28人，其中本项目新增职工人数0人，生产班制为两班制，每班10小时，年工作时间300天，年生产时数为6000小时。本项目位于江苏省苏州市吴江区吴江经济技术开发区吉市东路217号，该土地属于工业用地，可以作为本项目建设使用。</w:t>
      </w:r>
    </w:p>
    <w:p>
      <w:pPr>
        <w:pStyle w:val="102"/>
        <w:numPr>
          <w:ilvl w:val="1"/>
          <w:numId w:val="0"/>
        </w:numPr>
        <w:tabs>
          <w:tab w:val="clear" w:pos="720"/>
        </w:tabs>
        <w:ind w:leftChars="0"/>
        <w:rPr>
          <w:rFonts w:hint="eastAsia" w:cs="Times New Roman"/>
          <w:sz w:val="28"/>
          <w:szCs w:val="28"/>
        </w:rPr>
      </w:pPr>
      <w:r>
        <w:rPr>
          <w:rFonts w:hint="eastAsia" w:cs="Times New Roman"/>
          <w:sz w:val="28"/>
          <w:szCs w:val="28"/>
        </w:rPr>
        <w:t>9.2 产业政策相符性</w:t>
      </w:r>
    </w:p>
    <w:p>
      <w:pPr>
        <w:pStyle w:val="103"/>
        <w:bidi w:val="0"/>
      </w:pPr>
      <w:r>
        <w:t>本项目不属于国家发展和改革委员会令2019第29号《产业结构调整指导目录(2019年本)》中限制类、淘汰类项目；不属于《江苏省工业和信息产业结构调整指导目录》（2012年本）和《关于修改＜江苏省工业和信息产业结构调整指导目录（2012年本）＞部分条目的通知》（苏经信产业）[2013]183号）中鼓励类、限制类、淘汰类项目；不属于《江苏省工业和信息产业结构调整限制、淘汰目录和能耗限额》（苏政办发[2015]118号文）中规定的限制、淘汰目录和能耗限额类；亦不属于《苏州市产业发展导向目录（2007年本）》鼓励类、限制类、禁止类和淘汰类项目，故为允许类。因此，项目符合国家和地方产业政策。</w:t>
      </w:r>
    </w:p>
    <w:p>
      <w:pPr>
        <w:pStyle w:val="102"/>
        <w:numPr>
          <w:ilvl w:val="1"/>
          <w:numId w:val="0"/>
        </w:numPr>
        <w:tabs>
          <w:tab w:val="clear" w:pos="720"/>
        </w:tabs>
        <w:ind w:leftChars="0"/>
        <w:rPr>
          <w:rFonts w:hint="eastAsia" w:cs="Times New Roman"/>
          <w:sz w:val="28"/>
          <w:szCs w:val="28"/>
        </w:rPr>
      </w:pPr>
      <w:r>
        <w:rPr>
          <w:rFonts w:hint="eastAsia" w:cs="Times New Roman"/>
          <w:sz w:val="28"/>
          <w:szCs w:val="28"/>
        </w:rPr>
        <w:t>9.3 规划相容性</w:t>
      </w:r>
    </w:p>
    <w:p>
      <w:pPr>
        <w:pStyle w:val="103"/>
        <w:bidi w:val="0"/>
      </w:pPr>
      <w:r>
        <w:t>本项目选址于</w:t>
      </w:r>
      <w:r>
        <w:rPr>
          <w:rFonts w:hint="eastAsia"/>
        </w:rPr>
        <w:t>江苏省苏州市吴江区吴江经济技术开发区吉市东路217号</w:t>
      </w:r>
      <w:r>
        <w:t>，项目用地属工业用地，属于</w:t>
      </w:r>
      <w:r>
        <w:rPr>
          <w:rFonts w:hint="eastAsia"/>
        </w:rPr>
        <w:t>经济技术开发区</w:t>
      </w:r>
      <w:r>
        <w:t>，符合</w:t>
      </w:r>
      <w:r>
        <w:rPr>
          <w:rFonts w:hint="eastAsia"/>
        </w:rPr>
        <w:t>经济技术开发区</w:t>
      </w:r>
      <w:r>
        <w:t>总体规划；本项目所处位置不属于</w:t>
      </w:r>
      <w:r>
        <w:rPr>
          <w:rFonts w:hint="eastAsia"/>
        </w:rPr>
        <w:t>《江苏省生态空间管控区域规划》</w:t>
      </w:r>
      <w:r>
        <w:t>、《江苏省国家级生态保护红线规划》中的管控区，符合</w:t>
      </w:r>
      <w:r>
        <w:rPr>
          <w:rFonts w:hint="eastAsia"/>
        </w:rPr>
        <w:t>《江苏省生态空间管控区域规划》</w:t>
      </w:r>
      <w:r>
        <w:t>、《江苏省国家级生态保护红线规划》中相关规定。本项目</w:t>
      </w:r>
      <w:r>
        <w:rPr>
          <w:rFonts w:hint="eastAsia"/>
        </w:rPr>
        <w:t>无生产废水外排，</w:t>
      </w:r>
      <w:r>
        <w:t>生活污水接管至</w:t>
      </w:r>
      <w:r>
        <w:rPr>
          <w:rFonts w:hint="eastAsia"/>
        </w:rPr>
        <w:t>吴江震泽生活污水处理有限公司</w:t>
      </w:r>
      <w:r>
        <w:t>，尾水排放至</w:t>
      </w:r>
      <w:r>
        <w:rPr>
          <w:rFonts w:hint="eastAsia"/>
        </w:rPr>
        <w:t>頔塘河</w:t>
      </w:r>
      <w:r>
        <w:t>，不直接向水体排放，不新增排污口，符合《江苏省太湖水污染防治条例》和《太湖流域管理条例》中相关规定。</w:t>
      </w:r>
    </w:p>
    <w:p>
      <w:pPr>
        <w:pStyle w:val="103"/>
        <w:bidi w:val="0"/>
      </w:pPr>
      <w:r>
        <w:t>本项目不在生态保护红线范围内；产生的污染经过环保措施处理后，均能达标排放；生产过程合理利用资源；不属于环境准入负面清单，符合《关于以改善环境质量为核心加强环境影响评价管理的通知》中“三线一单”相关规定。</w:t>
      </w:r>
    </w:p>
    <w:p>
      <w:pPr>
        <w:pStyle w:val="102"/>
        <w:numPr>
          <w:ilvl w:val="1"/>
          <w:numId w:val="0"/>
        </w:numPr>
        <w:tabs>
          <w:tab w:val="clear" w:pos="720"/>
        </w:tabs>
        <w:ind w:leftChars="0"/>
        <w:rPr>
          <w:rFonts w:hint="eastAsia" w:cs="Times New Roman"/>
          <w:sz w:val="28"/>
          <w:szCs w:val="28"/>
        </w:rPr>
      </w:pPr>
      <w:r>
        <w:rPr>
          <w:rFonts w:hint="eastAsia" w:cs="Times New Roman"/>
          <w:sz w:val="28"/>
          <w:szCs w:val="28"/>
        </w:rPr>
        <w:t>9.4 环境质量与环境功能相符性</w:t>
      </w:r>
    </w:p>
    <w:bookmarkEnd w:id="87"/>
    <w:p>
      <w:pPr>
        <w:pStyle w:val="103"/>
        <w:bidi w:val="0"/>
      </w:pPr>
      <w:r>
        <w:t>（1）大气环境：项目选址周围环境空气质量状况良好，能达到《环境空气质量标准》（GB3095-2012）的二级标准。</w:t>
      </w:r>
    </w:p>
    <w:p>
      <w:pPr>
        <w:pStyle w:val="103"/>
        <w:bidi w:val="0"/>
      </w:pPr>
      <w:r>
        <w:t>（2）水环境：</w:t>
      </w:r>
      <w:r>
        <w:rPr>
          <w:rFonts w:hint="eastAsia"/>
        </w:rPr>
        <w:t>吴淞江</w:t>
      </w:r>
      <w:r>
        <w:t>目前水质尚可，能够达到《地表水环境质量标准》（GB3838-2002）IV类水质标准。</w:t>
      </w:r>
    </w:p>
    <w:p>
      <w:pPr>
        <w:pStyle w:val="103"/>
        <w:bidi w:val="0"/>
      </w:pPr>
      <w:r>
        <w:t>（3）声环境：项目区域厂界噪声环境能够维持《声环境质量标准》（GB3096-2008）</w:t>
      </w:r>
      <w:r>
        <w:rPr>
          <w:rFonts w:hint="eastAsia"/>
        </w:rPr>
        <w:t>3</w:t>
      </w:r>
      <w:r>
        <w:t>类</w:t>
      </w:r>
      <w:r>
        <w:rPr>
          <w:rFonts w:hint="eastAsia"/>
          <w:lang w:eastAsia="zh-CN"/>
        </w:rPr>
        <w:t>、</w:t>
      </w:r>
      <w:r>
        <w:rPr>
          <w:rFonts w:hint="eastAsia"/>
          <w:lang w:val="en-US" w:eastAsia="zh-CN"/>
        </w:rPr>
        <w:t>4a类</w:t>
      </w:r>
      <w:r>
        <w:t>标准。</w:t>
      </w:r>
    </w:p>
    <w:p>
      <w:pPr>
        <w:pStyle w:val="102"/>
        <w:numPr>
          <w:ilvl w:val="1"/>
          <w:numId w:val="0"/>
        </w:numPr>
        <w:tabs>
          <w:tab w:val="clear" w:pos="720"/>
        </w:tabs>
        <w:ind w:leftChars="0"/>
        <w:rPr>
          <w:rFonts w:hint="eastAsia" w:cs="Times New Roman"/>
          <w:sz w:val="28"/>
          <w:szCs w:val="28"/>
        </w:rPr>
      </w:pPr>
      <w:r>
        <w:rPr>
          <w:rFonts w:hint="eastAsia" w:cs="Times New Roman"/>
          <w:sz w:val="28"/>
          <w:szCs w:val="28"/>
        </w:rPr>
        <w:t>9.5 污染物达标排放及对周围的影响分析</w:t>
      </w:r>
    </w:p>
    <w:p>
      <w:pPr>
        <w:pStyle w:val="103"/>
        <w:bidi w:val="0"/>
      </w:pPr>
      <w:r>
        <w:rPr>
          <w:rFonts w:hint="eastAsia"/>
        </w:rPr>
        <w:t>1、废气</w:t>
      </w:r>
    </w:p>
    <w:p>
      <w:pPr>
        <w:pStyle w:val="103"/>
        <w:bidi w:val="0"/>
      </w:pPr>
      <w:r>
        <w:t>环评利用《环境影响评价影响导则—大气环境》（HJ2.2-2018）中推荐的估算模式对项目排放废气的最大落地点浓度进行预测。根据估算结果及评价等级判别表，正常工况下本期项目污染物最大占标率出现在</w:t>
      </w:r>
      <w:r>
        <w:rPr>
          <w:rFonts w:hint="eastAsia"/>
        </w:rPr>
        <w:t>颗粒物（有组织）</w:t>
      </w:r>
      <w:r>
        <w:t>指标，最大占标率为0.</w:t>
      </w:r>
      <w:r>
        <w:rPr>
          <w:rFonts w:hint="eastAsia"/>
        </w:rPr>
        <w:t>95</w:t>
      </w:r>
      <w:r>
        <w:t>%（处于＜1%），为三级评价，对环境空气影响较弱，在可控制范围内，不会改变现有空气质量类别。</w:t>
      </w:r>
    </w:p>
    <w:p>
      <w:pPr>
        <w:pStyle w:val="103"/>
        <w:bidi w:val="0"/>
      </w:pPr>
      <w:r>
        <w:t>2、废水</w:t>
      </w:r>
    </w:p>
    <w:p>
      <w:pPr>
        <w:pStyle w:val="103"/>
        <w:bidi w:val="0"/>
      </w:pPr>
      <w:r>
        <w:t>项目水实行雨污分流制，雨水通过雨水管网就近排入附近水体，本项目</w:t>
      </w:r>
      <w:r>
        <w:rPr>
          <w:rFonts w:hint="eastAsia"/>
        </w:rPr>
        <w:t>无生产废水外排，</w:t>
      </w:r>
      <w:r>
        <w:t>生活污水接管至</w:t>
      </w:r>
      <w:r>
        <w:rPr>
          <w:rFonts w:hint="eastAsia"/>
        </w:rPr>
        <w:t>吴江经济技术开发区生活污水处理有限公司</w:t>
      </w:r>
      <w:r>
        <w:t>，尾水排入</w:t>
      </w:r>
      <w:r>
        <w:rPr>
          <w:rFonts w:hint="eastAsia"/>
        </w:rPr>
        <w:t>同里运河</w:t>
      </w:r>
      <w:r>
        <w:t>。本项目接管生活污水排放总量，在污水厂的设计负荷内，并且各污染因子都能达到《污水综合排放标准》（GB8978-1996）表4中的三级标准（污水厂的接管标准），废水较易处理，对污水厂基本不造成冲击，因此本项目废水对周围地面水环境影响较小。</w:t>
      </w:r>
    </w:p>
    <w:p>
      <w:pPr>
        <w:pStyle w:val="103"/>
        <w:bidi w:val="0"/>
      </w:pPr>
      <w:r>
        <w:t>3、噪声</w:t>
      </w:r>
    </w:p>
    <w:p>
      <w:pPr>
        <w:pStyle w:val="103"/>
        <w:bidi w:val="0"/>
      </w:pPr>
      <w:r>
        <w:t>项目噪声源主要为</w:t>
      </w:r>
      <w:r>
        <w:rPr>
          <w:rFonts w:hint="eastAsia"/>
        </w:rPr>
        <w:t>打孔机、冲床、空压机、模切机</w:t>
      </w:r>
      <w:r>
        <w:t>在生产过程中产生的噪声。在采取相应的防噪、降噪、消声措施后，经预测厂界</w:t>
      </w:r>
      <w:r>
        <w:rPr>
          <w:rFonts w:hint="eastAsia"/>
        </w:rPr>
        <w:t>四周</w:t>
      </w:r>
      <w:r>
        <w:t>噪声可达到《工业企业厂界环境噪声排放标准》（GB12348-2008）</w:t>
      </w:r>
      <w:r>
        <w:rPr>
          <w:rFonts w:hint="eastAsia"/>
          <w:lang w:val="en-US" w:eastAsia="zh-CN"/>
        </w:rPr>
        <w:t>3</w:t>
      </w:r>
      <w:r>
        <w:t>类标准。</w:t>
      </w:r>
    </w:p>
    <w:p>
      <w:pPr>
        <w:pStyle w:val="103"/>
        <w:bidi w:val="0"/>
      </w:pPr>
      <w:r>
        <w:t>4、固废</w:t>
      </w:r>
    </w:p>
    <w:p>
      <w:pPr>
        <w:pStyle w:val="103"/>
        <w:bidi w:val="0"/>
      </w:pPr>
      <w:r>
        <w:t>本项目副产物主要为</w:t>
      </w:r>
      <w:r>
        <w:rPr>
          <w:rFonts w:hint="eastAsia"/>
          <w:lang w:val="en-US" w:eastAsia="zh-CN"/>
        </w:rPr>
        <w:t>边角料</w:t>
      </w:r>
      <w:r>
        <w:rPr>
          <w:rFonts w:hint="eastAsia"/>
        </w:rPr>
        <w:t>、废纸箱、</w:t>
      </w:r>
      <w:r>
        <w:rPr>
          <w:rFonts w:hint="eastAsia"/>
          <w:lang w:val="en-US" w:eastAsia="zh-CN"/>
        </w:rPr>
        <w:t>废</w:t>
      </w:r>
      <w:r>
        <w:rPr>
          <w:rFonts w:hint="eastAsia"/>
        </w:rPr>
        <w:t>油墨罐、</w:t>
      </w:r>
      <w:r>
        <w:rPr>
          <w:rFonts w:hint="eastAsia"/>
          <w:lang w:val="en-US" w:eastAsia="zh-CN"/>
        </w:rPr>
        <w:t>废胶水罐、不合格品、废</w:t>
      </w:r>
      <w:r>
        <w:rPr>
          <w:rFonts w:hint="eastAsia"/>
        </w:rPr>
        <w:t>抹布、废活性炭</w:t>
      </w:r>
      <w:r>
        <w:rPr>
          <w:rFonts w:hint="eastAsia"/>
          <w:lang w:eastAsia="zh-CN"/>
        </w:rPr>
        <w:t>、</w:t>
      </w:r>
      <w:r>
        <w:rPr>
          <w:rFonts w:hint="eastAsia"/>
          <w:lang w:val="en-US" w:eastAsia="zh-CN"/>
        </w:rPr>
        <w:t>废灯管、废抹布</w:t>
      </w:r>
      <w:r>
        <w:t>以及生活垃圾等。其中</w:t>
      </w:r>
      <w:r>
        <w:rPr>
          <w:rFonts w:hint="eastAsia"/>
          <w:lang w:val="en-US" w:eastAsia="zh-CN"/>
        </w:rPr>
        <w:t>边角料、废纸箱、不合格品外售利用单位</w:t>
      </w:r>
      <w:r>
        <w:t>，</w:t>
      </w:r>
      <w:r>
        <w:rPr>
          <w:rFonts w:hint="eastAsia"/>
          <w:lang w:val="en-US" w:eastAsia="zh-CN"/>
        </w:rPr>
        <w:t>废</w:t>
      </w:r>
      <w:r>
        <w:rPr>
          <w:rFonts w:hint="eastAsia"/>
        </w:rPr>
        <w:t>油墨罐、</w:t>
      </w:r>
      <w:r>
        <w:rPr>
          <w:rFonts w:hint="eastAsia"/>
          <w:lang w:val="en-US" w:eastAsia="zh-CN"/>
        </w:rPr>
        <w:t>废胶水罐、废</w:t>
      </w:r>
      <w:r>
        <w:rPr>
          <w:rFonts w:hint="eastAsia"/>
        </w:rPr>
        <w:t>抹布</w:t>
      </w:r>
      <w:r>
        <w:rPr>
          <w:rFonts w:hint="eastAsia"/>
          <w:lang w:eastAsia="zh-CN"/>
        </w:rPr>
        <w:t>、</w:t>
      </w:r>
      <w:r>
        <w:rPr>
          <w:rFonts w:hint="eastAsia"/>
          <w:lang w:val="en-US" w:eastAsia="zh-CN"/>
        </w:rPr>
        <w:t>废灯管</w:t>
      </w:r>
      <w:r>
        <w:rPr>
          <w:rFonts w:hint="eastAsia"/>
        </w:rPr>
        <w:t>和废活性炭</w:t>
      </w:r>
      <w:r>
        <w:t>交资质单位处置，生活垃圾委托环卫部门清运。</w:t>
      </w:r>
    </w:p>
    <w:p>
      <w:pPr>
        <w:pStyle w:val="102"/>
        <w:numPr>
          <w:ilvl w:val="1"/>
          <w:numId w:val="0"/>
        </w:numPr>
        <w:tabs>
          <w:tab w:val="clear" w:pos="720"/>
        </w:tabs>
        <w:ind w:leftChars="0"/>
        <w:rPr>
          <w:rFonts w:hint="eastAsia" w:cs="Times New Roman"/>
          <w:sz w:val="28"/>
          <w:szCs w:val="28"/>
        </w:rPr>
      </w:pPr>
      <w:r>
        <w:rPr>
          <w:rFonts w:hint="eastAsia" w:cs="Times New Roman"/>
          <w:sz w:val="28"/>
          <w:szCs w:val="28"/>
        </w:rPr>
        <w:t>9.6 清洁生产和循环经济</w:t>
      </w:r>
    </w:p>
    <w:p>
      <w:pPr>
        <w:pStyle w:val="103"/>
        <w:bidi w:val="0"/>
      </w:pPr>
      <w:r>
        <w:rPr>
          <w:rFonts w:hint="eastAsia"/>
        </w:rPr>
        <w:t>本项目生产设备先进，工艺成熟，符合循环经济“三R原则”，具有较高的清洁生产水平，可以较好的贯彻循环经济理念，属于符合可持续发展理念的经济增长模式。</w:t>
      </w:r>
    </w:p>
    <w:p>
      <w:pPr>
        <w:pStyle w:val="102"/>
        <w:numPr>
          <w:ilvl w:val="1"/>
          <w:numId w:val="0"/>
        </w:numPr>
        <w:tabs>
          <w:tab w:val="clear" w:pos="720"/>
        </w:tabs>
        <w:ind w:leftChars="0"/>
        <w:rPr>
          <w:rFonts w:hint="eastAsia" w:cs="Times New Roman"/>
          <w:sz w:val="28"/>
          <w:szCs w:val="28"/>
        </w:rPr>
      </w:pPr>
      <w:bookmarkStart w:id="88" w:name="_Toc307515837"/>
      <w:r>
        <w:rPr>
          <w:rFonts w:hint="eastAsia" w:cs="Times New Roman"/>
          <w:sz w:val="28"/>
          <w:szCs w:val="28"/>
        </w:rPr>
        <w:t>9.7 污染物总量控制方案</w:t>
      </w:r>
    </w:p>
    <w:p>
      <w:pPr>
        <w:pStyle w:val="103"/>
        <w:bidi w:val="0"/>
      </w:pPr>
      <w:r>
        <w:t>本项目</w:t>
      </w:r>
      <w:r>
        <w:rPr>
          <w:rFonts w:hint="eastAsia"/>
        </w:rPr>
        <w:t>生活污水接管至城南污水处理厂处理。</w:t>
      </w:r>
      <w:r>
        <w:t>生活污水</w:t>
      </w:r>
      <w:r>
        <w:rPr>
          <w:rFonts w:hint="eastAsia"/>
        </w:rPr>
        <w:t>中</w:t>
      </w:r>
      <w:r>
        <w:t>化学需氧量（COD）、氨氮（NH3-N）排放总量</w:t>
      </w:r>
      <w:r>
        <w:rPr>
          <w:rFonts w:hint="eastAsia"/>
        </w:rPr>
        <w:t>已包含在污水厂中。</w:t>
      </w:r>
    </w:p>
    <w:p>
      <w:pPr>
        <w:pStyle w:val="103"/>
        <w:bidi w:val="0"/>
      </w:pPr>
      <w:r>
        <w:rPr>
          <w:rFonts w:hint="eastAsia"/>
        </w:rPr>
        <w:t>项目污染物具体总量控制指标见表9-1.</w:t>
      </w:r>
    </w:p>
    <w:p>
      <w:pPr>
        <w:pStyle w:val="273"/>
        <w:bidi w:val="0"/>
        <w:rPr>
          <w:rFonts w:hint="eastAsia"/>
        </w:rPr>
      </w:pPr>
      <w:r>
        <w:rPr>
          <w:rFonts w:hint="eastAsia"/>
        </w:rPr>
        <w:t>表9-1  项目总量控制指标</w:t>
      </w:r>
    </w:p>
    <w:tbl>
      <w:tblPr>
        <w:tblStyle w:val="260"/>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2102"/>
        <w:gridCol w:w="1274"/>
        <w:gridCol w:w="1515"/>
        <w:gridCol w:w="1274"/>
        <w:gridCol w:w="13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3008" w:type="dxa"/>
            <w:gridSpan w:val="2"/>
            <w:vMerge w:val="restart"/>
            <w:vAlign w:val="center"/>
          </w:tcPr>
          <w:p>
            <w:pPr>
              <w:pStyle w:val="100"/>
              <w:widowControl w:val="0"/>
              <w:bidi w:val="0"/>
              <w:adjustRightInd w:val="0"/>
              <w:snapToGrid w:val="0"/>
            </w:pPr>
            <w:r>
              <w:rPr>
                <w:rFonts w:hint="eastAsia"/>
              </w:rPr>
              <w:t>污染物</w:t>
            </w:r>
          </w:p>
        </w:tc>
        <w:tc>
          <w:tcPr>
            <w:tcW w:w="1274" w:type="dxa"/>
            <w:vMerge w:val="restart"/>
            <w:vAlign w:val="center"/>
          </w:tcPr>
          <w:p>
            <w:pPr>
              <w:pStyle w:val="100"/>
              <w:widowControl w:val="0"/>
              <w:bidi w:val="0"/>
              <w:adjustRightInd w:val="0"/>
              <w:snapToGrid w:val="0"/>
            </w:pPr>
            <w:r>
              <w:rPr>
                <w:rFonts w:hint="eastAsia"/>
              </w:rPr>
              <w:t>产生量t/a</w:t>
            </w:r>
          </w:p>
        </w:tc>
        <w:tc>
          <w:tcPr>
            <w:tcW w:w="1515" w:type="dxa"/>
            <w:vMerge w:val="restart"/>
            <w:vAlign w:val="center"/>
          </w:tcPr>
          <w:p>
            <w:pPr>
              <w:pStyle w:val="100"/>
              <w:widowControl w:val="0"/>
              <w:bidi w:val="0"/>
              <w:adjustRightInd w:val="0"/>
              <w:snapToGrid w:val="0"/>
            </w:pPr>
            <w:r>
              <w:rPr>
                <w:rFonts w:hint="eastAsia"/>
              </w:rPr>
              <w:t>自身削减量t/a</w:t>
            </w:r>
          </w:p>
        </w:tc>
        <w:tc>
          <w:tcPr>
            <w:tcW w:w="2639" w:type="dxa"/>
            <w:gridSpan w:val="2"/>
            <w:vAlign w:val="center"/>
          </w:tcPr>
          <w:p>
            <w:pPr>
              <w:pStyle w:val="100"/>
              <w:widowControl w:val="0"/>
              <w:bidi w:val="0"/>
              <w:adjustRightInd w:val="0"/>
              <w:snapToGrid w:val="0"/>
            </w:pPr>
            <w:r>
              <w:rPr>
                <w:rFonts w:hint="eastAsia"/>
              </w:rPr>
              <w:t>控制量t/a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3008" w:type="dxa"/>
            <w:gridSpan w:val="2"/>
            <w:vMerge w:val="continue"/>
            <w:vAlign w:val="center"/>
          </w:tcPr>
          <w:p>
            <w:pPr>
              <w:pStyle w:val="100"/>
              <w:widowControl w:val="0"/>
              <w:bidi w:val="0"/>
              <w:adjustRightInd w:val="0"/>
              <w:snapToGrid w:val="0"/>
            </w:pPr>
          </w:p>
        </w:tc>
        <w:tc>
          <w:tcPr>
            <w:tcW w:w="1274" w:type="dxa"/>
            <w:vMerge w:val="continue"/>
            <w:vAlign w:val="center"/>
          </w:tcPr>
          <w:p>
            <w:pPr>
              <w:pStyle w:val="100"/>
              <w:widowControl w:val="0"/>
              <w:bidi w:val="0"/>
              <w:adjustRightInd w:val="0"/>
              <w:snapToGrid w:val="0"/>
            </w:pPr>
          </w:p>
        </w:tc>
        <w:tc>
          <w:tcPr>
            <w:tcW w:w="1515" w:type="dxa"/>
            <w:vMerge w:val="continue"/>
            <w:vAlign w:val="center"/>
          </w:tcPr>
          <w:p>
            <w:pPr>
              <w:pStyle w:val="100"/>
              <w:widowControl w:val="0"/>
              <w:bidi w:val="0"/>
              <w:adjustRightInd w:val="0"/>
              <w:snapToGrid w:val="0"/>
            </w:pPr>
          </w:p>
        </w:tc>
        <w:tc>
          <w:tcPr>
            <w:tcW w:w="1274" w:type="dxa"/>
            <w:vAlign w:val="center"/>
          </w:tcPr>
          <w:p>
            <w:pPr>
              <w:pStyle w:val="100"/>
              <w:widowControl w:val="0"/>
              <w:bidi w:val="0"/>
              <w:adjustRightInd w:val="0"/>
              <w:snapToGrid w:val="0"/>
            </w:pPr>
            <w:r>
              <w:rPr>
                <w:rFonts w:hint="eastAsia"/>
              </w:rPr>
              <w:t>有组织</w:t>
            </w:r>
          </w:p>
        </w:tc>
        <w:tc>
          <w:tcPr>
            <w:tcW w:w="1365" w:type="dxa"/>
            <w:vAlign w:val="center"/>
          </w:tcPr>
          <w:p>
            <w:pPr>
              <w:pStyle w:val="100"/>
              <w:widowControl w:val="0"/>
              <w:bidi w:val="0"/>
              <w:adjustRightInd w:val="0"/>
              <w:snapToGrid w:val="0"/>
            </w:pPr>
            <w:r>
              <w:rPr>
                <w:rFonts w:hint="eastAsia"/>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06" w:type="dxa"/>
            <w:noWrap/>
            <w:vAlign w:val="center"/>
          </w:tcPr>
          <w:p>
            <w:pPr>
              <w:pStyle w:val="100"/>
              <w:widowControl w:val="0"/>
              <w:bidi w:val="0"/>
              <w:adjustRightInd w:val="0"/>
              <w:snapToGrid w:val="0"/>
            </w:pPr>
            <w:r>
              <w:rPr>
                <w:rFonts w:hint="eastAsia"/>
              </w:rPr>
              <w:t>废气</w:t>
            </w:r>
          </w:p>
        </w:tc>
        <w:tc>
          <w:tcPr>
            <w:tcW w:w="2102" w:type="dxa"/>
            <w:noWrap/>
            <w:vAlign w:val="center"/>
          </w:tcPr>
          <w:p>
            <w:pPr>
              <w:pStyle w:val="100"/>
              <w:widowControl w:val="0"/>
              <w:bidi w:val="0"/>
              <w:adjustRightInd w:val="0"/>
              <w:snapToGrid w:val="0"/>
            </w:pPr>
            <w:r>
              <w:rPr>
                <w:rFonts w:hint="eastAsia"/>
              </w:rPr>
              <w:t>/</w:t>
            </w:r>
          </w:p>
        </w:tc>
        <w:tc>
          <w:tcPr>
            <w:tcW w:w="1274" w:type="dxa"/>
            <w:noWrap/>
            <w:vAlign w:val="center"/>
          </w:tcPr>
          <w:p>
            <w:pPr>
              <w:pStyle w:val="100"/>
              <w:widowControl w:val="0"/>
              <w:bidi w:val="0"/>
              <w:adjustRightInd w:val="0"/>
              <w:snapToGrid w:val="0"/>
            </w:pPr>
            <w:r>
              <w:rPr>
                <w:rFonts w:hint="eastAsia"/>
              </w:rPr>
              <w:t>/</w:t>
            </w:r>
          </w:p>
        </w:tc>
        <w:tc>
          <w:tcPr>
            <w:tcW w:w="1515" w:type="dxa"/>
            <w:noWrap/>
            <w:vAlign w:val="center"/>
          </w:tcPr>
          <w:p>
            <w:pPr>
              <w:pStyle w:val="100"/>
              <w:widowControl w:val="0"/>
              <w:bidi w:val="0"/>
              <w:adjustRightInd w:val="0"/>
              <w:snapToGrid w:val="0"/>
            </w:pPr>
            <w:r>
              <w:rPr>
                <w:rFonts w:hint="eastAsia"/>
              </w:rPr>
              <w:t>/</w:t>
            </w:r>
          </w:p>
        </w:tc>
        <w:tc>
          <w:tcPr>
            <w:tcW w:w="1274" w:type="dxa"/>
            <w:noWrap/>
            <w:vAlign w:val="center"/>
          </w:tcPr>
          <w:p>
            <w:pPr>
              <w:pStyle w:val="100"/>
              <w:widowControl w:val="0"/>
              <w:bidi w:val="0"/>
              <w:adjustRightInd w:val="0"/>
              <w:snapToGrid w:val="0"/>
            </w:pPr>
            <w:r>
              <w:rPr>
                <w:rFonts w:hint="eastAsia"/>
              </w:rPr>
              <w:t>/</w:t>
            </w:r>
          </w:p>
        </w:tc>
        <w:tc>
          <w:tcPr>
            <w:tcW w:w="1365" w:type="dxa"/>
            <w:noWrap/>
            <w:vAlign w:val="center"/>
          </w:tcPr>
          <w:p>
            <w:pPr>
              <w:pStyle w:val="100"/>
              <w:widowControl w:val="0"/>
              <w:bidi w:val="0"/>
              <w:adjustRightInd w:val="0"/>
              <w:snapToGrid w:val="0"/>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008" w:type="dxa"/>
            <w:gridSpan w:val="2"/>
            <w:vMerge w:val="restart"/>
            <w:vAlign w:val="center"/>
          </w:tcPr>
          <w:p>
            <w:pPr>
              <w:pStyle w:val="100"/>
              <w:widowControl w:val="0"/>
              <w:bidi w:val="0"/>
              <w:adjustRightInd w:val="0"/>
              <w:snapToGrid w:val="0"/>
            </w:pPr>
            <w:r>
              <w:rPr>
                <w:rFonts w:hint="eastAsia"/>
              </w:rPr>
              <w:t>污染物</w:t>
            </w:r>
          </w:p>
        </w:tc>
        <w:tc>
          <w:tcPr>
            <w:tcW w:w="1274" w:type="dxa"/>
            <w:vMerge w:val="restart"/>
            <w:vAlign w:val="center"/>
          </w:tcPr>
          <w:p>
            <w:pPr>
              <w:pStyle w:val="100"/>
              <w:widowControl w:val="0"/>
              <w:bidi w:val="0"/>
              <w:adjustRightInd w:val="0"/>
              <w:snapToGrid w:val="0"/>
            </w:pPr>
            <w:r>
              <w:rPr>
                <w:rFonts w:hint="eastAsia"/>
              </w:rPr>
              <w:t>产生量t/a</w:t>
            </w:r>
          </w:p>
        </w:tc>
        <w:tc>
          <w:tcPr>
            <w:tcW w:w="1515" w:type="dxa"/>
            <w:vMerge w:val="restart"/>
            <w:vAlign w:val="center"/>
          </w:tcPr>
          <w:p>
            <w:pPr>
              <w:pStyle w:val="100"/>
              <w:widowControl w:val="0"/>
              <w:bidi w:val="0"/>
              <w:adjustRightInd w:val="0"/>
              <w:snapToGrid w:val="0"/>
            </w:pPr>
            <w:r>
              <w:rPr>
                <w:rFonts w:hint="eastAsia"/>
              </w:rPr>
              <w:t>自身削减量t/a</w:t>
            </w:r>
          </w:p>
        </w:tc>
        <w:tc>
          <w:tcPr>
            <w:tcW w:w="2639" w:type="dxa"/>
            <w:gridSpan w:val="2"/>
            <w:vAlign w:val="center"/>
          </w:tcPr>
          <w:p>
            <w:pPr>
              <w:pStyle w:val="100"/>
              <w:widowControl w:val="0"/>
              <w:bidi w:val="0"/>
              <w:adjustRightInd w:val="0"/>
              <w:snapToGrid w:val="0"/>
            </w:pPr>
            <w:r>
              <w:rPr>
                <w:rFonts w:hint="eastAsia"/>
              </w:rPr>
              <w:t>控制量t/a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008" w:type="dxa"/>
            <w:gridSpan w:val="2"/>
            <w:vMerge w:val="continue"/>
            <w:vAlign w:val="center"/>
          </w:tcPr>
          <w:p>
            <w:pPr>
              <w:pStyle w:val="100"/>
              <w:widowControl w:val="0"/>
              <w:bidi w:val="0"/>
              <w:adjustRightInd w:val="0"/>
              <w:snapToGrid w:val="0"/>
            </w:pPr>
          </w:p>
        </w:tc>
        <w:tc>
          <w:tcPr>
            <w:tcW w:w="1274" w:type="dxa"/>
            <w:vMerge w:val="continue"/>
            <w:vAlign w:val="center"/>
          </w:tcPr>
          <w:p>
            <w:pPr>
              <w:pStyle w:val="100"/>
              <w:widowControl w:val="0"/>
              <w:bidi w:val="0"/>
              <w:adjustRightInd w:val="0"/>
              <w:snapToGrid w:val="0"/>
            </w:pPr>
          </w:p>
        </w:tc>
        <w:tc>
          <w:tcPr>
            <w:tcW w:w="1515" w:type="dxa"/>
            <w:vMerge w:val="continue"/>
            <w:vAlign w:val="center"/>
          </w:tcPr>
          <w:p>
            <w:pPr>
              <w:pStyle w:val="100"/>
              <w:widowControl w:val="0"/>
              <w:bidi w:val="0"/>
              <w:adjustRightInd w:val="0"/>
              <w:snapToGrid w:val="0"/>
            </w:pPr>
          </w:p>
        </w:tc>
        <w:tc>
          <w:tcPr>
            <w:tcW w:w="1274" w:type="dxa"/>
            <w:vAlign w:val="center"/>
          </w:tcPr>
          <w:p>
            <w:pPr>
              <w:pStyle w:val="100"/>
              <w:widowControl w:val="0"/>
              <w:bidi w:val="0"/>
              <w:adjustRightInd w:val="0"/>
              <w:snapToGrid w:val="0"/>
            </w:pPr>
            <w:r>
              <w:rPr>
                <w:rFonts w:hint="eastAsia"/>
              </w:rPr>
              <w:t>厂排口</w:t>
            </w:r>
          </w:p>
        </w:tc>
        <w:tc>
          <w:tcPr>
            <w:tcW w:w="1365" w:type="dxa"/>
            <w:vAlign w:val="center"/>
          </w:tcPr>
          <w:p>
            <w:pPr>
              <w:pStyle w:val="100"/>
              <w:widowControl w:val="0"/>
              <w:bidi w:val="0"/>
              <w:adjustRightInd w:val="0"/>
              <w:snapToGrid w:val="0"/>
            </w:pPr>
            <w:r>
              <w:rPr>
                <w:rFonts w:hint="eastAsia"/>
              </w:rPr>
              <w:t>外环境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906" w:type="dxa"/>
            <w:vMerge w:val="restart"/>
            <w:noWrap/>
            <w:vAlign w:val="center"/>
          </w:tcPr>
          <w:p>
            <w:pPr>
              <w:pStyle w:val="100"/>
              <w:widowControl w:val="0"/>
              <w:bidi w:val="0"/>
              <w:adjustRightInd w:val="0"/>
              <w:snapToGrid w:val="0"/>
            </w:pPr>
            <w:r>
              <w:rPr>
                <w:rFonts w:hint="eastAsia"/>
              </w:rPr>
              <w:t>废水</w:t>
            </w:r>
          </w:p>
        </w:tc>
        <w:tc>
          <w:tcPr>
            <w:tcW w:w="2102" w:type="dxa"/>
            <w:noWrap/>
            <w:vAlign w:val="center"/>
          </w:tcPr>
          <w:p>
            <w:pPr>
              <w:pStyle w:val="100"/>
              <w:widowControl w:val="0"/>
              <w:bidi w:val="0"/>
              <w:adjustRightInd w:val="0"/>
              <w:snapToGrid w:val="0"/>
            </w:pPr>
            <w:r>
              <w:rPr>
                <w:rFonts w:hint="eastAsia"/>
              </w:rPr>
              <w:t>生活污水量</w:t>
            </w:r>
          </w:p>
        </w:tc>
        <w:tc>
          <w:tcPr>
            <w:tcW w:w="1274" w:type="dxa"/>
            <w:noWrap/>
            <w:vAlign w:val="center"/>
          </w:tcPr>
          <w:p>
            <w:pPr>
              <w:pStyle w:val="100"/>
              <w:widowControl w:val="0"/>
              <w:bidi w:val="0"/>
              <w:adjustRightInd w:val="0"/>
              <w:snapToGrid w:val="0"/>
            </w:pPr>
            <w:r>
              <w:rPr>
                <w:rFonts w:hint="eastAsia"/>
              </w:rPr>
              <w:t>856.8</w:t>
            </w:r>
          </w:p>
        </w:tc>
        <w:tc>
          <w:tcPr>
            <w:tcW w:w="1515" w:type="dxa"/>
            <w:noWrap/>
            <w:vAlign w:val="center"/>
          </w:tcPr>
          <w:p>
            <w:pPr>
              <w:pStyle w:val="100"/>
              <w:widowControl w:val="0"/>
              <w:bidi w:val="0"/>
              <w:adjustRightInd w:val="0"/>
              <w:snapToGrid w:val="0"/>
            </w:pPr>
            <w:r>
              <w:rPr>
                <w:rFonts w:hint="eastAsia"/>
              </w:rPr>
              <w:t>0</w:t>
            </w:r>
          </w:p>
        </w:tc>
        <w:tc>
          <w:tcPr>
            <w:tcW w:w="1274" w:type="dxa"/>
            <w:noWrap/>
            <w:vAlign w:val="center"/>
          </w:tcPr>
          <w:p>
            <w:pPr>
              <w:pStyle w:val="100"/>
              <w:widowControl w:val="0"/>
              <w:bidi w:val="0"/>
              <w:adjustRightInd w:val="0"/>
              <w:snapToGrid w:val="0"/>
            </w:pPr>
            <w:r>
              <w:rPr>
                <w:rFonts w:hint="eastAsia"/>
              </w:rPr>
              <w:t>856.8</w:t>
            </w:r>
          </w:p>
        </w:tc>
        <w:tc>
          <w:tcPr>
            <w:tcW w:w="1365" w:type="dxa"/>
            <w:noWrap/>
            <w:vAlign w:val="center"/>
          </w:tcPr>
          <w:p>
            <w:pPr>
              <w:pStyle w:val="100"/>
              <w:widowControl w:val="0"/>
              <w:bidi w:val="0"/>
              <w:adjustRightInd w:val="0"/>
              <w:snapToGrid w:val="0"/>
            </w:pPr>
            <w:r>
              <w:rPr>
                <w:rFonts w:hint="eastAsia"/>
              </w:rPr>
              <w:t>856.8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06" w:type="dxa"/>
            <w:vMerge w:val="continue"/>
            <w:vAlign w:val="center"/>
          </w:tcPr>
          <w:p>
            <w:pPr>
              <w:pStyle w:val="100"/>
              <w:widowControl w:val="0"/>
              <w:bidi w:val="0"/>
              <w:adjustRightInd w:val="0"/>
              <w:snapToGrid w:val="0"/>
            </w:pPr>
          </w:p>
        </w:tc>
        <w:tc>
          <w:tcPr>
            <w:tcW w:w="2102" w:type="dxa"/>
            <w:noWrap/>
            <w:vAlign w:val="center"/>
          </w:tcPr>
          <w:p>
            <w:pPr>
              <w:pStyle w:val="100"/>
              <w:widowControl w:val="0"/>
              <w:bidi w:val="0"/>
              <w:adjustRightInd w:val="0"/>
              <w:snapToGrid w:val="0"/>
            </w:pPr>
            <w:r>
              <w:rPr>
                <w:rFonts w:hint="eastAsia"/>
              </w:rPr>
              <w:t>COD</w:t>
            </w:r>
          </w:p>
        </w:tc>
        <w:tc>
          <w:tcPr>
            <w:tcW w:w="1274" w:type="dxa"/>
            <w:noWrap/>
            <w:vAlign w:val="center"/>
          </w:tcPr>
          <w:p>
            <w:pPr>
              <w:pStyle w:val="100"/>
              <w:widowControl w:val="0"/>
              <w:bidi w:val="0"/>
              <w:adjustRightInd w:val="0"/>
              <w:snapToGrid w:val="0"/>
            </w:pPr>
            <w:r>
              <w:rPr>
                <w:rFonts w:hint="eastAsia"/>
              </w:rPr>
              <w:t>0.3</w:t>
            </w:r>
          </w:p>
        </w:tc>
        <w:tc>
          <w:tcPr>
            <w:tcW w:w="1515" w:type="dxa"/>
            <w:noWrap/>
            <w:vAlign w:val="center"/>
          </w:tcPr>
          <w:p>
            <w:pPr>
              <w:pStyle w:val="100"/>
              <w:widowControl w:val="0"/>
              <w:bidi w:val="0"/>
              <w:adjustRightInd w:val="0"/>
              <w:snapToGrid w:val="0"/>
            </w:pPr>
            <w:r>
              <w:rPr>
                <w:rFonts w:hint="eastAsia"/>
              </w:rPr>
              <w:t>0</w:t>
            </w:r>
          </w:p>
        </w:tc>
        <w:tc>
          <w:tcPr>
            <w:tcW w:w="1274" w:type="dxa"/>
            <w:noWrap/>
            <w:vAlign w:val="center"/>
          </w:tcPr>
          <w:p>
            <w:pPr>
              <w:pStyle w:val="100"/>
              <w:widowControl w:val="0"/>
              <w:bidi w:val="0"/>
              <w:adjustRightInd w:val="0"/>
              <w:snapToGrid w:val="0"/>
            </w:pPr>
            <w:r>
              <w:rPr>
                <w:rFonts w:hint="eastAsia"/>
              </w:rPr>
              <w:t>0.3</w:t>
            </w:r>
          </w:p>
        </w:tc>
        <w:tc>
          <w:tcPr>
            <w:tcW w:w="1365" w:type="dxa"/>
            <w:noWrap/>
            <w:vAlign w:val="center"/>
          </w:tcPr>
          <w:p>
            <w:pPr>
              <w:pStyle w:val="100"/>
              <w:widowControl w:val="0"/>
              <w:bidi w:val="0"/>
              <w:adjustRightInd w:val="0"/>
              <w:snapToGrid w:val="0"/>
            </w:pPr>
            <w:r>
              <w:rPr>
                <w:rFonts w:hint="eastAsia"/>
              </w:rPr>
              <w:t>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06" w:type="dxa"/>
            <w:vMerge w:val="continue"/>
            <w:vAlign w:val="center"/>
          </w:tcPr>
          <w:p>
            <w:pPr>
              <w:pStyle w:val="100"/>
              <w:widowControl w:val="0"/>
              <w:bidi w:val="0"/>
              <w:adjustRightInd w:val="0"/>
              <w:snapToGrid w:val="0"/>
            </w:pPr>
          </w:p>
        </w:tc>
        <w:tc>
          <w:tcPr>
            <w:tcW w:w="2102" w:type="dxa"/>
            <w:noWrap/>
            <w:vAlign w:val="center"/>
          </w:tcPr>
          <w:p>
            <w:pPr>
              <w:pStyle w:val="100"/>
              <w:widowControl w:val="0"/>
              <w:bidi w:val="0"/>
              <w:adjustRightInd w:val="0"/>
              <w:snapToGrid w:val="0"/>
            </w:pPr>
            <w:r>
              <w:rPr>
                <w:rFonts w:hint="eastAsia"/>
              </w:rPr>
              <w:t>SS</w:t>
            </w:r>
          </w:p>
        </w:tc>
        <w:tc>
          <w:tcPr>
            <w:tcW w:w="1274" w:type="dxa"/>
            <w:noWrap/>
            <w:vAlign w:val="center"/>
          </w:tcPr>
          <w:p>
            <w:pPr>
              <w:pStyle w:val="100"/>
              <w:widowControl w:val="0"/>
              <w:bidi w:val="0"/>
              <w:adjustRightInd w:val="0"/>
              <w:snapToGrid w:val="0"/>
            </w:pPr>
            <w:r>
              <w:rPr>
                <w:rFonts w:hint="eastAsia"/>
              </w:rPr>
              <w:t>0.19</w:t>
            </w:r>
          </w:p>
        </w:tc>
        <w:tc>
          <w:tcPr>
            <w:tcW w:w="1515" w:type="dxa"/>
            <w:noWrap/>
            <w:vAlign w:val="center"/>
          </w:tcPr>
          <w:p>
            <w:pPr>
              <w:pStyle w:val="100"/>
              <w:widowControl w:val="0"/>
              <w:bidi w:val="0"/>
              <w:adjustRightInd w:val="0"/>
              <w:snapToGrid w:val="0"/>
            </w:pPr>
            <w:r>
              <w:rPr>
                <w:rFonts w:hint="eastAsia"/>
              </w:rPr>
              <w:t>0</w:t>
            </w:r>
          </w:p>
        </w:tc>
        <w:tc>
          <w:tcPr>
            <w:tcW w:w="1274" w:type="dxa"/>
            <w:noWrap/>
            <w:vAlign w:val="center"/>
          </w:tcPr>
          <w:p>
            <w:pPr>
              <w:pStyle w:val="100"/>
              <w:widowControl w:val="0"/>
              <w:bidi w:val="0"/>
              <w:adjustRightInd w:val="0"/>
              <w:snapToGrid w:val="0"/>
            </w:pPr>
            <w:r>
              <w:rPr>
                <w:rFonts w:hint="eastAsia"/>
              </w:rPr>
              <w:t>0.19</w:t>
            </w:r>
          </w:p>
        </w:tc>
        <w:tc>
          <w:tcPr>
            <w:tcW w:w="1365" w:type="dxa"/>
            <w:noWrap/>
            <w:vAlign w:val="center"/>
          </w:tcPr>
          <w:p>
            <w:pPr>
              <w:pStyle w:val="100"/>
              <w:widowControl w:val="0"/>
              <w:bidi w:val="0"/>
              <w:adjustRightInd w:val="0"/>
              <w:snapToGrid w:val="0"/>
            </w:pPr>
            <w:r>
              <w:rPr>
                <w:rFonts w:hint="eastAsia"/>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06" w:type="dxa"/>
            <w:vMerge w:val="continue"/>
            <w:vAlign w:val="center"/>
          </w:tcPr>
          <w:p>
            <w:pPr>
              <w:pStyle w:val="100"/>
              <w:widowControl w:val="0"/>
              <w:bidi w:val="0"/>
              <w:adjustRightInd w:val="0"/>
              <w:snapToGrid w:val="0"/>
            </w:pPr>
          </w:p>
        </w:tc>
        <w:tc>
          <w:tcPr>
            <w:tcW w:w="2102" w:type="dxa"/>
            <w:noWrap/>
            <w:vAlign w:val="center"/>
          </w:tcPr>
          <w:p>
            <w:pPr>
              <w:pStyle w:val="100"/>
              <w:widowControl w:val="0"/>
              <w:bidi w:val="0"/>
              <w:adjustRightInd w:val="0"/>
              <w:snapToGrid w:val="0"/>
            </w:pPr>
            <w:r>
              <w:rPr>
                <w:rFonts w:hint="eastAsia"/>
              </w:rPr>
              <w:t>氨氮</w:t>
            </w:r>
          </w:p>
        </w:tc>
        <w:tc>
          <w:tcPr>
            <w:tcW w:w="1274" w:type="dxa"/>
            <w:noWrap/>
            <w:vAlign w:val="center"/>
          </w:tcPr>
          <w:p>
            <w:pPr>
              <w:pStyle w:val="100"/>
              <w:widowControl w:val="0"/>
              <w:bidi w:val="0"/>
              <w:adjustRightInd w:val="0"/>
              <w:snapToGrid w:val="0"/>
            </w:pPr>
            <w:r>
              <w:rPr>
                <w:rFonts w:hint="eastAsia"/>
              </w:rPr>
              <w:t>0.026</w:t>
            </w:r>
          </w:p>
        </w:tc>
        <w:tc>
          <w:tcPr>
            <w:tcW w:w="1515" w:type="dxa"/>
            <w:noWrap/>
            <w:vAlign w:val="center"/>
          </w:tcPr>
          <w:p>
            <w:pPr>
              <w:pStyle w:val="100"/>
              <w:widowControl w:val="0"/>
              <w:bidi w:val="0"/>
              <w:adjustRightInd w:val="0"/>
              <w:snapToGrid w:val="0"/>
            </w:pPr>
            <w:r>
              <w:rPr>
                <w:rFonts w:hint="eastAsia"/>
              </w:rPr>
              <w:t>0</w:t>
            </w:r>
          </w:p>
        </w:tc>
        <w:tc>
          <w:tcPr>
            <w:tcW w:w="1274" w:type="dxa"/>
            <w:noWrap/>
            <w:vAlign w:val="center"/>
          </w:tcPr>
          <w:p>
            <w:pPr>
              <w:pStyle w:val="100"/>
              <w:widowControl w:val="0"/>
              <w:bidi w:val="0"/>
              <w:adjustRightInd w:val="0"/>
              <w:snapToGrid w:val="0"/>
            </w:pPr>
            <w:r>
              <w:rPr>
                <w:rFonts w:hint="eastAsia"/>
              </w:rPr>
              <w:t>0.026</w:t>
            </w:r>
          </w:p>
        </w:tc>
        <w:tc>
          <w:tcPr>
            <w:tcW w:w="1365" w:type="dxa"/>
            <w:noWrap/>
            <w:vAlign w:val="center"/>
          </w:tcPr>
          <w:p>
            <w:pPr>
              <w:pStyle w:val="100"/>
              <w:widowControl w:val="0"/>
              <w:bidi w:val="0"/>
              <w:adjustRightInd w:val="0"/>
              <w:snapToGrid w:val="0"/>
            </w:pPr>
            <w:r>
              <w:rPr>
                <w:rFonts w:hint="eastAsia"/>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06" w:type="dxa"/>
            <w:vMerge w:val="continue"/>
            <w:vAlign w:val="center"/>
          </w:tcPr>
          <w:p>
            <w:pPr>
              <w:pStyle w:val="100"/>
              <w:widowControl w:val="0"/>
              <w:bidi w:val="0"/>
              <w:adjustRightInd w:val="0"/>
              <w:snapToGrid w:val="0"/>
            </w:pPr>
          </w:p>
        </w:tc>
        <w:tc>
          <w:tcPr>
            <w:tcW w:w="2102" w:type="dxa"/>
            <w:noWrap/>
            <w:vAlign w:val="center"/>
          </w:tcPr>
          <w:p>
            <w:pPr>
              <w:pStyle w:val="100"/>
              <w:widowControl w:val="0"/>
              <w:bidi w:val="0"/>
              <w:adjustRightInd w:val="0"/>
              <w:snapToGrid w:val="0"/>
            </w:pPr>
            <w:r>
              <w:rPr>
                <w:rFonts w:hint="eastAsia"/>
              </w:rPr>
              <w:t>总氮</w:t>
            </w:r>
          </w:p>
        </w:tc>
        <w:tc>
          <w:tcPr>
            <w:tcW w:w="1274" w:type="dxa"/>
            <w:noWrap/>
            <w:vAlign w:val="center"/>
          </w:tcPr>
          <w:p>
            <w:pPr>
              <w:pStyle w:val="100"/>
              <w:widowControl w:val="0"/>
              <w:bidi w:val="0"/>
              <w:adjustRightInd w:val="0"/>
              <w:snapToGrid w:val="0"/>
            </w:pPr>
            <w:r>
              <w:rPr>
                <w:rFonts w:hint="eastAsia"/>
              </w:rPr>
              <w:t>0.034</w:t>
            </w:r>
          </w:p>
        </w:tc>
        <w:tc>
          <w:tcPr>
            <w:tcW w:w="1515" w:type="dxa"/>
            <w:noWrap/>
            <w:vAlign w:val="center"/>
          </w:tcPr>
          <w:p>
            <w:pPr>
              <w:pStyle w:val="100"/>
              <w:widowControl w:val="0"/>
              <w:bidi w:val="0"/>
              <w:adjustRightInd w:val="0"/>
              <w:snapToGrid w:val="0"/>
            </w:pPr>
            <w:r>
              <w:rPr>
                <w:rFonts w:hint="eastAsia"/>
              </w:rPr>
              <w:t>0</w:t>
            </w:r>
          </w:p>
        </w:tc>
        <w:tc>
          <w:tcPr>
            <w:tcW w:w="1274" w:type="dxa"/>
            <w:noWrap/>
            <w:vAlign w:val="center"/>
          </w:tcPr>
          <w:p>
            <w:pPr>
              <w:pStyle w:val="100"/>
              <w:widowControl w:val="0"/>
              <w:bidi w:val="0"/>
              <w:adjustRightInd w:val="0"/>
              <w:snapToGrid w:val="0"/>
            </w:pPr>
            <w:r>
              <w:rPr>
                <w:rFonts w:hint="eastAsia"/>
              </w:rPr>
              <w:t>0.034</w:t>
            </w:r>
          </w:p>
        </w:tc>
        <w:tc>
          <w:tcPr>
            <w:tcW w:w="1365" w:type="dxa"/>
            <w:noWrap/>
            <w:vAlign w:val="center"/>
          </w:tcPr>
          <w:p>
            <w:pPr>
              <w:pStyle w:val="100"/>
              <w:widowControl w:val="0"/>
              <w:bidi w:val="0"/>
              <w:adjustRightInd w:val="0"/>
              <w:snapToGrid w:val="0"/>
            </w:pPr>
            <w:r>
              <w:rPr>
                <w:rFonts w:hint="eastAsia"/>
              </w:rPr>
              <w:t>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06" w:type="dxa"/>
            <w:vMerge w:val="continue"/>
            <w:vAlign w:val="center"/>
          </w:tcPr>
          <w:p>
            <w:pPr>
              <w:pStyle w:val="100"/>
              <w:widowControl w:val="0"/>
              <w:bidi w:val="0"/>
              <w:adjustRightInd w:val="0"/>
              <w:snapToGrid w:val="0"/>
            </w:pPr>
          </w:p>
        </w:tc>
        <w:tc>
          <w:tcPr>
            <w:tcW w:w="2102" w:type="dxa"/>
            <w:noWrap/>
            <w:vAlign w:val="center"/>
          </w:tcPr>
          <w:p>
            <w:pPr>
              <w:pStyle w:val="100"/>
              <w:widowControl w:val="0"/>
              <w:bidi w:val="0"/>
              <w:adjustRightInd w:val="0"/>
              <w:snapToGrid w:val="0"/>
            </w:pPr>
            <w:r>
              <w:rPr>
                <w:rFonts w:hint="eastAsia"/>
              </w:rPr>
              <w:t>总磷</w:t>
            </w:r>
          </w:p>
        </w:tc>
        <w:tc>
          <w:tcPr>
            <w:tcW w:w="1274" w:type="dxa"/>
            <w:noWrap/>
            <w:vAlign w:val="center"/>
          </w:tcPr>
          <w:p>
            <w:pPr>
              <w:pStyle w:val="100"/>
              <w:widowControl w:val="0"/>
              <w:bidi w:val="0"/>
              <w:adjustRightInd w:val="0"/>
              <w:snapToGrid w:val="0"/>
            </w:pPr>
            <w:r>
              <w:rPr>
                <w:rFonts w:hint="eastAsia"/>
              </w:rPr>
              <w:t>0.003</w:t>
            </w:r>
          </w:p>
        </w:tc>
        <w:tc>
          <w:tcPr>
            <w:tcW w:w="1515" w:type="dxa"/>
            <w:noWrap/>
            <w:vAlign w:val="center"/>
          </w:tcPr>
          <w:p>
            <w:pPr>
              <w:pStyle w:val="100"/>
              <w:widowControl w:val="0"/>
              <w:bidi w:val="0"/>
              <w:adjustRightInd w:val="0"/>
              <w:snapToGrid w:val="0"/>
            </w:pPr>
            <w:r>
              <w:rPr>
                <w:rFonts w:hint="eastAsia"/>
              </w:rPr>
              <w:t>0</w:t>
            </w:r>
          </w:p>
        </w:tc>
        <w:tc>
          <w:tcPr>
            <w:tcW w:w="1274" w:type="dxa"/>
            <w:noWrap/>
            <w:vAlign w:val="center"/>
          </w:tcPr>
          <w:p>
            <w:pPr>
              <w:pStyle w:val="100"/>
              <w:widowControl w:val="0"/>
              <w:bidi w:val="0"/>
              <w:adjustRightInd w:val="0"/>
              <w:snapToGrid w:val="0"/>
            </w:pPr>
            <w:r>
              <w:rPr>
                <w:rFonts w:hint="eastAsia"/>
              </w:rPr>
              <w:t>0.003</w:t>
            </w:r>
          </w:p>
        </w:tc>
        <w:tc>
          <w:tcPr>
            <w:tcW w:w="1365" w:type="dxa"/>
            <w:noWrap/>
            <w:vAlign w:val="center"/>
          </w:tcPr>
          <w:p>
            <w:pPr>
              <w:pStyle w:val="100"/>
              <w:widowControl w:val="0"/>
              <w:bidi w:val="0"/>
              <w:adjustRightInd w:val="0"/>
              <w:snapToGrid w:val="0"/>
            </w:pPr>
            <w:r>
              <w:rPr>
                <w:rFonts w:hint="eastAsia"/>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08" w:type="dxa"/>
            <w:gridSpan w:val="2"/>
            <w:vAlign w:val="center"/>
          </w:tcPr>
          <w:p>
            <w:pPr>
              <w:pStyle w:val="100"/>
              <w:widowControl w:val="0"/>
              <w:bidi w:val="0"/>
              <w:adjustRightInd w:val="0"/>
              <w:snapToGrid w:val="0"/>
            </w:pPr>
            <w:r>
              <w:rPr>
                <w:rFonts w:hint="eastAsia"/>
              </w:rPr>
              <w:t>污染物</w:t>
            </w:r>
          </w:p>
        </w:tc>
        <w:tc>
          <w:tcPr>
            <w:tcW w:w="1274" w:type="dxa"/>
            <w:noWrap/>
            <w:vAlign w:val="center"/>
          </w:tcPr>
          <w:p>
            <w:pPr>
              <w:pStyle w:val="100"/>
              <w:widowControl w:val="0"/>
              <w:bidi w:val="0"/>
              <w:adjustRightInd w:val="0"/>
              <w:snapToGrid w:val="0"/>
            </w:pPr>
            <w:r>
              <w:rPr>
                <w:rFonts w:hint="eastAsia"/>
              </w:rPr>
              <w:t>产生量t/a</w:t>
            </w:r>
          </w:p>
        </w:tc>
        <w:tc>
          <w:tcPr>
            <w:tcW w:w="1515" w:type="dxa"/>
            <w:noWrap/>
            <w:vAlign w:val="center"/>
          </w:tcPr>
          <w:p>
            <w:pPr>
              <w:pStyle w:val="100"/>
              <w:widowControl w:val="0"/>
              <w:bidi w:val="0"/>
              <w:adjustRightInd w:val="0"/>
              <w:snapToGrid w:val="0"/>
            </w:pPr>
            <w:r>
              <w:rPr>
                <w:rFonts w:hint="eastAsia"/>
              </w:rPr>
              <w:t>自身削减量t/a</w:t>
            </w:r>
          </w:p>
        </w:tc>
        <w:tc>
          <w:tcPr>
            <w:tcW w:w="2639" w:type="dxa"/>
            <w:gridSpan w:val="2"/>
            <w:noWrap/>
            <w:vAlign w:val="center"/>
          </w:tcPr>
          <w:p>
            <w:pPr>
              <w:pStyle w:val="100"/>
              <w:widowControl w:val="0"/>
              <w:bidi w:val="0"/>
              <w:adjustRightInd w:val="0"/>
              <w:snapToGrid w:val="0"/>
            </w:pPr>
            <w:r>
              <w:rPr>
                <w:rFonts w:hint="eastAsia"/>
              </w:rPr>
              <w:t>控制量t/a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06" w:type="dxa"/>
            <w:noWrap/>
            <w:vAlign w:val="center"/>
          </w:tcPr>
          <w:p>
            <w:pPr>
              <w:pStyle w:val="100"/>
              <w:widowControl w:val="0"/>
              <w:bidi w:val="0"/>
              <w:adjustRightInd w:val="0"/>
              <w:snapToGrid w:val="0"/>
            </w:pPr>
            <w:r>
              <w:rPr>
                <w:rFonts w:hint="eastAsia"/>
              </w:rPr>
              <w:t>固废</w:t>
            </w:r>
          </w:p>
        </w:tc>
        <w:tc>
          <w:tcPr>
            <w:tcW w:w="2102" w:type="dxa"/>
            <w:vAlign w:val="center"/>
          </w:tcPr>
          <w:p>
            <w:pPr>
              <w:pStyle w:val="100"/>
              <w:widowControl w:val="0"/>
              <w:bidi w:val="0"/>
              <w:adjustRightInd w:val="0"/>
              <w:snapToGrid w:val="0"/>
            </w:pPr>
            <w:r>
              <w:rPr>
                <w:rFonts w:hint="eastAsia"/>
              </w:rPr>
              <w:t>生活垃圾</w:t>
            </w:r>
          </w:p>
        </w:tc>
        <w:tc>
          <w:tcPr>
            <w:tcW w:w="1274" w:type="dxa"/>
            <w:vAlign w:val="center"/>
          </w:tcPr>
          <w:p>
            <w:pPr>
              <w:pStyle w:val="100"/>
              <w:widowControl w:val="0"/>
              <w:bidi w:val="0"/>
              <w:adjustRightInd w:val="0"/>
              <w:snapToGrid w:val="0"/>
            </w:pPr>
            <w:r>
              <w:rPr>
                <w:rFonts w:hint="eastAsia"/>
              </w:rPr>
              <w:t>8.4</w:t>
            </w:r>
          </w:p>
        </w:tc>
        <w:tc>
          <w:tcPr>
            <w:tcW w:w="1515" w:type="dxa"/>
            <w:vAlign w:val="center"/>
          </w:tcPr>
          <w:p>
            <w:pPr>
              <w:pStyle w:val="100"/>
              <w:widowControl w:val="0"/>
              <w:bidi w:val="0"/>
              <w:adjustRightInd w:val="0"/>
              <w:snapToGrid w:val="0"/>
            </w:pPr>
            <w:r>
              <w:rPr>
                <w:rFonts w:hint="eastAsia"/>
              </w:rPr>
              <w:t>8.4</w:t>
            </w:r>
          </w:p>
        </w:tc>
        <w:tc>
          <w:tcPr>
            <w:tcW w:w="2639" w:type="dxa"/>
            <w:gridSpan w:val="2"/>
            <w:noWrap/>
            <w:vAlign w:val="center"/>
          </w:tcPr>
          <w:p>
            <w:pPr>
              <w:pStyle w:val="100"/>
              <w:widowControl w:val="0"/>
              <w:bidi w:val="0"/>
              <w:adjustRightInd w:val="0"/>
              <w:snapToGrid w:val="0"/>
            </w:pPr>
            <w:r>
              <w:rPr>
                <w:rFonts w:hint="eastAsia"/>
              </w:rPr>
              <w:t>0</w:t>
            </w:r>
          </w:p>
        </w:tc>
      </w:tr>
    </w:tbl>
    <w:p>
      <w:pPr>
        <w:pStyle w:val="102"/>
        <w:numPr>
          <w:ilvl w:val="1"/>
          <w:numId w:val="0"/>
        </w:numPr>
        <w:tabs>
          <w:tab w:val="clear" w:pos="720"/>
        </w:tabs>
        <w:ind w:leftChars="0"/>
        <w:rPr>
          <w:rFonts w:hint="eastAsia" w:cs="Times New Roman"/>
          <w:sz w:val="28"/>
          <w:szCs w:val="28"/>
        </w:rPr>
      </w:pPr>
      <w:r>
        <w:rPr>
          <w:rFonts w:hint="eastAsia" w:cs="Times New Roman"/>
          <w:sz w:val="28"/>
          <w:szCs w:val="28"/>
        </w:rPr>
        <w:t>9.8 “三同时”验收一览表</w:t>
      </w:r>
    </w:p>
    <w:p>
      <w:pPr>
        <w:pStyle w:val="103"/>
        <w:bidi w:val="0"/>
      </w:pPr>
      <w:r>
        <w:rPr>
          <w:rFonts w:hint="eastAsia"/>
        </w:rPr>
        <w:t>企业应严格执行建设项目”三同时”制度。根据我国有关建设项目环境保护管理制度的规定，建设项目的污染治理设施必须与主体工程”同时设计、同时施工、同时投入运行”。因此，本项目的污染治理设施必须严格执行“三同时”制度，在各种污染治理设施未按要求完工之前，项目不得进行试产，污染治理设施必须由当地环保部门验收合格后方可投入正式运行，具体见表9-2。</w:t>
      </w:r>
    </w:p>
    <w:bookmarkEnd w:id="88"/>
    <w:p>
      <w:pPr>
        <w:pStyle w:val="273"/>
        <w:bidi w:val="0"/>
        <w:rPr>
          <w:rFonts w:hint="eastAsia"/>
        </w:rPr>
      </w:pPr>
      <w:r>
        <w:rPr>
          <w:rFonts w:hint="eastAsia"/>
        </w:rPr>
        <w:t>表9-2  “三同时”验收表</w:t>
      </w:r>
    </w:p>
    <w:tbl>
      <w:tblPr>
        <w:tblStyle w:val="87"/>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137"/>
        <w:gridCol w:w="954"/>
        <w:gridCol w:w="178"/>
        <w:gridCol w:w="2175"/>
        <w:gridCol w:w="1686"/>
        <w:gridCol w:w="788"/>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761" w:type="dxa"/>
            <w:shd w:val="clear" w:color="auto" w:fill="auto"/>
            <w:vAlign w:val="center"/>
          </w:tcPr>
          <w:p>
            <w:pPr>
              <w:pStyle w:val="100"/>
              <w:bidi w:val="0"/>
            </w:pPr>
            <w:bookmarkStart w:id="89" w:name="OLE_LINK13"/>
            <w:r>
              <w:rPr>
                <w:rFonts w:hint="eastAsia"/>
              </w:rPr>
              <w:t>项目名称</w:t>
            </w:r>
          </w:p>
        </w:tc>
        <w:tc>
          <w:tcPr>
            <w:tcW w:w="7724" w:type="dxa"/>
            <w:gridSpan w:val="7"/>
            <w:shd w:val="clear" w:color="auto" w:fill="auto"/>
            <w:vAlign w:val="center"/>
          </w:tcPr>
          <w:p>
            <w:pPr>
              <w:pStyle w:val="100"/>
              <w:bidi w:val="0"/>
            </w:pPr>
            <w:r>
              <w:rPr>
                <w:rFonts w:hint="eastAsia"/>
              </w:rPr>
              <w:t>公司整体搬迁改造项目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761" w:type="dxa"/>
            <w:shd w:val="clear" w:color="auto" w:fill="auto"/>
            <w:vAlign w:val="center"/>
          </w:tcPr>
          <w:p>
            <w:pPr>
              <w:pStyle w:val="100"/>
              <w:bidi w:val="0"/>
            </w:pPr>
            <w:r>
              <w:rPr>
                <w:rFonts w:hint="eastAsia"/>
              </w:rPr>
              <w:t>类别</w:t>
            </w:r>
          </w:p>
        </w:tc>
        <w:tc>
          <w:tcPr>
            <w:tcW w:w="1137" w:type="dxa"/>
            <w:shd w:val="clear" w:color="auto" w:fill="auto"/>
            <w:vAlign w:val="center"/>
          </w:tcPr>
          <w:p>
            <w:pPr>
              <w:pStyle w:val="100"/>
              <w:bidi w:val="0"/>
            </w:pPr>
            <w:r>
              <w:rPr>
                <w:rFonts w:hint="eastAsia"/>
              </w:rPr>
              <w:t>污染源</w:t>
            </w:r>
          </w:p>
        </w:tc>
        <w:tc>
          <w:tcPr>
            <w:tcW w:w="954" w:type="dxa"/>
            <w:shd w:val="clear" w:color="auto" w:fill="auto"/>
            <w:vAlign w:val="center"/>
          </w:tcPr>
          <w:p>
            <w:pPr>
              <w:pStyle w:val="100"/>
              <w:bidi w:val="0"/>
            </w:pPr>
            <w:r>
              <w:rPr>
                <w:rFonts w:hint="eastAsia"/>
              </w:rPr>
              <w:t>污染物</w:t>
            </w:r>
          </w:p>
        </w:tc>
        <w:tc>
          <w:tcPr>
            <w:tcW w:w="2353" w:type="dxa"/>
            <w:gridSpan w:val="2"/>
            <w:shd w:val="clear" w:color="auto" w:fill="auto"/>
            <w:vAlign w:val="center"/>
          </w:tcPr>
          <w:p>
            <w:pPr>
              <w:pStyle w:val="100"/>
              <w:bidi w:val="0"/>
            </w:pPr>
            <w:r>
              <w:rPr>
                <w:rFonts w:hint="eastAsia"/>
              </w:rPr>
              <w:t>治理措施（设施数量、规模、处理能力等）</w:t>
            </w:r>
          </w:p>
        </w:tc>
        <w:tc>
          <w:tcPr>
            <w:tcW w:w="1686" w:type="dxa"/>
            <w:shd w:val="clear" w:color="auto" w:fill="auto"/>
            <w:vAlign w:val="center"/>
          </w:tcPr>
          <w:p>
            <w:pPr>
              <w:pStyle w:val="100"/>
              <w:bidi w:val="0"/>
            </w:pPr>
            <w:r>
              <w:rPr>
                <w:rFonts w:hint="eastAsia"/>
              </w:rPr>
              <w:t>处理效果、执行标准或拟达要求</w:t>
            </w:r>
          </w:p>
        </w:tc>
        <w:tc>
          <w:tcPr>
            <w:tcW w:w="788" w:type="dxa"/>
            <w:shd w:val="clear" w:color="auto" w:fill="auto"/>
            <w:vAlign w:val="center"/>
          </w:tcPr>
          <w:p>
            <w:pPr>
              <w:pStyle w:val="100"/>
              <w:bidi w:val="0"/>
            </w:pPr>
            <w:r>
              <w:rPr>
                <w:rFonts w:hint="eastAsia"/>
              </w:rPr>
              <w:t>环保投资（万元）</w:t>
            </w:r>
          </w:p>
        </w:tc>
        <w:tc>
          <w:tcPr>
            <w:tcW w:w="806" w:type="dxa"/>
            <w:shd w:val="clear" w:color="auto" w:fill="auto"/>
            <w:vAlign w:val="center"/>
          </w:tcPr>
          <w:p>
            <w:pPr>
              <w:pStyle w:val="100"/>
              <w:bidi w:val="0"/>
            </w:pPr>
            <w:r>
              <w:rPr>
                <w:rFonts w:hint="eastAsia"/>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1" w:type="dxa"/>
            <w:shd w:val="clear" w:color="auto" w:fill="auto"/>
            <w:vAlign w:val="center"/>
          </w:tcPr>
          <w:p>
            <w:pPr>
              <w:pStyle w:val="100"/>
              <w:bidi w:val="0"/>
            </w:pPr>
            <w:r>
              <w:rPr>
                <w:rFonts w:hint="eastAsia"/>
              </w:rPr>
              <w:t>废气</w:t>
            </w:r>
          </w:p>
        </w:tc>
        <w:tc>
          <w:tcPr>
            <w:tcW w:w="1137" w:type="dxa"/>
            <w:shd w:val="clear" w:color="auto" w:fill="auto"/>
            <w:vAlign w:val="center"/>
          </w:tcPr>
          <w:p>
            <w:pPr>
              <w:pStyle w:val="100"/>
              <w:bidi w:val="0"/>
            </w:pPr>
            <w:r>
              <w:rPr>
                <w:rFonts w:hint="eastAsia"/>
              </w:rPr>
              <w:t>无组织排放</w:t>
            </w:r>
          </w:p>
        </w:tc>
        <w:tc>
          <w:tcPr>
            <w:tcW w:w="954" w:type="dxa"/>
            <w:shd w:val="clear" w:color="auto" w:fill="auto"/>
            <w:vAlign w:val="center"/>
          </w:tcPr>
          <w:p>
            <w:pPr>
              <w:pStyle w:val="100"/>
              <w:bidi w:val="0"/>
            </w:pPr>
            <w:r>
              <w:rPr>
                <w:rFonts w:hint="eastAsia"/>
              </w:rPr>
              <w:t>非甲烷总烃</w:t>
            </w:r>
          </w:p>
        </w:tc>
        <w:tc>
          <w:tcPr>
            <w:tcW w:w="2353" w:type="dxa"/>
            <w:gridSpan w:val="2"/>
            <w:shd w:val="clear" w:color="auto" w:fill="auto"/>
            <w:vAlign w:val="center"/>
          </w:tcPr>
          <w:p>
            <w:pPr>
              <w:pStyle w:val="100"/>
              <w:bidi w:val="0"/>
            </w:pPr>
            <w:r>
              <w:rPr>
                <w:rFonts w:hint="eastAsia"/>
              </w:rPr>
              <w:t>场地通风、周围加强绿化</w:t>
            </w:r>
          </w:p>
        </w:tc>
        <w:tc>
          <w:tcPr>
            <w:tcW w:w="1686" w:type="dxa"/>
            <w:shd w:val="clear" w:color="auto" w:fill="auto"/>
            <w:vAlign w:val="center"/>
          </w:tcPr>
          <w:p>
            <w:pPr>
              <w:pStyle w:val="100"/>
              <w:bidi w:val="0"/>
            </w:pPr>
            <w:r>
              <w:rPr>
                <w:rFonts w:hint="eastAsia"/>
              </w:rPr>
              <w:t>达到相应的无组织监控浓度限值</w:t>
            </w:r>
          </w:p>
        </w:tc>
        <w:tc>
          <w:tcPr>
            <w:tcW w:w="788" w:type="dxa"/>
            <w:shd w:val="clear" w:color="auto" w:fill="auto"/>
            <w:vAlign w:val="center"/>
          </w:tcPr>
          <w:p>
            <w:pPr>
              <w:pStyle w:val="100"/>
              <w:bidi w:val="0"/>
            </w:pPr>
            <w:r>
              <w:rPr>
                <w:rFonts w:hint="eastAsia"/>
              </w:rPr>
              <w:t>/</w:t>
            </w:r>
          </w:p>
        </w:tc>
        <w:tc>
          <w:tcPr>
            <w:tcW w:w="806" w:type="dxa"/>
            <w:vMerge w:val="restart"/>
            <w:shd w:val="clear" w:color="auto" w:fill="auto"/>
            <w:vAlign w:val="center"/>
          </w:tcPr>
          <w:p>
            <w:pPr>
              <w:pStyle w:val="100"/>
              <w:bidi w:val="0"/>
            </w:pPr>
            <w:r>
              <w:rPr>
                <w:rFonts w:hint="eastAsia"/>
              </w:rPr>
              <w:t>与项目工程同步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761" w:type="dxa"/>
            <w:shd w:val="clear" w:color="auto" w:fill="auto"/>
            <w:vAlign w:val="center"/>
          </w:tcPr>
          <w:p>
            <w:pPr>
              <w:pStyle w:val="100"/>
              <w:bidi w:val="0"/>
            </w:pPr>
            <w:r>
              <w:rPr>
                <w:rFonts w:hint="eastAsia"/>
              </w:rPr>
              <w:t>废水</w:t>
            </w:r>
          </w:p>
        </w:tc>
        <w:tc>
          <w:tcPr>
            <w:tcW w:w="1137" w:type="dxa"/>
            <w:shd w:val="clear" w:color="auto" w:fill="auto"/>
            <w:vAlign w:val="center"/>
          </w:tcPr>
          <w:p>
            <w:pPr>
              <w:pStyle w:val="100"/>
              <w:bidi w:val="0"/>
            </w:pPr>
            <w:r>
              <w:rPr>
                <w:rFonts w:hint="eastAsia"/>
              </w:rPr>
              <w:t>生活污水</w:t>
            </w:r>
          </w:p>
        </w:tc>
        <w:tc>
          <w:tcPr>
            <w:tcW w:w="954" w:type="dxa"/>
            <w:shd w:val="clear" w:color="auto" w:fill="auto"/>
            <w:vAlign w:val="center"/>
          </w:tcPr>
          <w:p>
            <w:pPr>
              <w:pStyle w:val="100"/>
              <w:bidi w:val="0"/>
            </w:pPr>
            <w:r>
              <w:rPr>
                <w:rFonts w:hint="eastAsia"/>
              </w:rPr>
              <w:t>COD</w:t>
            </w:r>
          </w:p>
          <w:p>
            <w:pPr>
              <w:pStyle w:val="100"/>
              <w:bidi w:val="0"/>
            </w:pPr>
            <w:r>
              <w:rPr>
                <w:rFonts w:hint="eastAsia"/>
              </w:rPr>
              <w:t>SS</w:t>
            </w:r>
          </w:p>
          <w:p>
            <w:pPr>
              <w:pStyle w:val="100"/>
              <w:bidi w:val="0"/>
            </w:pPr>
            <w:r>
              <w:rPr>
                <w:rFonts w:hint="eastAsia"/>
              </w:rPr>
              <w:t>氨氮</w:t>
            </w:r>
          </w:p>
          <w:p>
            <w:pPr>
              <w:pStyle w:val="100"/>
              <w:bidi w:val="0"/>
            </w:pPr>
            <w:r>
              <w:rPr>
                <w:rFonts w:hint="eastAsia"/>
              </w:rPr>
              <w:t>总氮</w:t>
            </w:r>
          </w:p>
          <w:p>
            <w:pPr>
              <w:pStyle w:val="100"/>
              <w:bidi w:val="0"/>
            </w:pPr>
            <w:r>
              <w:rPr>
                <w:rFonts w:hint="eastAsia"/>
              </w:rPr>
              <w:t>总磷</w:t>
            </w:r>
          </w:p>
        </w:tc>
        <w:tc>
          <w:tcPr>
            <w:tcW w:w="2353" w:type="dxa"/>
            <w:gridSpan w:val="2"/>
            <w:shd w:val="clear" w:color="auto" w:fill="auto"/>
            <w:vAlign w:val="center"/>
          </w:tcPr>
          <w:p>
            <w:pPr>
              <w:pStyle w:val="100"/>
              <w:bidi w:val="0"/>
            </w:pPr>
            <w:r>
              <w:rPr>
                <w:rFonts w:hint="eastAsia"/>
              </w:rPr>
              <w:t>经化粪池处理后接管至吴江经济技术开发区运东污水处理厂处理</w:t>
            </w:r>
          </w:p>
        </w:tc>
        <w:tc>
          <w:tcPr>
            <w:tcW w:w="1686" w:type="dxa"/>
            <w:shd w:val="clear" w:color="auto" w:fill="auto"/>
            <w:vAlign w:val="center"/>
          </w:tcPr>
          <w:p>
            <w:pPr>
              <w:pStyle w:val="100"/>
              <w:bidi w:val="0"/>
            </w:pPr>
            <w:r>
              <w:rPr>
                <w:rFonts w:hint="eastAsia"/>
              </w:rPr>
              <w:t>达到GB8978-1996三级标准要求纳管，尾水排放执行DB32/1072-2007</w:t>
            </w:r>
          </w:p>
        </w:tc>
        <w:tc>
          <w:tcPr>
            <w:tcW w:w="788" w:type="dxa"/>
            <w:shd w:val="clear" w:color="auto" w:fill="auto"/>
            <w:vAlign w:val="center"/>
          </w:tcPr>
          <w:p>
            <w:pPr>
              <w:pStyle w:val="100"/>
              <w:bidi w:val="0"/>
            </w:pPr>
            <w:r>
              <w:rPr>
                <w:rFonts w:hint="eastAsia"/>
              </w:rPr>
              <w:t>0.5</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61" w:type="dxa"/>
            <w:shd w:val="clear" w:color="auto" w:fill="auto"/>
            <w:vAlign w:val="center"/>
          </w:tcPr>
          <w:p>
            <w:pPr>
              <w:pStyle w:val="100"/>
              <w:bidi w:val="0"/>
            </w:pPr>
            <w:r>
              <w:rPr>
                <w:rFonts w:hint="eastAsia"/>
              </w:rPr>
              <w:t>噪声</w:t>
            </w:r>
          </w:p>
        </w:tc>
        <w:tc>
          <w:tcPr>
            <w:tcW w:w="1137" w:type="dxa"/>
            <w:shd w:val="clear" w:color="auto" w:fill="auto"/>
            <w:vAlign w:val="center"/>
          </w:tcPr>
          <w:p>
            <w:pPr>
              <w:pStyle w:val="100"/>
              <w:bidi w:val="0"/>
            </w:pPr>
            <w:r>
              <w:rPr>
                <w:rFonts w:hint="eastAsia"/>
              </w:rPr>
              <w:t>机械设备及交通噪声</w:t>
            </w:r>
          </w:p>
        </w:tc>
        <w:tc>
          <w:tcPr>
            <w:tcW w:w="954" w:type="dxa"/>
            <w:shd w:val="clear" w:color="auto" w:fill="auto"/>
            <w:vAlign w:val="center"/>
          </w:tcPr>
          <w:p>
            <w:pPr>
              <w:pStyle w:val="100"/>
              <w:bidi w:val="0"/>
            </w:pPr>
            <w:r>
              <w:rPr>
                <w:rFonts w:hint="eastAsia"/>
              </w:rPr>
              <w:t>dB（A）</w:t>
            </w:r>
          </w:p>
        </w:tc>
        <w:tc>
          <w:tcPr>
            <w:tcW w:w="2353" w:type="dxa"/>
            <w:gridSpan w:val="2"/>
            <w:shd w:val="clear" w:color="auto" w:fill="auto"/>
            <w:vAlign w:val="center"/>
          </w:tcPr>
          <w:p>
            <w:pPr>
              <w:pStyle w:val="100"/>
              <w:bidi w:val="0"/>
            </w:pPr>
            <w:r>
              <w:rPr>
                <w:rFonts w:hint="eastAsia"/>
              </w:rPr>
              <w:t>减震隔声，合理布局</w:t>
            </w:r>
          </w:p>
        </w:tc>
        <w:tc>
          <w:tcPr>
            <w:tcW w:w="1686" w:type="dxa"/>
            <w:shd w:val="clear" w:color="auto" w:fill="auto"/>
            <w:vAlign w:val="center"/>
          </w:tcPr>
          <w:p>
            <w:pPr>
              <w:pStyle w:val="100"/>
              <w:bidi w:val="0"/>
            </w:pPr>
            <w:r>
              <w:rPr>
                <w:rFonts w:hint="eastAsia"/>
              </w:rPr>
              <w:t>达到GB12348-2008</w:t>
            </w:r>
          </w:p>
          <w:p>
            <w:pPr>
              <w:pStyle w:val="100"/>
              <w:bidi w:val="0"/>
            </w:pPr>
            <w:r>
              <w:rPr>
                <w:rFonts w:hint="eastAsia"/>
              </w:rPr>
              <w:t>3类标准</w:t>
            </w:r>
          </w:p>
        </w:tc>
        <w:tc>
          <w:tcPr>
            <w:tcW w:w="788" w:type="dxa"/>
            <w:shd w:val="clear" w:color="auto" w:fill="auto"/>
            <w:vAlign w:val="center"/>
          </w:tcPr>
          <w:p>
            <w:pPr>
              <w:pStyle w:val="100"/>
              <w:bidi w:val="0"/>
            </w:pPr>
            <w:r>
              <w:rPr>
                <w:rFonts w:hint="eastAsia"/>
              </w:rPr>
              <w:t>0.5</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1" w:type="dxa"/>
            <w:vMerge w:val="restart"/>
            <w:shd w:val="clear" w:color="auto" w:fill="auto"/>
            <w:vAlign w:val="center"/>
          </w:tcPr>
          <w:p>
            <w:pPr>
              <w:pStyle w:val="100"/>
              <w:bidi w:val="0"/>
            </w:pPr>
            <w:r>
              <w:rPr>
                <w:rFonts w:hint="eastAsia"/>
              </w:rPr>
              <w:t>固废</w:t>
            </w:r>
          </w:p>
        </w:tc>
        <w:tc>
          <w:tcPr>
            <w:tcW w:w="2091" w:type="dxa"/>
            <w:gridSpan w:val="2"/>
            <w:shd w:val="clear" w:color="auto" w:fill="auto"/>
            <w:vAlign w:val="center"/>
          </w:tcPr>
          <w:p>
            <w:pPr>
              <w:pStyle w:val="100"/>
              <w:bidi w:val="0"/>
            </w:pPr>
            <w:r>
              <w:rPr>
                <w:rFonts w:hint="eastAsia"/>
              </w:rPr>
              <w:t>一般固废</w:t>
            </w:r>
          </w:p>
        </w:tc>
        <w:tc>
          <w:tcPr>
            <w:tcW w:w="2353" w:type="dxa"/>
            <w:gridSpan w:val="2"/>
            <w:shd w:val="clear" w:color="auto" w:fill="auto"/>
            <w:vAlign w:val="center"/>
          </w:tcPr>
          <w:p>
            <w:pPr>
              <w:pStyle w:val="100"/>
              <w:bidi w:val="0"/>
            </w:pPr>
            <w:r>
              <w:t>建设专用堆放场所，综合处置</w:t>
            </w:r>
          </w:p>
        </w:tc>
        <w:tc>
          <w:tcPr>
            <w:tcW w:w="1686" w:type="dxa"/>
            <w:shd w:val="clear" w:color="auto" w:fill="auto"/>
            <w:vAlign w:val="center"/>
          </w:tcPr>
          <w:p>
            <w:pPr>
              <w:pStyle w:val="100"/>
              <w:bidi w:val="0"/>
            </w:pPr>
            <w:r>
              <w:rPr>
                <w:rFonts w:hint="eastAsia"/>
              </w:rPr>
              <w:t>零排放</w:t>
            </w:r>
          </w:p>
        </w:tc>
        <w:tc>
          <w:tcPr>
            <w:tcW w:w="788" w:type="dxa"/>
            <w:shd w:val="clear" w:color="auto" w:fill="auto"/>
            <w:vAlign w:val="center"/>
          </w:tcPr>
          <w:p>
            <w:pPr>
              <w:pStyle w:val="100"/>
              <w:bidi w:val="0"/>
            </w:pPr>
            <w:r>
              <w:rPr>
                <w:rFonts w:hint="eastAsia"/>
              </w:rPr>
              <w:t>0.5</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1" w:type="dxa"/>
            <w:vMerge w:val="continue"/>
            <w:shd w:val="clear" w:color="auto" w:fill="auto"/>
            <w:vAlign w:val="center"/>
          </w:tcPr>
          <w:p>
            <w:pPr>
              <w:pStyle w:val="100"/>
              <w:bidi w:val="0"/>
            </w:pPr>
          </w:p>
        </w:tc>
        <w:tc>
          <w:tcPr>
            <w:tcW w:w="2091" w:type="dxa"/>
            <w:gridSpan w:val="2"/>
            <w:shd w:val="clear" w:color="auto" w:fill="auto"/>
            <w:vAlign w:val="center"/>
          </w:tcPr>
          <w:p>
            <w:pPr>
              <w:pStyle w:val="100"/>
              <w:bidi w:val="0"/>
            </w:pPr>
            <w:r>
              <w:rPr>
                <w:rFonts w:hint="eastAsia"/>
              </w:rPr>
              <w:t>危险固废</w:t>
            </w:r>
          </w:p>
        </w:tc>
        <w:tc>
          <w:tcPr>
            <w:tcW w:w="2353" w:type="dxa"/>
            <w:gridSpan w:val="2"/>
            <w:shd w:val="clear" w:color="auto" w:fill="auto"/>
            <w:vAlign w:val="center"/>
          </w:tcPr>
          <w:p>
            <w:pPr>
              <w:pStyle w:val="100"/>
              <w:bidi w:val="0"/>
            </w:pPr>
            <w:r>
              <w:t>建设“四防措施”的专用危废堆放场所，与有资质单位签订危废处置协议，作好危废产生及转移台账，转移清单存档备查</w:t>
            </w:r>
          </w:p>
        </w:tc>
        <w:tc>
          <w:tcPr>
            <w:tcW w:w="1686" w:type="dxa"/>
            <w:shd w:val="clear" w:color="auto" w:fill="auto"/>
            <w:vAlign w:val="center"/>
          </w:tcPr>
          <w:p>
            <w:pPr>
              <w:pStyle w:val="100"/>
              <w:bidi w:val="0"/>
            </w:pPr>
            <w:r>
              <w:rPr>
                <w:rFonts w:hint="eastAsia"/>
              </w:rPr>
              <w:t>零排放</w:t>
            </w:r>
          </w:p>
        </w:tc>
        <w:tc>
          <w:tcPr>
            <w:tcW w:w="788" w:type="dxa"/>
            <w:shd w:val="clear" w:color="auto" w:fill="auto"/>
            <w:vAlign w:val="center"/>
          </w:tcPr>
          <w:p>
            <w:pPr>
              <w:pStyle w:val="100"/>
              <w:bidi w:val="0"/>
            </w:pPr>
            <w:r>
              <w:rPr>
                <w:rFonts w:hint="eastAsia"/>
              </w:rPr>
              <w:t>1</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1" w:type="dxa"/>
            <w:shd w:val="clear" w:color="auto" w:fill="auto"/>
            <w:vAlign w:val="center"/>
          </w:tcPr>
          <w:p>
            <w:pPr>
              <w:pStyle w:val="100"/>
              <w:bidi w:val="0"/>
            </w:pPr>
            <w:r>
              <w:rPr>
                <w:rFonts w:hint="eastAsia"/>
              </w:rPr>
              <w:t>绿化</w:t>
            </w:r>
          </w:p>
        </w:tc>
        <w:tc>
          <w:tcPr>
            <w:tcW w:w="4444" w:type="dxa"/>
            <w:gridSpan w:val="4"/>
            <w:shd w:val="clear" w:color="auto" w:fill="auto"/>
            <w:vAlign w:val="center"/>
          </w:tcPr>
          <w:p>
            <w:pPr>
              <w:pStyle w:val="100"/>
              <w:bidi w:val="0"/>
            </w:pPr>
            <w:r>
              <w:rPr>
                <w:rFonts w:hint="eastAsia"/>
              </w:rPr>
              <w:t>50m2</w:t>
            </w:r>
          </w:p>
        </w:tc>
        <w:tc>
          <w:tcPr>
            <w:tcW w:w="1686" w:type="dxa"/>
            <w:shd w:val="clear" w:color="auto" w:fill="auto"/>
            <w:vAlign w:val="center"/>
          </w:tcPr>
          <w:p>
            <w:pPr>
              <w:pStyle w:val="100"/>
              <w:bidi w:val="0"/>
            </w:pPr>
            <w:r>
              <w:rPr>
                <w:rFonts w:hint="eastAsia"/>
              </w:rPr>
              <w:t>/</w:t>
            </w:r>
          </w:p>
        </w:tc>
        <w:tc>
          <w:tcPr>
            <w:tcW w:w="788" w:type="dxa"/>
            <w:shd w:val="clear" w:color="auto" w:fill="auto"/>
            <w:vAlign w:val="center"/>
          </w:tcPr>
          <w:p>
            <w:pPr>
              <w:pStyle w:val="100"/>
              <w:bidi w:val="0"/>
            </w:pPr>
            <w:r>
              <w:rPr>
                <w:rFonts w:hint="eastAsia"/>
              </w:rPr>
              <w:t>2</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61" w:type="dxa"/>
            <w:shd w:val="clear" w:color="auto" w:fill="auto"/>
            <w:vAlign w:val="center"/>
          </w:tcPr>
          <w:p>
            <w:pPr>
              <w:pStyle w:val="100"/>
              <w:bidi w:val="0"/>
            </w:pPr>
            <w:r>
              <w:rPr>
                <w:rFonts w:hint="eastAsia"/>
              </w:rPr>
              <w:t>事故应急措施</w:t>
            </w:r>
          </w:p>
        </w:tc>
        <w:tc>
          <w:tcPr>
            <w:tcW w:w="4444" w:type="dxa"/>
            <w:gridSpan w:val="4"/>
            <w:shd w:val="clear" w:color="auto" w:fill="auto"/>
            <w:vAlign w:val="center"/>
          </w:tcPr>
          <w:p>
            <w:pPr>
              <w:pStyle w:val="100"/>
              <w:bidi w:val="0"/>
            </w:pPr>
            <w:r>
              <w:rPr>
                <w:rFonts w:hint="eastAsia"/>
              </w:rPr>
              <w:t>编制环境风险应急预案文挡，落实应急预案中的软、硬件要求，并进行演练。</w:t>
            </w:r>
          </w:p>
        </w:tc>
        <w:tc>
          <w:tcPr>
            <w:tcW w:w="1686" w:type="dxa"/>
            <w:shd w:val="clear" w:color="auto" w:fill="auto"/>
            <w:vAlign w:val="center"/>
          </w:tcPr>
          <w:p>
            <w:pPr>
              <w:pStyle w:val="100"/>
              <w:bidi w:val="0"/>
            </w:pPr>
            <w:r>
              <w:rPr>
                <w:rFonts w:hint="eastAsia"/>
              </w:rPr>
              <w:t>满足相关管理部门，具有可操作性</w:t>
            </w:r>
          </w:p>
        </w:tc>
        <w:tc>
          <w:tcPr>
            <w:tcW w:w="788" w:type="dxa"/>
            <w:shd w:val="clear" w:color="auto" w:fill="auto"/>
            <w:vAlign w:val="center"/>
          </w:tcPr>
          <w:p>
            <w:pPr>
              <w:pStyle w:val="100"/>
              <w:bidi w:val="0"/>
            </w:pPr>
            <w:r>
              <w:rPr>
                <w:rFonts w:hint="eastAsia"/>
              </w:rPr>
              <w:t>5</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030" w:type="dxa"/>
            <w:gridSpan w:val="4"/>
            <w:shd w:val="clear" w:color="auto" w:fill="auto"/>
            <w:vAlign w:val="center"/>
          </w:tcPr>
          <w:p>
            <w:pPr>
              <w:pStyle w:val="100"/>
              <w:bidi w:val="0"/>
            </w:pPr>
            <w:r>
              <w:rPr>
                <w:rFonts w:hint="eastAsia"/>
              </w:rPr>
              <w:t>环境管理（机构、监测能力等）</w:t>
            </w:r>
          </w:p>
        </w:tc>
        <w:tc>
          <w:tcPr>
            <w:tcW w:w="4649" w:type="dxa"/>
            <w:gridSpan w:val="3"/>
            <w:shd w:val="clear" w:color="auto" w:fill="auto"/>
            <w:vAlign w:val="center"/>
          </w:tcPr>
          <w:p>
            <w:pPr>
              <w:pStyle w:val="100"/>
              <w:bidi w:val="0"/>
            </w:pPr>
            <w:r>
              <w:rPr>
                <w:rFonts w:hint="eastAsia"/>
              </w:rPr>
              <w:t>委托有资质单位</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0" w:hRule="atLeast"/>
          <w:jc w:val="center"/>
        </w:trPr>
        <w:tc>
          <w:tcPr>
            <w:tcW w:w="3030" w:type="dxa"/>
            <w:gridSpan w:val="4"/>
            <w:shd w:val="clear" w:color="auto" w:fill="auto"/>
            <w:vAlign w:val="center"/>
          </w:tcPr>
          <w:p>
            <w:pPr>
              <w:pStyle w:val="100"/>
              <w:bidi w:val="0"/>
            </w:pPr>
            <w:r>
              <w:rPr>
                <w:rFonts w:hint="eastAsia"/>
              </w:rPr>
              <w:t>清污分流、排污口规范化设置（流量计、在线监测仪等）</w:t>
            </w:r>
          </w:p>
        </w:tc>
        <w:tc>
          <w:tcPr>
            <w:tcW w:w="4649" w:type="dxa"/>
            <w:gridSpan w:val="3"/>
            <w:shd w:val="clear" w:color="auto" w:fill="auto"/>
            <w:vAlign w:val="center"/>
          </w:tcPr>
          <w:p>
            <w:pPr>
              <w:pStyle w:val="100"/>
              <w:bidi w:val="0"/>
            </w:pPr>
            <w:r>
              <w:rPr>
                <w:rFonts w:hint="eastAsia"/>
              </w:rPr>
              <w:t>雨污分流、清污分流、排污口规范化设置</w:t>
            </w:r>
          </w:p>
        </w:tc>
        <w:tc>
          <w:tcPr>
            <w:tcW w:w="806" w:type="dxa"/>
            <w:vMerge w:val="continue"/>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30" w:type="dxa"/>
            <w:gridSpan w:val="4"/>
            <w:shd w:val="clear" w:color="auto" w:fill="auto"/>
            <w:vAlign w:val="center"/>
          </w:tcPr>
          <w:p>
            <w:pPr>
              <w:pStyle w:val="100"/>
              <w:bidi w:val="0"/>
            </w:pPr>
            <w:r>
              <w:rPr>
                <w:rFonts w:hint="eastAsia"/>
              </w:rPr>
              <w:t>“以新带老”措施</w:t>
            </w:r>
          </w:p>
        </w:tc>
        <w:tc>
          <w:tcPr>
            <w:tcW w:w="4649" w:type="dxa"/>
            <w:gridSpan w:val="3"/>
            <w:shd w:val="clear" w:color="auto" w:fill="auto"/>
            <w:vAlign w:val="center"/>
          </w:tcPr>
          <w:p>
            <w:pPr>
              <w:pStyle w:val="100"/>
              <w:bidi w:val="0"/>
            </w:pPr>
            <w:r>
              <w:rPr>
                <w:rFonts w:hint="eastAsia"/>
              </w:rPr>
              <w:t>无</w:t>
            </w:r>
          </w:p>
        </w:tc>
        <w:tc>
          <w:tcPr>
            <w:tcW w:w="806" w:type="dxa"/>
            <w:vMerge w:val="continue"/>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30" w:type="dxa"/>
            <w:gridSpan w:val="4"/>
            <w:shd w:val="clear" w:color="auto" w:fill="auto"/>
            <w:vAlign w:val="center"/>
          </w:tcPr>
          <w:p>
            <w:pPr>
              <w:pStyle w:val="100"/>
              <w:bidi w:val="0"/>
            </w:pPr>
            <w:r>
              <w:rPr>
                <w:rFonts w:hint="eastAsia"/>
              </w:rPr>
              <w:t>总量平衡具体方案</w:t>
            </w:r>
          </w:p>
        </w:tc>
        <w:tc>
          <w:tcPr>
            <w:tcW w:w="4649" w:type="dxa"/>
            <w:gridSpan w:val="3"/>
            <w:shd w:val="clear" w:color="auto" w:fill="auto"/>
            <w:vAlign w:val="center"/>
          </w:tcPr>
          <w:p>
            <w:pPr>
              <w:pStyle w:val="100"/>
              <w:bidi w:val="0"/>
            </w:pPr>
            <w:r>
              <w:rPr>
                <w:rFonts w:hint="eastAsia"/>
              </w:rPr>
              <w:t>在吴江经济技术开发区运东污水处理厂内平衡</w:t>
            </w:r>
          </w:p>
        </w:tc>
        <w:tc>
          <w:tcPr>
            <w:tcW w:w="806" w:type="dxa"/>
            <w:vMerge w:val="continue"/>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30" w:type="dxa"/>
            <w:gridSpan w:val="4"/>
            <w:shd w:val="clear" w:color="auto" w:fill="auto"/>
            <w:vAlign w:val="center"/>
          </w:tcPr>
          <w:p>
            <w:pPr>
              <w:pStyle w:val="100"/>
              <w:bidi w:val="0"/>
            </w:pPr>
            <w:r>
              <w:rPr>
                <w:rFonts w:hint="eastAsia"/>
              </w:rPr>
              <w:t>区域解决问题</w:t>
            </w:r>
          </w:p>
        </w:tc>
        <w:tc>
          <w:tcPr>
            <w:tcW w:w="4649" w:type="dxa"/>
            <w:gridSpan w:val="3"/>
            <w:shd w:val="clear" w:color="auto" w:fill="auto"/>
            <w:vAlign w:val="center"/>
          </w:tcPr>
          <w:p>
            <w:pPr>
              <w:pStyle w:val="100"/>
              <w:bidi w:val="0"/>
            </w:pPr>
            <w:r>
              <w:rPr>
                <w:rFonts w:hint="eastAsia"/>
              </w:rPr>
              <w:t>无</w:t>
            </w:r>
          </w:p>
        </w:tc>
        <w:tc>
          <w:tcPr>
            <w:tcW w:w="806" w:type="dxa"/>
            <w:vMerge w:val="continue"/>
            <w:shd w:val="clear" w:color="auto" w:fill="auto"/>
            <w:vAlign w:val="center"/>
          </w:tcPr>
          <w:p>
            <w:pPr>
              <w:pStyle w:val="10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0" w:type="dxa"/>
            <w:gridSpan w:val="4"/>
            <w:shd w:val="clear" w:color="auto" w:fill="auto"/>
            <w:vAlign w:val="center"/>
          </w:tcPr>
          <w:p>
            <w:pPr>
              <w:pStyle w:val="100"/>
              <w:bidi w:val="0"/>
            </w:pPr>
            <w:r>
              <w:rPr>
                <w:rFonts w:hint="eastAsia"/>
              </w:rPr>
              <w:t>卫生防护距离设置（以设施或厂界设置，敏感保护目标情况等）</w:t>
            </w:r>
          </w:p>
        </w:tc>
        <w:tc>
          <w:tcPr>
            <w:tcW w:w="4649" w:type="dxa"/>
            <w:gridSpan w:val="3"/>
            <w:shd w:val="clear" w:color="auto" w:fill="auto"/>
            <w:vAlign w:val="center"/>
          </w:tcPr>
          <w:p>
            <w:pPr>
              <w:pStyle w:val="100"/>
              <w:bidi w:val="0"/>
            </w:pPr>
            <w:r>
              <w:rPr>
                <w:rFonts w:hint="eastAsia"/>
              </w:rPr>
              <w:t>无</w:t>
            </w:r>
          </w:p>
        </w:tc>
        <w:tc>
          <w:tcPr>
            <w:tcW w:w="806" w:type="dxa"/>
            <w:vMerge w:val="continue"/>
            <w:shd w:val="clear" w:color="auto" w:fill="auto"/>
            <w:vAlign w:val="center"/>
          </w:tcPr>
          <w:p>
            <w:pPr>
              <w:pStyle w:val="100"/>
              <w:bidi w:val="0"/>
            </w:pPr>
          </w:p>
        </w:tc>
      </w:tr>
      <w:bookmarkEnd w:id="89"/>
    </w:tbl>
    <w:p>
      <w:pPr>
        <w:pStyle w:val="102"/>
        <w:numPr>
          <w:ilvl w:val="1"/>
          <w:numId w:val="0"/>
        </w:numPr>
        <w:tabs>
          <w:tab w:val="clear" w:pos="720"/>
        </w:tabs>
        <w:ind w:leftChars="0"/>
        <w:rPr>
          <w:rFonts w:hint="eastAsia" w:cs="Times New Roman"/>
          <w:sz w:val="28"/>
          <w:szCs w:val="28"/>
        </w:rPr>
      </w:pPr>
      <w:bookmarkStart w:id="90" w:name="_Toc307515840"/>
      <w:r>
        <w:rPr>
          <w:rFonts w:hint="eastAsia" w:cs="Times New Roman"/>
          <w:sz w:val="28"/>
          <w:szCs w:val="28"/>
        </w:rPr>
        <w:t>9.</w:t>
      </w:r>
      <w:r>
        <w:rPr>
          <w:rFonts w:hint="eastAsia" w:cs="Times New Roman"/>
          <w:sz w:val="28"/>
          <w:szCs w:val="28"/>
          <w:lang w:val="en-US" w:eastAsia="zh-CN"/>
        </w:rPr>
        <w:t>10</w:t>
      </w:r>
      <w:r>
        <w:rPr>
          <w:rFonts w:hint="eastAsia" w:cs="Times New Roman"/>
          <w:sz w:val="28"/>
          <w:szCs w:val="28"/>
        </w:rPr>
        <w:t>总结论</w:t>
      </w:r>
      <w:bookmarkEnd w:id="90"/>
    </w:p>
    <w:p>
      <w:pPr>
        <w:pStyle w:val="103"/>
      </w:pPr>
      <w:r>
        <w:t>综上所述，拟建项目符合国家相关产业政策：清洁生产水平优于国内平均水平，在认真落实各项环保措施后，污染物可以达标排放，并按当地环境管理部门下达的排放总量指标进行控制；项目建设后对周围环境的影响是可以接受的，不会改变项目周围地区当前的大气、水、声环境质量的现有功能要求。建设单位应加强管理，使环境影响评价中提出的各项措施得到落实和实施。从环境保护的角度上来说，拟建项目建设是可行的。</w:t>
      </w:r>
    </w:p>
    <w:p>
      <w:pPr>
        <w:pStyle w:val="102"/>
        <w:numPr>
          <w:ilvl w:val="1"/>
          <w:numId w:val="0"/>
        </w:numPr>
        <w:tabs>
          <w:tab w:val="clear" w:pos="720"/>
        </w:tabs>
        <w:ind w:leftChars="0"/>
        <w:rPr>
          <w:rFonts w:hint="eastAsia" w:cs="Times New Roman"/>
          <w:sz w:val="28"/>
          <w:szCs w:val="28"/>
        </w:rPr>
      </w:pPr>
      <w:bookmarkStart w:id="91" w:name="_Toc280009026"/>
      <w:bookmarkStart w:id="92" w:name="_Toc307515841"/>
      <w:bookmarkStart w:id="93" w:name="_Toc249119741"/>
      <w:bookmarkStart w:id="94" w:name="_Toc17480"/>
      <w:r>
        <w:rPr>
          <w:rFonts w:hint="eastAsia" w:cs="Times New Roman"/>
          <w:sz w:val="28"/>
          <w:szCs w:val="28"/>
        </w:rPr>
        <w:t>9.</w:t>
      </w:r>
      <w:r>
        <w:rPr>
          <w:rFonts w:hint="eastAsia" w:cs="Times New Roman"/>
          <w:sz w:val="28"/>
          <w:szCs w:val="28"/>
          <w:lang w:val="en-US" w:eastAsia="zh-CN"/>
        </w:rPr>
        <w:t>11</w:t>
      </w:r>
      <w:r>
        <w:rPr>
          <w:rFonts w:hint="eastAsia" w:cs="Times New Roman"/>
          <w:sz w:val="28"/>
          <w:szCs w:val="28"/>
        </w:rPr>
        <w:t xml:space="preserve"> 建议</w:t>
      </w:r>
      <w:bookmarkEnd w:id="91"/>
      <w:bookmarkEnd w:id="92"/>
    </w:p>
    <w:p>
      <w:pPr>
        <w:pStyle w:val="103"/>
        <w:bidi w:val="0"/>
      </w:pPr>
      <w:r>
        <w:t>1</w:t>
      </w:r>
      <w:bookmarkEnd w:id="93"/>
      <w:bookmarkEnd w:id="94"/>
      <w:r>
        <w:t>、应将治理设施的管理与生产经营管理一同纳入公司日常管理工作的范畴，对环保治理设施的维护保养应与生产工艺设备的维护保养同步化。</w:t>
      </w:r>
    </w:p>
    <w:p>
      <w:pPr>
        <w:pStyle w:val="103"/>
        <w:bidi w:val="0"/>
      </w:pPr>
      <w:r>
        <w:t>2、强化对环保治理设施运行及维护管理的监督检查，确保各类环保治理设施的正常运行，发现问题，及时检修，防止污染事故发生。</w:t>
      </w:r>
    </w:p>
    <w:p>
      <w:pPr>
        <w:pStyle w:val="103"/>
        <w:bidi w:val="0"/>
      </w:pPr>
      <w:r>
        <w:t>3、按IS014001：</w:t>
      </w:r>
      <w:r>
        <w:rPr>
          <w:rFonts w:hint="eastAsia"/>
          <w:lang w:val="en-US" w:eastAsia="zh-CN"/>
        </w:rPr>
        <w:t>2015</w:t>
      </w:r>
      <w:r>
        <w:t>标准建立规范的环境管理体系，以提高公司的环境管理水平，持续改善公司的环境绩效。</w:t>
      </w:r>
    </w:p>
    <w:bookmarkEnd w:id="0"/>
    <w:p>
      <w:pPr>
        <w:pStyle w:val="103"/>
        <w:bidi w:val="0"/>
      </w:pPr>
      <w:r>
        <w:t>4、加强环保设施的管理，确保正常运行。</w:t>
      </w:r>
    </w:p>
    <w:sectPr>
      <w:pgSz w:w="11906" w:h="16838"/>
      <w:pgMar w:top="1440" w:right="1797" w:bottom="1440" w:left="1797" w:header="851" w:footer="992" w:gutter="0"/>
      <w:pgBorders>
        <w:top w:val="single" w:color="auto" w:sz="4" w:space="1"/>
        <w:left w:val="single" w:color="auto" w:sz="4" w:space="4"/>
        <w:bottom w:val="single" w:color="auto" w:sz="4" w:space="1"/>
        <w:right w:val="single" w:color="auto" w:sz="4" w:space="4"/>
      </w:pgBorders>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MingLiU">
    <w:altName w:val="PMingLiU-ExtB"/>
    <w:panose1 w:val="02020309000000000000"/>
    <w:charset w:val="88"/>
    <w:family w:val="modern"/>
    <w:pitch w:val="default"/>
    <w:sig w:usb0="00000000" w:usb1="00000000" w:usb2="00000016" w:usb3="00000000" w:csb0="00100001" w:csb1="00000000"/>
  </w:font>
  <w:font w:name="楷体_GB2312">
    <w:panose1 w:val="02010609030101010101"/>
    <w:charset w:val="86"/>
    <w:family w:val="moder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CG Times (W1)">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93"/>
        <w:rFonts w:ascii="Times New Roman" w:hAnsi="Times New Roman"/>
      </w:rPr>
    </w:pPr>
    <w:r>
      <w:rPr>
        <w:rStyle w:val="93"/>
        <w:rFonts w:ascii="Times New Roman" w:hAnsi="Times New Roman"/>
      </w:rPr>
      <w:fldChar w:fldCharType="begin"/>
    </w:r>
    <w:r>
      <w:rPr>
        <w:rStyle w:val="93"/>
        <w:rFonts w:ascii="Times New Roman" w:hAnsi="Times New Roman"/>
      </w:rPr>
      <w:instrText xml:space="preserve">PAGE  </w:instrText>
    </w:r>
    <w:r>
      <w:rPr>
        <w:rStyle w:val="93"/>
        <w:rFonts w:ascii="Times New Roman" w:hAnsi="Times New Roman"/>
      </w:rPr>
      <w:fldChar w:fldCharType="separate"/>
    </w:r>
    <w:r>
      <w:rPr>
        <w:rStyle w:val="93"/>
        <w:rFonts w:ascii="Times New Roman" w:hAnsi="Times New Roman"/>
      </w:rPr>
      <w:t>- 3 -</w:t>
    </w:r>
    <w:r>
      <w:rPr>
        <w:rStyle w:val="93"/>
        <w:rFonts w:ascii="Times New Roman" w:hAnsi="Times New Roman"/>
      </w:rPr>
      <w:fldChar w:fldCharType="end"/>
    </w:r>
  </w:p>
  <w:p>
    <w:pPr>
      <w:pStyle w:val="5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93"/>
      </w:rPr>
    </w:pPr>
    <w:r>
      <w:rPr>
        <w:rStyle w:val="93"/>
      </w:rPr>
      <w:fldChar w:fldCharType="begin"/>
    </w:r>
    <w:r>
      <w:rPr>
        <w:rStyle w:val="93"/>
      </w:rPr>
      <w:instrText xml:space="preserve">PAGE  </w:instrText>
    </w:r>
    <w:r>
      <w:rPr>
        <w:rStyle w:val="93"/>
      </w:rPr>
      <w:fldChar w:fldCharType="end"/>
    </w:r>
  </w:p>
  <w:p>
    <w:pPr>
      <w:pStyle w:val="5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fldChar w:fldCharType="begin"/>
    </w:r>
    <w:r>
      <w:instrText xml:space="preserve"> PAGE   \* MERGEFORMAT </w:instrText>
    </w:r>
    <w:r>
      <w:fldChar w:fldCharType="separate"/>
    </w:r>
    <w:r>
      <w:rPr>
        <w:lang w:val="zh-CN"/>
      </w:rPr>
      <w:t>-</w:t>
    </w:r>
    <w:r>
      <w:t xml:space="preserve"> 121 -</w:t>
    </w:r>
    <w:r>
      <w:fldChar w:fldCharType="end"/>
    </w:r>
  </w:p>
  <w:p>
    <w:pPr>
      <w:pStyle w:val="55"/>
      <w:spacing w:before="48" w:after="4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fldChar w:fldCharType="begin"/>
    </w:r>
    <w:r>
      <w:instrText xml:space="preserve"> PAGE   \* MERGEFORMAT </w:instrText>
    </w:r>
    <w:r>
      <w:fldChar w:fldCharType="separate"/>
    </w:r>
    <w:r>
      <w:rPr>
        <w:lang w:val="zh-CN"/>
      </w:rPr>
      <w:t>-</w:t>
    </w:r>
    <w:r>
      <w:t xml:space="preserve"> 18 -</w:t>
    </w:r>
    <w:r>
      <w:fldChar w:fldCharType="end"/>
    </w:r>
  </w:p>
  <w:p>
    <w:pPr>
      <w:pStyle w:val="55"/>
      <w:spacing w:before="48" w:after="4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852D7D"/>
    <w:multiLevelType w:val="singleLevel"/>
    <w:tmpl w:val="FC852D7D"/>
    <w:lvl w:ilvl="0" w:tentative="0">
      <w:start w:val="1"/>
      <w:numFmt w:val="decimal"/>
      <w:suff w:val="space"/>
      <w:lvlText w:val="%1."/>
      <w:lvlJc w:val="left"/>
    </w:lvl>
  </w:abstractNum>
  <w:abstractNum w:abstractNumId="1">
    <w:nsid w:val="FFFFFF7C"/>
    <w:multiLevelType w:val="singleLevel"/>
    <w:tmpl w:val="FFFFFF7C"/>
    <w:lvl w:ilvl="0" w:tentative="0">
      <w:start w:val="1"/>
      <w:numFmt w:val="decimal"/>
      <w:pStyle w:val="64"/>
      <w:lvlText w:val="%1."/>
      <w:lvlJc w:val="left"/>
      <w:pPr>
        <w:tabs>
          <w:tab w:val="left" w:pos="4760"/>
        </w:tabs>
        <w:ind w:left="4760" w:leftChars="800" w:hanging="360" w:hangingChars="20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21"/>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25"/>
      <w:lvlText w:val=""/>
      <w:lvlJc w:val="left"/>
      <w:pPr>
        <w:tabs>
          <w:tab w:val="left" w:pos="360"/>
        </w:tabs>
        <w:ind w:left="360" w:hanging="360" w:hangingChars="200"/>
      </w:pPr>
      <w:rPr>
        <w:rFonts w:hint="default" w:ascii="Wingdings" w:hAnsi="Wingdings"/>
      </w:rPr>
    </w:lvl>
  </w:abstractNum>
  <w:abstractNum w:abstractNumId="11">
    <w:nsid w:val="045A1A3A"/>
    <w:multiLevelType w:val="multilevel"/>
    <w:tmpl w:val="045A1A3A"/>
    <w:lvl w:ilvl="0" w:tentative="0">
      <w:start w:val="1"/>
      <w:numFmt w:val="decimal"/>
      <w:lvlText w:val="%1"/>
      <w:lvlJc w:val="left"/>
      <w:pPr>
        <w:ind w:left="425" w:hanging="425"/>
      </w:pPr>
    </w:lvl>
    <w:lvl w:ilvl="1" w:tentative="0">
      <w:start w:val="1"/>
      <w:numFmt w:val="decimal"/>
      <w:pStyle w:val="137"/>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2">
    <w:nsid w:val="44CE5EDA"/>
    <w:multiLevelType w:val="multilevel"/>
    <w:tmpl w:val="44CE5EDA"/>
    <w:lvl w:ilvl="0" w:tentative="0">
      <w:start w:val="1"/>
      <w:numFmt w:val="upperRoman"/>
      <w:lvlText w:val="第 %1 条"/>
      <w:lvlJc w:val="left"/>
      <w:pPr>
        <w:tabs>
          <w:tab w:val="left" w:pos="1080"/>
        </w:tabs>
        <w:ind w:left="0" w:firstLine="0"/>
      </w:pPr>
    </w:lvl>
    <w:lvl w:ilvl="1" w:tentative="0">
      <w:start w:val="1"/>
      <w:numFmt w:val="decimalZero"/>
      <w:isLgl/>
      <w:lvlText w:val="节 %1.%2"/>
      <w:lvlJc w:val="left"/>
      <w:pPr>
        <w:tabs>
          <w:tab w:val="left" w:pos="720"/>
        </w:tabs>
        <w:ind w:left="0" w:firstLine="0"/>
      </w:pPr>
    </w:lvl>
    <w:lvl w:ilvl="2" w:tentative="0">
      <w:start w:val="1"/>
      <w:numFmt w:val="lowerLetter"/>
      <w:pStyle w:val="7"/>
      <w:lvlText w:val="(%3)"/>
      <w:lvlJc w:val="left"/>
      <w:pPr>
        <w:tabs>
          <w:tab w:val="left" w:pos="574"/>
        </w:tabs>
        <w:ind w:left="574" w:hanging="432"/>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13">
    <w:nsid w:val="45407D6D"/>
    <w:multiLevelType w:val="multilevel"/>
    <w:tmpl w:val="45407D6D"/>
    <w:lvl w:ilvl="0" w:tentative="0">
      <w:start w:val="1"/>
      <w:numFmt w:val="decimal"/>
      <w:pStyle w:val="228"/>
      <w:lvlText w:val="（%1）"/>
      <w:lvlJc w:val="left"/>
      <w:pPr>
        <w:tabs>
          <w:tab w:val="left" w:pos="0"/>
        </w:tabs>
        <w:ind w:left="400" w:firstLine="0"/>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B694263"/>
    <w:multiLevelType w:val="multilevel"/>
    <w:tmpl w:val="4B694263"/>
    <w:lvl w:ilvl="0" w:tentative="0">
      <w:start w:val="1"/>
      <w:numFmt w:val="decimal"/>
      <w:pStyle w:val="349"/>
      <w:lvlText w:val="%1、"/>
      <w:lvlJc w:val="left"/>
      <w:pPr>
        <w:ind w:left="892" w:hanging="420"/>
      </w:p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15">
    <w:nsid w:val="4DC54B8D"/>
    <w:multiLevelType w:val="multilevel"/>
    <w:tmpl w:val="4DC54B8D"/>
    <w:lvl w:ilvl="0" w:tentative="0">
      <w:start w:val="1"/>
      <w:numFmt w:val="decimal"/>
      <w:pStyle w:val="162"/>
      <w:lvlText w:val="第%1条 "/>
      <w:lvlJc w:val="left"/>
      <w:pPr>
        <w:tabs>
          <w:tab w:val="left" w:pos="1980"/>
        </w:tabs>
        <w:ind w:left="900" w:firstLine="0"/>
      </w:pPr>
      <w:rPr>
        <w:rFonts w:hint="eastAsia" w:eastAsia="黑体"/>
        <w:b/>
        <w:i w:val="0"/>
        <w:sz w:val="28"/>
        <w:lang w:val="en-US"/>
      </w:rPr>
    </w:lvl>
    <w:lvl w:ilvl="1" w:tentative="0">
      <w:start w:val="1"/>
      <w:numFmt w:val="decimal"/>
      <w:lvlText w:val="%2."/>
      <w:lvlJc w:val="left"/>
      <w:pPr>
        <w:tabs>
          <w:tab w:val="left" w:pos="840"/>
        </w:tabs>
        <w:ind w:left="840" w:hanging="420"/>
      </w:p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8E93B4D"/>
    <w:multiLevelType w:val="multilevel"/>
    <w:tmpl w:val="58E93B4D"/>
    <w:lvl w:ilvl="0" w:tentative="0">
      <w:start w:val="1"/>
      <w:numFmt w:val="decimal"/>
      <w:pStyle w:val="254"/>
      <w:lvlText w:val="%1"/>
      <w:lvlJc w:val="center"/>
      <w:pPr>
        <w:tabs>
          <w:tab w:val="left" w:pos="-992"/>
        </w:tabs>
        <w:ind w:left="-992" w:firstLine="1134"/>
      </w:pPr>
      <w:rPr>
        <w:rFonts w:hint="eastAsia"/>
      </w:rPr>
    </w:lvl>
    <w:lvl w:ilvl="1" w:tentative="0">
      <w:start w:val="1"/>
      <w:numFmt w:val="lowerLetter"/>
      <w:lvlText w:val="%2)"/>
      <w:lvlJc w:val="left"/>
      <w:pPr>
        <w:tabs>
          <w:tab w:val="left" w:pos="1208"/>
        </w:tabs>
        <w:ind w:left="1208" w:hanging="420"/>
      </w:pPr>
    </w:lvl>
    <w:lvl w:ilvl="2" w:tentative="0">
      <w:start w:val="1"/>
      <w:numFmt w:val="lowerRoman"/>
      <w:lvlText w:val="%3."/>
      <w:lvlJc w:val="right"/>
      <w:pPr>
        <w:tabs>
          <w:tab w:val="left" w:pos="1628"/>
        </w:tabs>
        <w:ind w:left="1628" w:hanging="420"/>
      </w:pPr>
    </w:lvl>
    <w:lvl w:ilvl="3" w:tentative="0">
      <w:start w:val="1"/>
      <w:numFmt w:val="decimal"/>
      <w:lvlText w:val="%4."/>
      <w:lvlJc w:val="left"/>
      <w:pPr>
        <w:tabs>
          <w:tab w:val="left" w:pos="2048"/>
        </w:tabs>
        <w:ind w:left="2048" w:hanging="420"/>
      </w:pPr>
    </w:lvl>
    <w:lvl w:ilvl="4" w:tentative="0">
      <w:start w:val="1"/>
      <w:numFmt w:val="lowerLetter"/>
      <w:lvlText w:val="%5)"/>
      <w:lvlJc w:val="left"/>
      <w:pPr>
        <w:tabs>
          <w:tab w:val="left" w:pos="2468"/>
        </w:tabs>
        <w:ind w:left="2468" w:hanging="420"/>
      </w:pPr>
    </w:lvl>
    <w:lvl w:ilvl="5" w:tentative="0">
      <w:start w:val="1"/>
      <w:numFmt w:val="lowerRoman"/>
      <w:lvlText w:val="%6."/>
      <w:lvlJc w:val="right"/>
      <w:pPr>
        <w:tabs>
          <w:tab w:val="left" w:pos="2888"/>
        </w:tabs>
        <w:ind w:left="2888" w:hanging="420"/>
      </w:pPr>
    </w:lvl>
    <w:lvl w:ilvl="6" w:tentative="0">
      <w:start w:val="1"/>
      <w:numFmt w:val="decimal"/>
      <w:lvlText w:val="%7."/>
      <w:lvlJc w:val="left"/>
      <w:pPr>
        <w:tabs>
          <w:tab w:val="left" w:pos="3308"/>
        </w:tabs>
        <w:ind w:left="3308" w:hanging="420"/>
      </w:pPr>
    </w:lvl>
    <w:lvl w:ilvl="7" w:tentative="0">
      <w:start w:val="1"/>
      <w:numFmt w:val="lowerLetter"/>
      <w:lvlText w:val="%8)"/>
      <w:lvlJc w:val="left"/>
      <w:pPr>
        <w:tabs>
          <w:tab w:val="left" w:pos="3728"/>
        </w:tabs>
        <w:ind w:left="3728" w:hanging="420"/>
      </w:pPr>
    </w:lvl>
    <w:lvl w:ilvl="8" w:tentative="0">
      <w:start w:val="1"/>
      <w:numFmt w:val="lowerRoman"/>
      <w:lvlText w:val="%9."/>
      <w:lvlJc w:val="right"/>
      <w:pPr>
        <w:tabs>
          <w:tab w:val="left" w:pos="4148"/>
        </w:tabs>
        <w:ind w:left="4148" w:hanging="420"/>
      </w:pPr>
    </w:lvl>
  </w:abstractNum>
  <w:abstractNum w:abstractNumId="17">
    <w:nsid w:val="70A83033"/>
    <w:multiLevelType w:val="multilevel"/>
    <w:tmpl w:val="70A83033"/>
    <w:lvl w:ilvl="0" w:tentative="0">
      <w:start w:val="1"/>
      <w:numFmt w:val="decimal"/>
      <w:pStyle w:val="4"/>
      <w:lvlText w:val="%1."/>
      <w:lvlJc w:val="left"/>
      <w:pPr>
        <w:tabs>
          <w:tab w:val="left" w:pos="300"/>
        </w:tabs>
        <w:ind w:left="300" w:hanging="300"/>
      </w:pPr>
      <w:rPr>
        <w:rFonts w:hint="default"/>
        <w:b/>
      </w:rPr>
    </w:lvl>
    <w:lvl w:ilvl="1" w:tentative="0">
      <w:start w:val="1"/>
      <w:numFmt w:val="decimal"/>
      <w:pStyle w:val="102"/>
      <w:isLgl/>
      <w:lvlText w:val="%1.%2"/>
      <w:lvlJc w:val="left"/>
      <w:pPr>
        <w:tabs>
          <w:tab w:val="left" w:pos="720"/>
        </w:tabs>
        <w:ind w:left="720" w:hanging="720"/>
      </w:pPr>
      <w:rPr>
        <w:rFonts w:hint="default"/>
        <w:b/>
      </w:rPr>
    </w:lvl>
    <w:lvl w:ilvl="2" w:tentative="0">
      <w:start w:val="1"/>
      <w:numFmt w:val="decimal"/>
      <w:pStyle w:val="104"/>
      <w:isLgl/>
      <w:lvlText w:val="%1.%2.%3"/>
      <w:lvlJc w:val="left"/>
      <w:pPr>
        <w:tabs>
          <w:tab w:val="left" w:pos="4406"/>
        </w:tabs>
        <w:ind w:left="4406" w:hanging="720"/>
      </w:pPr>
      <w:rPr>
        <w:rFonts w:hint="default"/>
        <w:b/>
      </w:rPr>
    </w:lvl>
    <w:lvl w:ilvl="3" w:tentative="0">
      <w:start w:val="1"/>
      <w:numFmt w:val="decimal"/>
      <w:pStyle w:val="105"/>
      <w:isLgl/>
      <w:lvlText w:val="%1.%2.%3.%4"/>
      <w:lvlJc w:val="left"/>
      <w:pPr>
        <w:tabs>
          <w:tab w:val="left" w:pos="1080"/>
        </w:tabs>
        <w:ind w:left="1080" w:hanging="1080"/>
      </w:pPr>
      <w:rPr>
        <w:rFonts w:hint="default"/>
        <w:b/>
      </w:rPr>
    </w:lvl>
    <w:lvl w:ilvl="4" w:tentative="0">
      <w:start w:val="1"/>
      <w:numFmt w:val="decimal"/>
      <w:isLgl/>
      <w:lvlText w:val="%1.%2.%3.%4.%5"/>
      <w:lvlJc w:val="left"/>
      <w:pPr>
        <w:tabs>
          <w:tab w:val="left" w:pos="1440"/>
        </w:tabs>
        <w:ind w:left="1440" w:hanging="1440"/>
      </w:pPr>
      <w:rPr>
        <w:rFonts w:hint="default"/>
        <w:b/>
      </w:rPr>
    </w:lvl>
    <w:lvl w:ilvl="5" w:tentative="0">
      <w:start w:val="1"/>
      <w:numFmt w:val="decimal"/>
      <w:isLgl/>
      <w:lvlText w:val="%1.%2.%3.%4.%5.%6"/>
      <w:lvlJc w:val="left"/>
      <w:pPr>
        <w:tabs>
          <w:tab w:val="left" w:pos="1800"/>
        </w:tabs>
        <w:ind w:left="1800" w:hanging="1800"/>
      </w:pPr>
      <w:rPr>
        <w:rFonts w:hint="default"/>
        <w:b/>
      </w:rPr>
    </w:lvl>
    <w:lvl w:ilvl="6" w:tentative="0">
      <w:start w:val="1"/>
      <w:numFmt w:val="decimal"/>
      <w:isLgl/>
      <w:lvlText w:val="%1.%2.%3.%4.%5.%6.%7"/>
      <w:lvlJc w:val="left"/>
      <w:pPr>
        <w:tabs>
          <w:tab w:val="left" w:pos="2160"/>
        </w:tabs>
        <w:ind w:left="2160" w:hanging="2160"/>
      </w:pPr>
      <w:rPr>
        <w:rFonts w:hint="default"/>
        <w:b/>
      </w:rPr>
    </w:lvl>
    <w:lvl w:ilvl="7" w:tentative="0">
      <w:start w:val="1"/>
      <w:numFmt w:val="decimal"/>
      <w:isLgl/>
      <w:lvlText w:val="%1.%2.%3.%4.%5.%6.%7.%8"/>
      <w:lvlJc w:val="left"/>
      <w:pPr>
        <w:tabs>
          <w:tab w:val="left" w:pos="2160"/>
        </w:tabs>
        <w:ind w:left="2160" w:hanging="2160"/>
      </w:pPr>
      <w:rPr>
        <w:rFonts w:hint="default"/>
        <w:b/>
      </w:rPr>
    </w:lvl>
    <w:lvl w:ilvl="8" w:tentative="0">
      <w:start w:val="1"/>
      <w:numFmt w:val="decimal"/>
      <w:isLgl/>
      <w:lvlText w:val="%1.%2.%3.%4.%5.%6.%7.%8.%9"/>
      <w:lvlJc w:val="left"/>
      <w:pPr>
        <w:tabs>
          <w:tab w:val="left" w:pos="2520"/>
        </w:tabs>
        <w:ind w:left="2520" w:hanging="2520"/>
      </w:pPr>
      <w:rPr>
        <w:rFonts w:hint="default"/>
        <w:b/>
      </w:rPr>
    </w:lvl>
  </w:abstractNum>
  <w:num w:numId="1">
    <w:abstractNumId w:val="17"/>
  </w:num>
  <w:num w:numId="2">
    <w:abstractNumId w:val="12"/>
  </w:num>
  <w:num w:numId="3">
    <w:abstractNumId w:val="4"/>
  </w:num>
  <w:num w:numId="4">
    <w:abstractNumId w:val="6"/>
  </w:num>
  <w:num w:numId="5">
    <w:abstractNumId w:val="9"/>
  </w:num>
  <w:num w:numId="6">
    <w:abstractNumId w:val="10"/>
  </w:num>
  <w:num w:numId="7">
    <w:abstractNumId w:val="7"/>
  </w:num>
  <w:num w:numId="8">
    <w:abstractNumId w:val="3"/>
  </w:num>
  <w:num w:numId="9">
    <w:abstractNumId w:val="8"/>
  </w:num>
  <w:num w:numId="10">
    <w:abstractNumId w:val="5"/>
  </w:num>
  <w:num w:numId="11">
    <w:abstractNumId w:val="2"/>
  </w:num>
  <w:num w:numId="12">
    <w:abstractNumId w:val="1"/>
  </w:num>
  <w:num w:numId="13">
    <w:abstractNumId w:val="11"/>
  </w:num>
  <w:num w:numId="14">
    <w:abstractNumId w:val="15"/>
  </w:num>
  <w:num w:numId="15">
    <w:abstractNumId w:val="13"/>
  </w:num>
  <w:num w:numId="16">
    <w:abstractNumId w:val="16"/>
  </w:num>
  <w:num w:numId="17">
    <w:abstractNumId w:val="14"/>
  </w:num>
  <w:num w:numId="18">
    <w:abstractNumId w:val="0"/>
  </w:num>
  <w:num w:numId="19">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312"/>
    <w:rsid w:val="000135F2"/>
    <w:rsid w:val="00017402"/>
    <w:rsid w:val="00021092"/>
    <w:rsid w:val="00037F74"/>
    <w:rsid w:val="00043FF5"/>
    <w:rsid w:val="00047440"/>
    <w:rsid w:val="00061B14"/>
    <w:rsid w:val="000873AE"/>
    <w:rsid w:val="0009025E"/>
    <w:rsid w:val="00093BE4"/>
    <w:rsid w:val="00096963"/>
    <w:rsid w:val="000F6AE3"/>
    <w:rsid w:val="0010196A"/>
    <w:rsid w:val="00120AD7"/>
    <w:rsid w:val="00124C66"/>
    <w:rsid w:val="001327C0"/>
    <w:rsid w:val="0013795A"/>
    <w:rsid w:val="0014428F"/>
    <w:rsid w:val="0016580B"/>
    <w:rsid w:val="00175A9C"/>
    <w:rsid w:val="001E1C65"/>
    <w:rsid w:val="001E3A2D"/>
    <w:rsid w:val="00220295"/>
    <w:rsid w:val="00220DD6"/>
    <w:rsid w:val="002226E1"/>
    <w:rsid w:val="002446F9"/>
    <w:rsid w:val="0024616E"/>
    <w:rsid w:val="00293AD0"/>
    <w:rsid w:val="002A10C8"/>
    <w:rsid w:val="002B4380"/>
    <w:rsid w:val="002D0230"/>
    <w:rsid w:val="002D54A9"/>
    <w:rsid w:val="002E1CB1"/>
    <w:rsid w:val="00301B40"/>
    <w:rsid w:val="00302509"/>
    <w:rsid w:val="003276AB"/>
    <w:rsid w:val="0033494B"/>
    <w:rsid w:val="00376AF5"/>
    <w:rsid w:val="00385B6F"/>
    <w:rsid w:val="003E2B18"/>
    <w:rsid w:val="003E3F27"/>
    <w:rsid w:val="004238EF"/>
    <w:rsid w:val="00450859"/>
    <w:rsid w:val="00481D59"/>
    <w:rsid w:val="004A702B"/>
    <w:rsid w:val="004B3304"/>
    <w:rsid w:val="004D4E9F"/>
    <w:rsid w:val="004F28C4"/>
    <w:rsid w:val="00502974"/>
    <w:rsid w:val="005612E1"/>
    <w:rsid w:val="00566980"/>
    <w:rsid w:val="0056767B"/>
    <w:rsid w:val="0057076F"/>
    <w:rsid w:val="005C14D3"/>
    <w:rsid w:val="005C7028"/>
    <w:rsid w:val="005F0106"/>
    <w:rsid w:val="005F2ECE"/>
    <w:rsid w:val="005F3C25"/>
    <w:rsid w:val="0062155A"/>
    <w:rsid w:val="00621E18"/>
    <w:rsid w:val="006234B7"/>
    <w:rsid w:val="006332DD"/>
    <w:rsid w:val="00643F6F"/>
    <w:rsid w:val="006444B0"/>
    <w:rsid w:val="006474DF"/>
    <w:rsid w:val="006563E6"/>
    <w:rsid w:val="00686D11"/>
    <w:rsid w:val="006C2E6E"/>
    <w:rsid w:val="006C72CC"/>
    <w:rsid w:val="006D0B5A"/>
    <w:rsid w:val="00717647"/>
    <w:rsid w:val="007346DC"/>
    <w:rsid w:val="0078070C"/>
    <w:rsid w:val="007919AC"/>
    <w:rsid w:val="007B07AC"/>
    <w:rsid w:val="007E3610"/>
    <w:rsid w:val="008003FA"/>
    <w:rsid w:val="0080188C"/>
    <w:rsid w:val="00826BEB"/>
    <w:rsid w:val="00845F1C"/>
    <w:rsid w:val="00850E28"/>
    <w:rsid w:val="008578F7"/>
    <w:rsid w:val="0086315D"/>
    <w:rsid w:val="00891AD8"/>
    <w:rsid w:val="008C289B"/>
    <w:rsid w:val="008C3977"/>
    <w:rsid w:val="008C5672"/>
    <w:rsid w:val="008C7E0E"/>
    <w:rsid w:val="008F5AA2"/>
    <w:rsid w:val="00910554"/>
    <w:rsid w:val="009276DD"/>
    <w:rsid w:val="00952B3A"/>
    <w:rsid w:val="00953A85"/>
    <w:rsid w:val="00981F90"/>
    <w:rsid w:val="00986B29"/>
    <w:rsid w:val="009B613E"/>
    <w:rsid w:val="00A37707"/>
    <w:rsid w:val="00A579D4"/>
    <w:rsid w:val="00AC2929"/>
    <w:rsid w:val="00AE5CB9"/>
    <w:rsid w:val="00B04A64"/>
    <w:rsid w:val="00B059A3"/>
    <w:rsid w:val="00B275A8"/>
    <w:rsid w:val="00B4469B"/>
    <w:rsid w:val="00B51588"/>
    <w:rsid w:val="00B64398"/>
    <w:rsid w:val="00B82D30"/>
    <w:rsid w:val="00BE3999"/>
    <w:rsid w:val="00BE408B"/>
    <w:rsid w:val="00BE5BFD"/>
    <w:rsid w:val="00C02B7F"/>
    <w:rsid w:val="00C04010"/>
    <w:rsid w:val="00C077CB"/>
    <w:rsid w:val="00C12FB9"/>
    <w:rsid w:val="00C7094E"/>
    <w:rsid w:val="00C86A8E"/>
    <w:rsid w:val="00C94F34"/>
    <w:rsid w:val="00CA2E29"/>
    <w:rsid w:val="00CB7234"/>
    <w:rsid w:val="00D16BA3"/>
    <w:rsid w:val="00D212CF"/>
    <w:rsid w:val="00D23B92"/>
    <w:rsid w:val="00D2795A"/>
    <w:rsid w:val="00D3117C"/>
    <w:rsid w:val="00D32C59"/>
    <w:rsid w:val="00D500D3"/>
    <w:rsid w:val="00D730E2"/>
    <w:rsid w:val="00D81A94"/>
    <w:rsid w:val="00DA3F2C"/>
    <w:rsid w:val="00DB4FF1"/>
    <w:rsid w:val="00DC749E"/>
    <w:rsid w:val="00DE1312"/>
    <w:rsid w:val="00E42C50"/>
    <w:rsid w:val="00E448DC"/>
    <w:rsid w:val="00E90D1D"/>
    <w:rsid w:val="00E92A9F"/>
    <w:rsid w:val="00EC5574"/>
    <w:rsid w:val="00ED134E"/>
    <w:rsid w:val="00ED6050"/>
    <w:rsid w:val="00EE1544"/>
    <w:rsid w:val="00F0204F"/>
    <w:rsid w:val="00F074ED"/>
    <w:rsid w:val="00F4331B"/>
    <w:rsid w:val="00F80513"/>
    <w:rsid w:val="00F82952"/>
    <w:rsid w:val="00F95924"/>
    <w:rsid w:val="00FD4BD6"/>
    <w:rsid w:val="00FE247C"/>
    <w:rsid w:val="039F1435"/>
    <w:rsid w:val="05F900A7"/>
    <w:rsid w:val="09CB5592"/>
    <w:rsid w:val="0A3A4530"/>
    <w:rsid w:val="0B7269A6"/>
    <w:rsid w:val="0D390F32"/>
    <w:rsid w:val="0DCD3B73"/>
    <w:rsid w:val="0DFC15D2"/>
    <w:rsid w:val="0E4D5CA8"/>
    <w:rsid w:val="10B764D0"/>
    <w:rsid w:val="11806733"/>
    <w:rsid w:val="141F4140"/>
    <w:rsid w:val="145D4FD3"/>
    <w:rsid w:val="154C6423"/>
    <w:rsid w:val="18913542"/>
    <w:rsid w:val="1A471243"/>
    <w:rsid w:val="21D93DFA"/>
    <w:rsid w:val="25F6583D"/>
    <w:rsid w:val="27D653DB"/>
    <w:rsid w:val="2F8171C9"/>
    <w:rsid w:val="30D903EE"/>
    <w:rsid w:val="30FA7700"/>
    <w:rsid w:val="31F95ECD"/>
    <w:rsid w:val="33705486"/>
    <w:rsid w:val="353A773E"/>
    <w:rsid w:val="36B76892"/>
    <w:rsid w:val="38BB2E33"/>
    <w:rsid w:val="3BFE2BC0"/>
    <w:rsid w:val="3CA77F14"/>
    <w:rsid w:val="3CDA2265"/>
    <w:rsid w:val="3CF903B5"/>
    <w:rsid w:val="3E745B63"/>
    <w:rsid w:val="42AA366E"/>
    <w:rsid w:val="43A41BEE"/>
    <w:rsid w:val="46625DAB"/>
    <w:rsid w:val="4EE73D64"/>
    <w:rsid w:val="512E6121"/>
    <w:rsid w:val="51B0540D"/>
    <w:rsid w:val="51B504EB"/>
    <w:rsid w:val="524968BF"/>
    <w:rsid w:val="56930639"/>
    <w:rsid w:val="5B955F7C"/>
    <w:rsid w:val="5D05585C"/>
    <w:rsid w:val="61134640"/>
    <w:rsid w:val="6A3E2F95"/>
    <w:rsid w:val="6BCC7804"/>
    <w:rsid w:val="6EDF3DB3"/>
    <w:rsid w:val="6F6F554E"/>
    <w:rsid w:val="706430B2"/>
    <w:rsid w:val="756F2AF2"/>
    <w:rsid w:val="7B8F5E4D"/>
    <w:rsid w:val="7F170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uiPriority="39"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qFormat="1"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8"/>
      <w:szCs w:val="22"/>
      <w:lang w:val="en-US" w:eastAsia="zh-CN" w:bidi="ar-SA"/>
    </w:rPr>
  </w:style>
  <w:style w:type="paragraph" w:styleId="4">
    <w:name w:val="heading 1"/>
    <w:basedOn w:val="1"/>
    <w:next w:val="5"/>
    <w:link w:val="101"/>
    <w:qFormat/>
    <w:uiPriority w:val="0"/>
    <w:pPr>
      <w:keepNext/>
      <w:keepLines/>
      <w:numPr>
        <w:ilvl w:val="0"/>
        <w:numId w:val="1"/>
      </w:numPr>
      <w:adjustRightInd w:val="0"/>
      <w:snapToGrid w:val="0"/>
      <w:spacing w:line="360" w:lineRule="auto"/>
      <w:outlineLvl w:val="0"/>
    </w:pPr>
    <w:rPr>
      <w:b/>
      <w:bCs/>
      <w:color w:val="000000" w:themeColor="text1"/>
      <w:kern w:val="44"/>
      <w:sz w:val="36"/>
      <w:szCs w:val="44"/>
      <w14:textFill>
        <w14:solidFill>
          <w14:schemeClr w14:val="tx1"/>
        </w14:solidFill>
      </w14:textFill>
    </w:rPr>
  </w:style>
  <w:style w:type="paragraph" w:styleId="6">
    <w:name w:val="heading 2"/>
    <w:basedOn w:val="1"/>
    <w:next w:val="1"/>
    <w:link w:val="106"/>
    <w:qFormat/>
    <w:uiPriority w:val="0"/>
    <w:pPr>
      <w:keepNext/>
      <w:keepLines/>
      <w:adjustRightInd w:val="0"/>
      <w:snapToGrid w:val="0"/>
      <w:spacing w:before="260" w:after="260" w:line="416" w:lineRule="auto"/>
      <w:outlineLvl w:val="1"/>
    </w:pPr>
    <w:rPr>
      <w:rFonts w:ascii="Arial" w:hAnsi="Arial" w:eastAsia="黑体" w:cs="Times New Roman"/>
      <w:b/>
      <w:bCs/>
      <w:sz w:val="32"/>
      <w:szCs w:val="32"/>
    </w:rPr>
  </w:style>
  <w:style w:type="paragraph" w:styleId="7">
    <w:name w:val="heading 3"/>
    <w:basedOn w:val="1"/>
    <w:next w:val="1"/>
    <w:link w:val="125"/>
    <w:qFormat/>
    <w:uiPriority w:val="0"/>
    <w:pPr>
      <w:keepNext/>
      <w:keepLines/>
      <w:numPr>
        <w:ilvl w:val="2"/>
        <w:numId w:val="2"/>
      </w:numPr>
      <w:adjustRightInd w:val="0"/>
      <w:snapToGrid w:val="0"/>
      <w:spacing w:before="260" w:after="260" w:line="416" w:lineRule="auto"/>
      <w:outlineLvl w:val="2"/>
    </w:pPr>
    <w:rPr>
      <w:rFonts w:ascii="Times New Roman" w:hAnsi="Times New Roman" w:cs="Times New Roman"/>
      <w:b/>
      <w:bCs/>
      <w:sz w:val="32"/>
      <w:szCs w:val="32"/>
    </w:rPr>
  </w:style>
  <w:style w:type="paragraph" w:styleId="8">
    <w:name w:val="heading 4"/>
    <w:basedOn w:val="1"/>
    <w:next w:val="1"/>
    <w:link w:val="126"/>
    <w:qFormat/>
    <w:uiPriority w:val="0"/>
    <w:pPr>
      <w:keepNext/>
      <w:keepLines/>
      <w:tabs>
        <w:tab w:val="left" w:pos="864"/>
      </w:tabs>
      <w:adjustRightInd w:val="0"/>
      <w:snapToGrid w:val="0"/>
      <w:spacing w:before="280" w:after="290" w:line="376" w:lineRule="auto"/>
      <w:ind w:left="864" w:hanging="144"/>
      <w:outlineLvl w:val="3"/>
    </w:pPr>
    <w:rPr>
      <w:rFonts w:ascii="Arial" w:hAnsi="Arial" w:eastAsia="黑体" w:cs="Times New Roman"/>
      <w:b/>
      <w:bCs/>
      <w:sz w:val="24"/>
      <w:szCs w:val="28"/>
    </w:rPr>
  </w:style>
  <w:style w:type="paragraph" w:styleId="9">
    <w:name w:val="heading 5"/>
    <w:basedOn w:val="1"/>
    <w:next w:val="1"/>
    <w:link w:val="127"/>
    <w:qFormat/>
    <w:uiPriority w:val="0"/>
    <w:pPr>
      <w:keepNext/>
      <w:keepLines/>
      <w:tabs>
        <w:tab w:val="left" w:pos="1008"/>
      </w:tabs>
      <w:adjustRightInd w:val="0"/>
      <w:snapToGrid w:val="0"/>
      <w:spacing w:before="280" w:after="290" w:line="376" w:lineRule="auto"/>
      <w:ind w:left="1008" w:hanging="432"/>
      <w:outlineLvl w:val="4"/>
    </w:pPr>
    <w:rPr>
      <w:rFonts w:ascii="Times New Roman" w:hAnsi="Times New Roman" w:cs="Times New Roman"/>
      <w:b/>
      <w:bCs/>
      <w:sz w:val="24"/>
      <w:szCs w:val="28"/>
    </w:rPr>
  </w:style>
  <w:style w:type="paragraph" w:styleId="10">
    <w:name w:val="heading 6"/>
    <w:basedOn w:val="1"/>
    <w:next w:val="1"/>
    <w:link w:val="128"/>
    <w:qFormat/>
    <w:uiPriority w:val="0"/>
    <w:pPr>
      <w:keepNext/>
      <w:keepLines/>
      <w:tabs>
        <w:tab w:val="left" w:pos="1152"/>
      </w:tabs>
      <w:adjustRightInd w:val="0"/>
      <w:snapToGrid w:val="0"/>
      <w:spacing w:before="240" w:after="64" w:line="320" w:lineRule="auto"/>
      <w:ind w:left="1152" w:hanging="432"/>
      <w:outlineLvl w:val="5"/>
    </w:pPr>
    <w:rPr>
      <w:rFonts w:ascii="Arial" w:hAnsi="Arial" w:eastAsia="黑体" w:cs="Times New Roman"/>
      <w:b/>
      <w:bCs/>
      <w:sz w:val="24"/>
      <w:szCs w:val="24"/>
    </w:rPr>
  </w:style>
  <w:style w:type="paragraph" w:styleId="11">
    <w:name w:val="heading 7"/>
    <w:basedOn w:val="1"/>
    <w:next w:val="1"/>
    <w:link w:val="129"/>
    <w:qFormat/>
    <w:uiPriority w:val="0"/>
    <w:pPr>
      <w:keepNext/>
      <w:keepLines/>
      <w:tabs>
        <w:tab w:val="left" w:pos="1296"/>
      </w:tabs>
      <w:adjustRightInd w:val="0"/>
      <w:snapToGrid w:val="0"/>
      <w:spacing w:before="240" w:after="64" w:line="320" w:lineRule="auto"/>
      <w:ind w:left="1296" w:hanging="288"/>
      <w:outlineLvl w:val="6"/>
    </w:pPr>
    <w:rPr>
      <w:rFonts w:ascii="Times New Roman" w:hAnsi="Times New Roman" w:cs="Times New Roman"/>
      <w:b/>
      <w:bCs/>
      <w:sz w:val="24"/>
      <w:szCs w:val="24"/>
    </w:rPr>
  </w:style>
  <w:style w:type="paragraph" w:styleId="12">
    <w:name w:val="heading 8"/>
    <w:basedOn w:val="1"/>
    <w:next w:val="1"/>
    <w:link w:val="130"/>
    <w:qFormat/>
    <w:uiPriority w:val="0"/>
    <w:pPr>
      <w:keepNext/>
      <w:keepLines/>
      <w:tabs>
        <w:tab w:val="left" w:pos="1440"/>
      </w:tabs>
      <w:adjustRightInd w:val="0"/>
      <w:snapToGrid w:val="0"/>
      <w:spacing w:before="240" w:after="64" w:line="320" w:lineRule="auto"/>
      <w:ind w:left="1440" w:hanging="432"/>
      <w:outlineLvl w:val="7"/>
    </w:pPr>
    <w:rPr>
      <w:rFonts w:ascii="Arial" w:hAnsi="Arial" w:eastAsia="黑体" w:cs="Times New Roman"/>
      <w:sz w:val="24"/>
      <w:szCs w:val="24"/>
    </w:rPr>
  </w:style>
  <w:style w:type="paragraph" w:styleId="13">
    <w:name w:val="heading 9"/>
    <w:basedOn w:val="1"/>
    <w:next w:val="1"/>
    <w:link w:val="131"/>
    <w:qFormat/>
    <w:uiPriority w:val="0"/>
    <w:pPr>
      <w:keepNext/>
      <w:keepLines/>
      <w:tabs>
        <w:tab w:val="left" w:pos="1584"/>
      </w:tabs>
      <w:adjustRightInd w:val="0"/>
      <w:snapToGrid w:val="0"/>
      <w:spacing w:before="240" w:after="64" w:line="320" w:lineRule="auto"/>
      <w:ind w:left="1584" w:hanging="144"/>
      <w:outlineLvl w:val="8"/>
    </w:pPr>
    <w:rPr>
      <w:rFonts w:ascii="Arial" w:hAnsi="Arial" w:eastAsia="黑体" w:cs="Times New Roman"/>
      <w:sz w:val="21"/>
      <w:szCs w:val="21"/>
    </w:rPr>
  </w:style>
  <w:style w:type="character" w:default="1" w:styleId="90">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macro"/>
    <w:link w:val="195"/>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5">
    <w:name w:val="Body Text"/>
    <w:basedOn w:val="1"/>
    <w:link w:val="107"/>
    <w:unhideWhenUsed/>
    <w:qFormat/>
    <w:uiPriority w:val="0"/>
    <w:pPr>
      <w:spacing w:after="120"/>
    </w:pPr>
  </w:style>
  <w:style w:type="paragraph" w:styleId="14">
    <w:name w:val="List 3"/>
    <w:basedOn w:val="1"/>
    <w:qFormat/>
    <w:uiPriority w:val="0"/>
    <w:pPr>
      <w:adjustRightInd w:val="0"/>
      <w:snapToGrid w:val="0"/>
      <w:spacing w:line="360" w:lineRule="auto"/>
      <w:ind w:left="100" w:leftChars="400" w:hanging="200" w:hangingChars="200"/>
    </w:pPr>
    <w:rPr>
      <w:rFonts w:ascii="Times New Roman" w:hAnsi="Times New Roman" w:cs="Times New Roman"/>
      <w:sz w:val="24"/>
      <w:szCs w:val="24"/>
    </w:rPr>
  </w:style>
  <w:style w:type="paragraph" w:styleId="15">
    <w:name w:val="toc 7"/>
    <w:basedOn w:val="1"/>
    <w:next w:val="1"/>
    <w:qFormat/>
    <w:uiPriority w:val="39"/>
    <w:pPr>
      <w:adjustRightInd w:val="0"/>
      <w:snapToGrid w:val="0"/>
      <w:spacing w:line="360" w:lineRule="auto"/>
      <w:ind w:left="2520" w:leftChars="1200"/>
    </w:pPr>
    <w:rPr>
      <w:rFonts w:ascii="Times New Roman" w:hAnsi="Times New Roman" w:cs="Times New Roman"/>
      <w:sz w:val="21"/>
      <w:szCs w:val="24"/>
    </w:rPr>
  </w:style>
  <w:style w:type="paragraph" w:styleId="16">
    <w:name w:val="List Number 2"/>
    <w:basedOn w:val="1"/>
    <w:qFormat/>
    <w:uiPriority w:val="0"/>
    <w:pPr>
      <w:numPr>
        <w:ilvl w:val="0"/>
        <w:numId w:val="3"/>
      </w:numPr>
      <w:adjustRightInd w:val="0"/>
      <w:snapToGrid w:val="0"/>
      <w:spacing w:line="360" w:lineRule="auto"/>
    </w:pPr>
    <w:rPr>
      <w:rFonts w:ascii="Times New Roman" w:hAnsi="Times New Roman" w:cs="Times New Roman"/>
      <w:sz w:val="24"/>
      <w:szCs w:val="24"/>
    </w:rPr>
  </w:style>
  <w:style w:type="paragraph" w:styleId="17">
    <w:name w:val="table of authorities"/>
    <w:basedOn w:val="1"/>
    <w:next w:val="1"/>
    <w:semiHidden/>
    <w:qFormat/>
    <w:uiPriority w:val="0"/>
    <w:pPr>
      <w:adjustRightInd w:val="0"/>
      <w:snapToGrid w:val="0"/>
      <w:spacing w:line="360" w:lineRule="auto"/>
      <w:ind w:left="420" w:leftChars="200"/>
    </w:pPr>
    <w:rPr>
      <w:rFonts w:ascii="Times New Roman" w:hAnsi="Times New Roman" w:cs="Times New Roman"/>
      <w:sz w:val="24"/>
      <w:szCs w:val="24"/>
    </w:rPr>
  </w:style>
  <w:style w:type="paragraph" w:styleId="18">
    <w:name w:val="List Bullet 4"/>
    <w:basedOn w:val="1"/>
    <w:qFormat/>
    <w:uiPriority w:val="0"/>
    <w:pPr>
      <w:numPr>
        <w:ilvl w:val="0"/>
        <w:numId w:val="4"/>
      </w:numPr>
      <w:adjustRightInd w:val="0"/>
      <w:snapToGrid w:val="0"/>
      <w:spacing w:line="360" w:lineRule="auto"/>
    </w:pPr>
    <w:rPr>
      <w:rFonts w:ascii="Times New Roman" w:hAnsi="Times New Roman" w:cs="Times New Roman"/>
      <w:sz w:val="24"/>
      <w:szCs w:val="24"/>
    </w:rPr>
  </w:style>
  <w:style w:type="paragraph" w:styleId="19">
    <w:name w:val="index 8"/>
    <w:basedOn w:val="1"/>
    <w:next w:val="1"/>
    <w:semiHidden/>
    <w:qFormat/>
    <w:uiPriority w:val="0"/>
    <w:pPr>
      <w:adjustRightInd w:val="0"/>
      <w:snapToGrid w:val="0"/>
      <w:spacing w:line="360" w:lineRule="auto"/>
      <w:ind w:left="1400" w:leftChars="1400"/>
    </w:pPr>
    <w:rPr>
      <w:rFonts w:ascii="Times New Roman" w:hAnsi="Times New Roman" w:cs="Times New Roman"/>
      <w:sz w:val="24"/>
      <w:szCs w:val="24"/>
    </w:rPr>
  </w:style>
  <w:style w:type="paragraph" w:styleId="20">
    <w:name w:val="E-mail Signature"/>
    <w:basedOn w:val="1"/>
    <w:link w:val="193"/>
    <w:qFormat/>
    <w:uiPriority w:val="0"/>
    <w:pPr>
      <w:adjustRightInd w:val="0"/>
      <w:snapToGrid w:val="0"/>
      <w:spacing w:line="360" w:lineRule="auto"/>
    </w:pPr>
    <w:rPr>
      <w:rFonts w:ascii="Times New Roman" w:hAnsi="Times New Roman" w:cs="Times New Roman"/>
      <w:sz w:val="24"/>
      <w:szCs w:val="24"/>
    </w:rPr>
  </w:style>
  <w:style w:type="paragraph" w:styleId="21">
    <w:name w:val="List Number"/>
    <w:basedOn w:val="1"/>
    <w:qFormat/>
    <w:uiPriority w:val="0"/>
    <w:pPr>
      <w:numPr>
        <w:ilvl w:val="0"/>
        <w:numId w:val="5"/>
      </w:numPr>
      <w:adjustRightInd w:val="0"/>
      <w:snapToGrid w:val="0"/>
      <w:spacing w:line="360" w:lineRule="auto"/>
    </w:pPr>
    <w:rPr>
      <w:rFonts w:ascii="Times New Roman" w:hAnsi="Times New Roman" w:cs="Times New Roman"/>
      <w:sz w:val="24"/>
      <w:szCs w:val="24"/>
    </w:rPr>
  </w:style>
  <w:style w:type="paragraph" w:styleId="22">
    <w:name w:val="Normal Indent"/>
    <w:basedOn w:val="1"/>
    <w:link w:val="160"/>
    <w:qFormat/>
    <w:uiPriority w:val="99"/>
    <w:pPr>
      <w:adjustRightInd w:val="0"/>
      <w:snapToGrid w:val="0"/>
      <w:spacing w:line="360" w:lineRule="auto"/>
      <w:ind w:firstLine="420" w:firstLineChars="200"/>
    </w:pPr>
    <w:rPr>
      <w:rFonts w:ascii="Times New Roman" w:hAnsi="Times New Roman" w:eastAsia="黑体" w:cs="Times New Roman"/>
      <w:sz w:val="24"/>
      <w:szCs w:val="24"/>
    </w:rPr>
  </w:style>
  <w:style w:type="paragraph" w:styleId="23">
    <w:name w:val="caption"/>
    <w:basedOn w:val="1"/>
    <w:next w:val="1"/>
    <w:qFormat/>
    <w:uiPriority w:val="0"/>
    <w:pPr>
      <w:adjustRightInd w:val="0"/>
      <w:snapToGrid w:val="0"/>
      <w:spacing w:line="360" w:lineRule="auto"/>
    </w:pPr>
    <w:rPr>
      <w:rFonts w:ascii="Arial" w:hAnsi="Arial" w:eastAsia="黑体" w:cs="Arial"/>
      <w:sz w:val="20"/>
      <w:szCs w:val="20"/>
    </w:rPr>
  </w:style>
  <w:style w:type="paragraph" w:styleId="24">
    <w:name w:val="index 5"/>
    <w:basedOn w:val="1"/>
    <w:next w:val="1"/>
    <w:semiHidden/>
    <w:qFormat/>
    <w:uiPriority w:val="0"/>
    <w:pPr>
      <w:adjustRightInd w:val="0"/>
      <w:snapToGrid w:val="0"/>
      <w:spacing w:line="360" w:lineRule="auto"/>
      <w:ind w:left="800" w:leftChars="800"/>
    </w:pPr>
    <w:rPr>
      <w:rFonts w:ascii="Times New Roman" w:hAnsi="Times New Roman" w:cs="Times New Roman"/>
      <w:sz w:val="24"/>
      <w:szCs w:val="24"/>
    </w:rPr>
  </w:style>
  <w:style w:type="paragraph" w:styleId="25">
    <w:name w:val="List Bullet"/>
    <w:basedOn w:val="1"/>
    <w:qFormat/>
    <w:uiPriority w:val="0"/>
    <w:pPr>
      <w:numPr>
        <w:ilvl w:val="0"/>
        <w:numId w:val="6"/>
      </w:numPr>
      <w:adjustRightInd w:val="0"/>
      <w:snapToGrid w:val="0"/>
      <w:spacing w:line="360" w:lineRule="auto"/>
    </w:pPr>
    <w:rPr>
      <w:rFonts w:ascii="Times New Roman" w:hAnsi="Times New Roman" w:cs="Times New Roman"/>
      <w:sz w:val="24"/>
      <w:szCs w:val="24"/>
    </w:rPr>
  </w:style>
  <w:style w:type="paragraph" w:styleId="26">
    <w:name w:val="envelope address"/>
    <w:basedOn w:val="1"/>
    <w:qFormat/>
    <w:uiPriority w:val="0"/>
    <w:pPr>
      <w:framePr w:w="7920" w:h="1980" w:hRule="exact" w:hSpace="180" w:wrap="around" w:vAnchor="margin" w:hAnchor="page" w:xAlign="center" w:yAlign="bottom"/>
      <w:adjustRightInd w:val="0"/>
      <w:snapToGrid w:val="0"/>
      <w:spacing w:line="360" w:lineRule="auto"/>
      <w:ind w:left="100" w:leftChars="1400"/>
    </w:pPr>
    <w:rPr>
      <w:rFonts w:ascii="Arial" w:hAnsi="Arial" w:cs="Arial"/>
      <w:sz w:val="24"/>
      <w:szCs w:val="24"/>
    </w:rPr>
  </w:style>
  <w:style w:type="paragraph" w:styleId="27">
    <w:name w:val="Document Map"/>
    <w:basedOn w:val="1"/>
    <w:link w:val="147"/>
    <w:semiHidden/>
    <w:qFormat/>
    <w:uiPriority w:val="0"/>
    <w:pPr>
      <w:shd w:val="clear" w:color="auto" w:fill="000080"/>
      <w:adjustRightInd w:val="0"/>
      <w:snapToGrid w:val="0"/>
      <w:spacing w:line="360" w:lineRule="auto"/>
    </w:pPr>
    <w:rPr>
      <w:rFonts w:ascii="Times New Roman" w:hAnsi="Times New Roman" w:cs="Times New Roman"/>
      <w:sz w:val="24"/>
      <w:szCs w:val="24"/>
    </w:rPr>
  </w:style>
  <w:style w:type="paragraph" w:styleId="28">
    <w:name w:val="toa heading"/>
    <w:basedOn w:val="1"/>
    <w:next w:val="1"/>
    <w:semiHidden/>
    <w:qFormat/>
    <w:uiPriority w:val="0"/>
    <w:pPr>
      <w:adjustRightInd w:val="0"/>
      <w:snapToGrid w:val="0"/>
      <w:spacing w:before="120" w:line="360" w:lineRule="auto"/>
    </w:pPr>
    <w:rPr>
      <w:rFonts w:ascii="Arial" w:hAnsi="Arial" w:cs="Arial"/>
      <w:sz w:val="24"/>
      <w:szCs w:val="24"/>
    </w:rPr>
  </w:style>
  <w:style w:type="paragraph" w:styleId="29">
    <w:name w:val="annotation text"/>
    <w:basedOn w:val="1"/>
    <w:link w:val="264"/>
    <w:qFormat/>
    <w:uiPriority w:val="0"/>
    <w:pPr>
      <w:adjustRightInd w:val="0"/>
      <w:snapToGrid w:val="0"/>
      <w:spacing w:line="360" w:lineRule="auto"/>
      <w:jc w:val="left"/>
    </w:pPr>
    <w:rPr>
      <w:rFonts w:ascii="Times New Roman" w:hAnsi="Times New Roman" w:cs="Times New Roman"/>
      <w:sz w:val="24"/>
      <w:szCs w:val="24"/>
    </w:rPr>
  </w:style>
  <w:style w:type="paragraph" w:styleId="30">
    <w:name w:val="index 6"/>
    <w:basedOn w:val="1"/>
    <w:next w:val="1"/>
    <w:semiHidden/>
    <w:qFormat/>
    <w:uiPriority w:val="0"/>
    <w:pPr>
      <w:adjustRightInd w:val="0"/>
      <w:snapToGrid w:val="0"/>
      <w:spacing w:line="360" w:lineRule="auto"/>
      <w:ind w:left="1000" w:leftChars="1000"/>
    </w:pPr>
    <w:rPr>
      <w:rFonts w:ascii="Times New Roman" w:hAnsi="Times New Roman" w:cs="Times New Roman"/>
      <w:sz w:val="24"/>
      <w:szCs w:val="24"/>
    </w:rPr>
  </w:style>
  <w:style w:type="paragraph" w:styleId="31">
    <w:name w:val="Salutation"/>
    <w:basedOn w:val="1"/>
    <w:next w:val="1"/>
    <w:link w:val="192"/>
    <w:qFormat/>
    <w:uiPriority w:val="0"/>
    <w:pPr>
      <w:adjustRightInd w:val="0"/>
      <w:snapToGrid w:val="0"/>
      <w:spacing w:line="360" w:lineRule="auto"/>
    </w:pPr>
    <w:rPr>
      <w:rFonts w:ascii="Times New Roman" w:hAnsi="Times New Roman" w:cs="Times New Roman"/>
      <w:sz w:val="24"/>
      <w:szCs w:val="24"/>
    </w:rPr>
  </w:style>
  <w:style w:type="paragraph" w:styleId="32">
    <w:name w:val="Body Text 3"/>
    <w:basedOn w:val="1"/>
    <w:link w:val="206"/>
    <w:qFormat/>
    <w:uiPriority w:val="0"/>
    <w:pPr>
      <w:adjustRightInd w:val="0"/>
      <w:snapToGrid w:val="0"/>
      <w:spacing w:after="120" w:line="360" w:lineRule="auto"/>
    </w:pPr>
    <w:rPr>
      <w:rFonts w:ascii="Times New Roman" w:hAnsi="Times New Roman" w:cs="Times New Roman"/>
      <w:sz w:val="16"/>
      <w:szCs w:val="16"/>
    </w:rPr>
  </w:style>
  <w:style w:type="paragraph" w:styleId="33">
    <w:name w:val="Closing"/>
    <w:basedOn w:val="1"/>
    <w:link w:val="197"/>
    <w:qFormat/>
    <w:uiPriority w:val="0"/>
    <w:pPr>
      <w:adjustRightInd w:val="0"/>
      <w:snapToGrid w:val="0"/>
      <w:spacing w:line="360" w:lineRule="auto"/>
      <w:ind w:left="100" w:leftChars="2100"/>
    </w:pPr>
    <w:rPr>
      <w:rFonts w:ascii="Times New Roman" w:hAnsi="Times New Roman" w:cs="Times New Roman"/>
      <w:sz w:val="24"/>
      <w:szCs w:val="24"/>
    </w:rPr>
  </w:style>
  <w:style w:type="paragraph" w:styleId="34">
    <w:name w:val="List Bullet 3"/>
    <w:basedOn w:val="1"/>
    <w:qFormat/>
    <w:uiPriority w:val="0"/>
    <w:pPr>
      <w:numPr>
        <w:ilvl w:val="0"/>
        <w:numId w:val="7"/>
      </w:numPr>
      <w:adjustRightInd w:val="0"/>
      <w:snapToGrid w:val="0"/>
      <w:spacing w:line="360" w:lineRule="auto"/>
    </w:pPr>
    <w:rPr>
      <w:rFonts w:ascii="Times New Roman" w:hAnsi="Times New Roman" w:cs="Times New Roman"/>
      <w:sz w:val="24"/>
      <w:szCs w:val="24"/>
    </w:rPr>
  </w:style>
  <w:style w:type="paragraph" w:styleId="35">
    <w:name w:val="Body Text Indent"/>
    <w:basedOn w:val="1"/>
    <w:link w:val="172"/>
    <w:qFormat/>
    <w:uiPriority w:val="0"/>
    <w:pPr>
      <w:adjustRightInd w:val="0"/>
      <w:snapToGrid w:val="0"/>
      <w:spacing w:after="120" w:line="360" w:lineRule="auto"/>
      <w:ind w:left="420" w:leftChars="200"/>
    </w:pPr>
    <w:rPr>
      <w:rFonts w:ascii="Times New Roman" w:hAnsi="Times New Roman" w:cs="Times New Roman"/>
      <w:sz w:val="24"/>
      <w:szCs w:val="24"/>
    </w:rPr>
  </w:style>
  <w:style w:type="paragraph" w:styleId="36">
    <w:name w:val="List Number 3"/>
    <w:basedOn w:val="1"/>
    <w:qFormat/>
    <w:uiPriority w:val="0"/>
    <w:pPr>
      <w:numPr>
        <w:ilvl w:val="0"/>
        <w:numId w:val="8"/>
      </w:numPr>
      <w:adjustRightInd w:val="0"/>
      <w:snapToGrid w:val="0"/>
      <w:spacing w:line="360" w:lineRule="auto"/>
    </w:pPr>
    <w:rPr>
      <w:rFonts w:ascii="Times New Roman" w:hAnsi="Times New Roman" w:cs="Times New Roman"/>
      <w:sz w:val="24"/>
      <w:szCs w:val="24"/>
    </w:rPr>
  </w:style>
  <w:style w:type="paragraph" w:styleId="37">
    <w:name w:val="List 2"/>
    <w:basedOn w:val="1"/>
    <w:qFormat/>
    <w:uiPriority w:val="0"/>
    <w:pPr>
      <w:adjustRightInd w:val="0"/>
      <w:snapToGrid w:val="0"/>
      <w:spacing w:line="360" w:lineRule="auto"/>
      <w:ind w:left="100" w:leftChars="200" w:hanging="200" w:hangingChars="200"/>
    </w:pPr>
    <w:rPr>
      <w:rFonts w:ascii="Times New Roman" w:hAnsi="Times New Roman" w:cs="Times New Roman"/>
      <w:sz w:val="24"/>
      <w:szCs w:val="24"/>
    </w:rPr>
  </w:style>
  <w:style w:type="paragraph" w:styleId="38">
    <w:name w:val="List Continue"/>
    <w:basedOn w:val="1"/>
    <w:qFormat/>
    <w:uiPriority w:val="0"/>
    <w:pPr>
      <w:adjustRightInd w:val="0"/>
      <w:snapToGrid w:val="0"/>
      <w:spacing w:after="120" w:line="360" w:lineRule="auto"/>
      <w:ind w:left="420" w:leftChars="200"/>
    </w:pPr>
    <w:rPr>
      <w:rFonts w:ascii="Times New Roman" w:hAnsi="Times New Roman" w:cs="Times New Roman"/>
      <w:sz w:val="24"/>
      <w:szCs w:val="24"/>
    </w:rPr>
  </w:style>
  <w:style w:type="paragraph" w:styleId="39">
    <w:name w:val="Block Text"/>
    <w:basedOn w:val="1"/>
    <w:qFormat/>
    <w:uiPriority w:val="0"/>
    <w:pPr>
      <w:adjustRightInd w:val="0"/>
      <w:snapToGrid w:val="0"/>
      <w:spacing w:after="120" w:line="360" w:lineRule="auto"/>
      <w:ind w:left="1440" w:leftChars="700" w:right="1440" w:rightChars="700"/>
    </w:pPr>
    <w:rPr>
      <w:rFonts w:ascii="Times New Roman" w:hAnsi="Times New Roman" w:cs="Times New Roman"/>
      <w:sz w:val="24"/>
      <w:szCs w:val="24"/>
    </w:rPr>
  </w:style>
  <w:style w:type="paragraph" w:styleId="40">
    <w:name w:val="List Bullet 2"/>
    <w:basedOn w:val="1"/>
    <w:qFormat/>
    <w:uiPriority w:val="0"/>
    <w:pPr>
      <w:numPr>
        <w:ilvl w:val="0"/>
        <w:numId w:val="9"/>
      </w:numPr>
      <w:adjustRightInd w:val="0"/>
      <w:snapToGrid w:val="0"/>
      <w:spacing w:line="360" w:lineRule="auto"/>
    </w:pPr>
    <w:rPr>
      <w:rFonts w:ascii="Times New Roman" w:hAnsi="Times New Roman" w:cs="Times New Roman"/>
      <w:sz w:val="24"/>
      <w:szCs w:val="24"/>
    </w:rPr>
  </w:style>
  <w:style w:type="paragraph" w:styleId="41">
    <w:name w:val="HTML Address"/>
    <w:basedOn w:val="1"/>
    <w:link w:val="188"/>
    <w:qFormat/>
    <w:uiPriority w:val="0"/>
    <w:pPr>
      <w:adjustRightInd w:val="0"/>
      <w:snapToGrid w:val="0"/>
      <w:spacing w:line="360" w:lineRule="auto"/>
    </w:pPr>
    <w:rPr>
      <w:rFonts w:ascii="Times New Roman" w:hAnsi="Times New Roman" w:cs="Times New Roman"/>
      <w:i/>
      <w:iCs/>
      <w:sz w:val="24"/>
      <w:szCs w:val="24"/>
    </w:rPr>
  </w:style>
  <w:style w:type="paragraph" w:styleId="42">
    <w:name w:val="index 4"/>
    <w:basedOn w:val="1"/>
    <w:next w:val="1"/>
    <w:semiHidden/>
    <w:qFormat/>
    <w:uiPriority w:val="0"/>
    <w:pPr>
      <w:adjustRightInd w:val="0"/>
      <w:snapToGrid w:val="0"/>
      <w:spacing w:line="360" w:lineRule="auto"/>
      <w:ind w:left="600" w:leftChars="600"/>
    </w:pPr>
    <w:rPr>
      <w:rFonts w:ascii="Times New Roman" w:hAnsi="Times New Roman" w:cs="Times New Roman"/>
      <w:sz w:val="24"/>
      <w:szCs w:val="24"/>
    </w:rPr>
  </w:style>
  <w:style w:type="paragraph" w:styleId="43">
    <w:name w:val="toc 5"/>
    <w:basedOn w:val="1"/>
    <w:next w:val="1"/>
    <w:qFormat/>
    <w:uiPriority w:val="39"/>
    <w:pPr>
      <w:adjustRightInd w:val="0"/>
      <w:snapToGrid w:val="0"/>
      <w:spacing w:line="360" w:lineRule="auto"/>
      <w:ind w:left="1680" w:leftChars="800"/>
    </w:pPr>
    <w:rPr>
      <w:rFonts w:ascii="Times New Roman" w:hAnsi="Times New Roman" w:cs="Times New Roman"/>
      <w:sz w:val="21"/>
      <w:szCs w:val="24"/>
    </w:rPr>
  </w:style>
  <w:style w:type="paragraph" w:styleId="44">
    <w:name w:val="toc 3"/>
    <w:basedOn w:val="1"/>
    <w:next w:val="1"/>
    <w:qFormat/>
    <w:uiPriority w:val="39"/>
    <w:pPr>
      <w:tabs>
        <w:tab w:val="right" w:leader="dot" w:pos="8296"/>
      </w:tabs>
      <w:adjustRightInd w:val="0"/>
      <w:snapToGrid w:val="0"/>
      <w:spacing w:line="360" w:lineRule="auto"/>
      <w:ind w:left="960" w:leftChars="400"/>
    </w:pPr>
    <w:rPr>
      <w:rFonts w:ascii="Times New Roman" w:hAnsi="Times New Roman" w:cs="Times New Roman"/>
      <w:sz w:val="24"/>
      <w:szCs w:val="24"/>
    </w:rPr>
  </w:style>
  <w:style w:type="paragraph" w:styleId="45">
    <w:name w:val="Plain Text"/>
    <w:basedOn w:val="1"/>
    <w:link w:val="161"/>
    <w:qFormat/>
    <w:uiPriority w:val="0"/>
    <w:pPr>
      <w:adjustRightInd w:val="0"/>
      <w:snapToGrid w:val="0"/>
      <w:spacing w:line="360" w:lineRule="auto"/>
    </w:pPr>
    <w:rPr>
      <w:rFonts w:ascii="宋体" w:hAnsi="Courier New" w:cs="Courier New"/>
      <w:sz w:val="21"/>
      <w:szCs w:val="21"/>
    </w:rPr>
  </w:style>
  <w:style w:type="paragraph" w:styleId="46">
    <w:name w:val="List Bullet 5"/>
    <w:basedOn w:val="1"/>
    <w:qFormat/>
    <w:uiPriority w:val="0"/>
    <w:pPr>
      <w:numPr>
        <w:ilvl w:val="0"/>
        <w:numId w:val="10"/>
      </w:numPr>
      <w:adjustRightInd w:val="0"/>
      <w:snapToGrid w:val="0"/>
      <w:spacing w:line="360" w:lineRule="auto"/>
    </w:pPr>
    <w:rPr>
      <w:rFonts w:ascii="Times New Roman" w:hAnsi="Times New Roman" w:cs="Times New Roman"/>
      <w:sz w:val="24"/>
      <w:szCs w:val="24"/>
    </w:rPr>
  </w:style>
  <w:style w:type="paragraph" w:styleId="47">
    <w:name w:val="List Number 4"/>
    <w:basedOn w:val="1"/>
    <w:qFormat/>
    <w:uiPriority w:val="0"/>
    <w:pPr>
      <w:numPr>
        <w:ilvl w:val="0"/>
        <w:numId w:val="11"/>
      </w:numPr>
      <w:adjustRightInd w:val="0"/>
      <w:snapToGrid w:val="0"/>
      <w:spacing w:line="360" w:lineRule="auto"/>
    </w:pPr>
    <w:rPr>
      <w:rFonts w:ascii="Times New Roman" w:hAnsi="Times New Roman" w:cs="Times New Roman"/>
      <w:sz w:val="24"/>
      <w:szCs w:val="24"/>
    </w:rPr>
  </w:style>
  <w:style w:type="paragraph" w:styleId="48">
    <w:name w:val="toc 8"/>
    <w:basedOn w:val="1"/>
    <w:next w:val="1"/>
    <w:qFormat/>
    <w:uiPriority w:val="39"/>
    <w:pPr>
      <w:adjustRightInd w:val="0"/>
      <w:snapToGrid w:val="0"/>
      <w:spacing w:line="360" w:lineRule="auto"/>
      <w:ind w:left="2940" w:leftChars="1400"/>
    </w:pPr>
    <w:rPr>
      <w:rFonts w:ascii="Times New Roman" w:hAnsi="Times New Roman" w:cs="Times New Roman"/>
      <w:sz w:val="21"/>
      <w:szCs w:val="24"/>
    </w:rPr>
  </w:style>
  <w:style w:type="paragraph" w:styleId="49">
    <w:name w:val="index 3"/>
    <w:basedOn w:val="1"/>
    <w:next w:val="1"/>
    <w:semiHidden/>
    <w:qFormat/>
    <w:uiPriority w:val="0"/>
    <w:pPr>
      <w:adjustRightInd w:val="0"/>
      <w:snapToGrid w:val="0"/>
      <w:spacing w:line="360" w:lineRule="auto"/>
      <w:ind w:left="400" w:leftChars="400"/>
    </w:pPr>
    <w:rPr>
      <w:rFonts w:ascii="Times New Roman" w:hAnsi="Times New Roman" w:cs="Times New Roman"/>
      <w:sz w:val="24"/>
      <w:szCs w:val="24"/>
    </w:rPr>
  </w:style>
  <w:style w:type="paragraph" w:styleId="50">
    <w:name w:val="Date"/>
    <w:basedOn w:val="1"/>
    <w:next w:val="1"/>
    <w:link w:val="177"/>
    <w:qFormat/>
    <w:uiPriority w:val="0"/>
    <w:pPr>
      <w:adjustRightInd w:val="0"/>
      <w:snapToGrid w:val="0"/>
      <w:spacing w:line="360" w:lineRule="auto"/>
    </w:pPr>
    <w:rPr>
      <w:rFonts w:ascii="Times New Roman" w:hAnsi="Times New Roman" w:cs="Times New Roman"/>
      <w:snapToGrid w:val="0"/>
      <w:kern w:val="0"/>
      <w:sz w:val="24"/>
      <w:szCs w:val="20"/>
    </w:rPr>
  </w:style>
  <w:style w:type="paragraph" w:styleId="51">
    <w:name w:val="Body Text Indent 2"/>
    <w:basedOn w:val="1"/>
    <w:link w:val="156"/>
    <w:qFormat/>
    <w:uiPriority w:val="0"/>
    <w:pPr>
      <w:adjustRightInd w:val="0"/>
      <w:snapToGrid w:val="0"/>
      <w:spacing w:after="120" w:line="480" w:lineRule="auto"/>
      <w:ind w:left="420" w:leftChars="200"/>
    </w:pPr>
    <w:rPr>
      <w:rFonts w:ascii="Times New Roman" w:hAnsi="Times New Roman" w:cs="Times New Roman"/>
      <w:sz w:val="27"/>
      <w:szCs w:val="20"/>
    </w:rPr>
  </w:style>
  <w:style w:type="paragraph" w:styleId="52">
    <w:name w:val="endnote text"/>
    <w:basedOn w:val="1"/>
    <w:link w:val="201"/>
    <w:semiHidden/>
    <w:qFormat/>
    <w:uiPriority w:val="0"/>
    <w:pPr>
      <w:adjustRightInd w:val="0"/>
      <w:snapToGrid w:val="0"/>
      <w:spacing w:line="360" w:lineRule="auto"/>
      <w:jc w:val="left"/>
    </w:pPr>
    <w:rPr>
      <w:rFonts w:ascii="Times New Roman" w:hAnsi="Times New Roman" w:cs="Times New Roman"/>
      <w:sz w:val="24"/>
      <w:szCs w:val="24"/>
    </w:rPr>
  </w:style>
  <w:style w:type="paragraph" w:styleId="53">
    <w:name w:val="List Continue 5"/>
    <w:basedOn w:val="1"/>
    <w:qFormat/>
    <w:uiPriority w:val="0"/>
    <w:pPr>
      <w:adjustRightInd w:val="0"/>
      <w:snapToGrid w:val="0"/>
      <w:spacing w:after="120" w:line="360" w:lineRule="auto"/>
      <w:ind w:left="2100" w:leftChars="1000"/>
    </w:pPr>
    <w:rPr>
      <w:rFonts w:ascii="Times New Roman" w:hAnsi="Times New Roman" w:cs="Times New Roman"/>
      <w:sz w:val="24"/>
      <w:szCs w:val="24"/>
    </w:rPr>
  </w:style>
  <w:style w:type="paragraph" w:styleId="54">
    <w:name w:val="Balloon Text"/>
    <w:basedOn w:val="1"/>
    <w:link w:val="143"/>
    <w:semiHidden/>
    <w:unhideWhenUsed/>
    <w:qFormat/>
    <w:uiPriority w:val="0"/>
    <w:pPr>
      <w:adjustRightInd w:val="0"/>
      <w:snapToGrid w:val="0"/>
      <w:spacing w:line="360" w:lineRule="auto"/>
    </w:pPr>
    <w:rPr>
      <w:sz w:val="18"/>
      <w:szCs w:val="18"/>
    </w:rPr>
  </w:style>
  <w:style w:type="paragraph" w:styleId="55">
    <w:name w:val="footer"/>
    <w:basedOn w:val="1"/>
    <w:link w:val="124"/>
    <w:unhideWhenUsed/>
    <w:qFormat/>
    <w:uiPriority w:val="0"/>
    <w:pPr>
      <w:tabs>
        <w:tab w:val="center" w:pos="4153"/>
        <w:tab w:val="right" w:pos="8306"/>
      </w:tabs>
      <w:snapToGrid w:val="0"/>
      <w:jc w:val="left"/>
    </w:pPr>
    <w:rPr>
      <w:sz w:val="18"/>
      <w:szCs w:val="18"/>
    </w:rPr>
  </w:style>
  <w:style w:type="paragraph" w:styleId="56">
    <w:name w:val="envelope return"/>
    <w:basedOn w:val="1"/>
    <w:qFormat/>
    <w:uiPriority w:val="0"/>
    <w:pPr>
      <w:adjustRightInd w:val="0"/>
      <w:snapToGrid w:val="0"/>
      <w:spacing w:line="360" w:lineRule="auto"/>
    </w:pPr>
    <w:rPr>
      <w:rFonts w:ascii="Arial" w:hAnsi="Arial" w:cs="Arial"/>
      <w:sz w:val="24"/>
      <w:szCs w:val="24"/>
    </w:rPr>
  </w:style>
  <w:style w:type="paragraph" w:styleId="57">
    <w:name w:val="header"/>
    <w:basedOn w:val="1"/>
    <w:link w:val="123"/>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00"/>
    <w:qFormat/>
    <w:uiPriority w:val="0"/>
    <w:pPr>
      <w:adjustRightInd w:val="0"/>
      <w:snapToGrid w:val="0"/>
      <w:spacing w:line="360" w:lineRule="auto"/>
      <w:ind w:left="100" w:leftChars="2100"/>
    </w:pPr>
    <w:rPr>
      <w:rFonts w:ascii="Times New Roman" w:hAnsi="Times New Roman" w:cs="Times New Roman"/>
      <w:sz w:val="24"/>
      <w:szCs w:val="24"/>
    </w:rPr>
  </w:style>
  <w:style w:type="paragraph" w:styleId="59">
    <w:name w:val="List Continue 4"/>
    <w:basedOn w:val="1"/>
    <w:qFormat/>
    <w:uiPriority w:val="0"/>
    <w:pPr>
      <w:adjustRightInd w:val="0"/>
      <w:snapToGrid w:val="0"/>
      <w:spacing w:after="120" w:line="360" w:lineRule="auto"/>
      <w:ind w:left="1680" w:leftChars="800"/>
    </w:pPr>
    <w:rPr>
      <w:rFonts w:ascii="Times New Roman" w:hAnsi="Times New Roman" w:cs="Times New Roman"/>
      <w:sz w:val="24"/>
      <w:szCs w:val="24"/>
    </w:rPr>
  </w:style>
  <w:style w:type="paragraph" w:styleId="60">
    <w:name w:val="toc 4"/>
    <w:basedOn w:val="1"/>
    <w:next w:val="1"/>
    <w:qFormat/>
    <w:uiPriority w:val="39"/>
    <w:pPr>
      <w:adjustRightInd w:val="0"/>
      <w:snapToGrid w:val="0"/>
      <w:spacing w:line="360" w:lineRule="auto"/>
      <w:ind w:left="1260" w:leftChars="600"/>
    </w:pPr>
    <w:rPr>
      <w:rFonts w:ascii="Times New Roman" w:hAnsi="Times New Roman" w:cs="Times New Roman"/>
      <w:sz w:val="21"/>
      <w:szCs w:val="24"/>
    </w:rPr>
  </w:style>
  <w:style w:type="paragraph" w:styleId="61">
    <w:name w:val="index heading"/>
    <w:basedOn w:val="1"/>
    <w:next w:val="62"/>
    <w:semiHidden/>
    <w:qFormat/>
    <w:uiPriority w:val="0"/>
    <w:pPr>
      <w:adjustRightInd w:val="0"/>
      <w:snapToGrid w:val="0"/>
      <w:spacing w:line="360" w:lineRule="auto"/>
    </w:pPr>
    <w:rPr>
      <w:rFonts w:ascii="Arial" w:hAnsi="Arial" w:cs="Arial"/>
      <w:b/>
      <w:bCs/>
      <w:sz w:val="24"/>
      <w:szCs w:val="24"/>
    </w:rPr>
  </w:style>
  <w:style w:type="paragraph" w:styleId="62">
    <w:name w:val="index 1"/>
    <w:basedOn w:val="1"/>
    <w:next w:val="1"/>
    <w:semiHidden/>
    <w:qFormat/>
    <w:uiPriority w:val="0"/>
    <w:pPr>
      <w:adjustRightInd w:val="0"/>
      <w:snapToGrid w:val="0"/>
      <w:spacing w:line="360" w:lineRule="auto"/>
    </w:pPr>
    <w:rPr>
      <w:rFonts w:ascii="Times New Roman" w:hAnsi="Times New Roman" w:cs="Times New Roman"/>
      <w:sz w:val="24"/>
      <w:szCs w:val="24"/>
    </w:rPr>
  </w:style>
  <w:style w:type="paragraph" w:styleId="63">
    <w:name w:val="Subtitle"/>
    <w:basedOn w:val="1"/>
    <w:link w:val="194"/>
    <w:qFormat/>
    <w:uiPriority w:val="0"/>
    <w:pPr>
      <w:adjustRightInd w:val="0"/>
      <w:snapToGrid w:val="0"/>
      <w:spacing w:before="240" w:after="60" w:line="312" w:lineRule="auto"/>
      <w:jc w:val="center"/>
      <w:outlineLvl w:val="1"/>
    </w:pPr>
    <w:rPr>
      <w:rFonts w:ascii="Arial" w:hAnsi="Arial" w:cs="Arial"/>
      <w:b/>
      <w:bCs/>
      <w:kern w:val="28"/>
      <w:sz w:val="32"/>
      <w:szCs w:val="32"/>
    </w:rPr>
  </w:style>
  <w:style w:type="paragraph" w:styleId="64">
    <w:name w:val="List Number 5"/>
    <w:basedOn w:val="1"/>
    <w:qFormat/>
    <w:uiPriority w:val="0"/>
    <w:pPr>
      <w:numPr>
        <w:ilvl w:val="0"/>
        <w:numId w:val="12"/>
      </w:numPr>
      <w:adjustRightInd w:val="0"/>
      <w:snapToGrid w:val="0"/>
      <w:spacing w:line="360" w:lineRule="auto"/>
    </w:pPr>
    <w:rPr>
      <w:rFonts w:ascii="Times New Roman" w:hAnsi="Times New Roman" w:cs="Times New Roman"/>
      <w:sz w:val="24"/>
      <w:szCs w:val="24"/>
    </w:rPr>
  </w:style>
  <w:style w:type="paragraph" w:styleId="65">
    <w:name w:val="List"/>
    <w:basedOn w:val="1"/>
    <w:qFormat/>
    <w:uiPriority w:val="0"/>
    <w:pPr>
      <w:adjustRightInd w:val="0"/>
      <w:snapToGrid w:val="0"/>
      <w:spacing w:line="360" w:lineRule="exact"/>
      <w:jc w:val="center"/>
    </w:pPr>
    <w:rPr>
      <w:rFonts w:ascii="仿宋_GB2312" w:hAnsi="Times New Roman" w:eastAsia="仿宋_GB2312" w:cs="Times New Roman"/>
      <w:sz w:val="24"/>
      <w:szCs w:val="20"/>
    </w:rPr>
  </w:style>
  <w:style w:type="paragraph" w:styleId="66">
    <w:name w:val="footnote text"/>
    <w:basedOn w:val="1"/>
    <w:link w:val="196"/>
    <w:semiHidden/>
    <w:qFormat/>
    <w:uiPriority w:val="0"/>
    <w:pPr>
      <w:adjustRightInd w:val="0"/>
      <w:snapToGrid w:val="0"/>
      <w:spacing w:line="360" w:lineRule="auto"/>
      <w:jc w:val="left"/>
    </w:pPr>
    <w:rPr>
      <w:rFonts w:ascii="Times New Roman" w:hAnsi="Times New Roman" w:cs="Times New Roman"/>
      <w:sz w:val="18"/>
      <w:szCs w:val="18"/>
    </w:rPr>
  </w:style>
  <w:style w:type="paragraph" w:styleId="67">
    <w:name w:val="toc 6"/>
    <w:basedOn w:val="1"/>
    <w:next w:val="1"/>
    <w:qFormat/>
    <w:uiPriority w:val="39"/>
    <w:pPr>
      <w:adjustRightInd w:val="0"/>
      <w:snapToGrid w:val="0"/>
      <w:spacing w:line="360" w:lineRule="auto"/>
      <w:ind w:left="2100" w:leftChars="1000"/>
    </w:pPr>
    <w:rPr>
      <w:rFonts w:ascii="Times New Roman" w:hAnsi="Times New Roman" w:cs="Times New Roman"/>
      <w:sz w:val="21"/>
      <w:szCs w:val="24"/>
    </w:rPr>
  </w:style>
  <w:style w:type="paragraph" w:styleId="68">
    <w:name w:val="List 5"/>
    <w:basedOn w:val="1"/>
    <w:qFormat/>
    <w:uiPriority w:val="0"/>
    <w:pPr>
      <w:adjustRightInd w:val="0"/>
      <w:snapToGrid w:val="0"/>
      <w:spacing w:line="360" w:lineRule="auto"/>
      <w:ind w:left="100" w:leftChars="800" w:hanging="200" w:hangingChars="200"/>
    </w:pPr>
    <w:rPr>
      <w:rFonts w:ascii="Times New Roman" w:hAnsi="Times New Roman" w:cs="Times New Roman"/>
      <w:sz w:val="24"/>
      <w:szCs w:val="24"/>
    </w:rPr>
  </w:style>
  <w:style w:type="paragraph" w:styleId="69">
    <w:name w:val="Body Text Indent 3"/>
    <w:basedOn w:val="1"/>
    <w:link w:val="207"/>
    <w:qFormat/>
    <w:uiPriority w:val="0"/>
    <w:pPr>
      <w:adjustRightInd w:val="0"/>
      <w:snapToGrid w:val="0"/>
      <w:spacing w:after="120" w:line="360" w:lineRule="auto"/>
      <w:ind w:left="420" w:leftChars="200"/>
    </w:pPr>
    <w:rPr>
      <w:rFonts w:ascii="Times New Roman" w:hAnsi="Times New Roman" w:cs="Times New Roman"/>
      <w:sz w:val="16"/>
      <w:szCs w:val="16"/>
    </w:rPr>
  </w:style>
  <w:style w:type="paragraph" w:styleId="70">
    <w:name w:val="index 7"/>
    <w:basedOn w:val="1"/>
    <w:next w:val="1"/>
    <w:semiHidden/>
    <w:qFormat/>
    <w:uiPriority w:val="0"/>
    <w:pPr>
      <w:adjustRightInd w:val="0"/>
      <w:snapToGrid w:val="0"/>
      <w:spacing w:line="360" w:lineRule="auto"/>
      <w:ind w:left="1200" w:leftChars="1200"/>
    </w:pPr>
    <w:rPr>
      <w:rFonts w:ascii="Times New Roman" w:hAnsi="Times New Roman" w:cs="Times New Roman"/>
      <w:sz w:val="24"/>
      <w:szCs w:val="24"/>
    </w:rPr>
  </w:style>
  <w:style w:type="paragraph" w:styleId="71">
    <w:name w:val="index 9"/>
    <w:basedOn w:val="1"/>
    <w:next w:val="1"/>
    <w:semiHidden/>
    <w:qFormat/>
    <w:uiPriority w:val="0"/>
    <w:pPr>
      <w:adjustRightInd w:val="0"/>
      <w:snapToGrid w:val="0"/>
      <w:spacing w:line="360" w:lineRule="auto"/>
      <w:ind w:left="1600" w:leftChars="1600"/>
    </w:pPr>
    <w:rPr>
      <w:rFonts w:ascii="Times New Roman" w:hAnsi="Times New Roman" w:cs="Times New Roman"/>
      <w:sz w:val="24"/>
      <w:szCs w:val="24"/>
    </w:rPr>
  </w:style>
  <w:style w:type="paragraph" w:styleId="72">
    <w:name w:val="table of figures"/>
    <w:basedOn w:val="1"/>
    <w:next w:val="1"/>
    <w:semiHidden/>
    <w:qFormat/>
    <w:uiPriority w:val="0"/>
    <w:pPr>
      <w:adjustRightInd w:val="0"/>
      <w:snapToGrid w:val="0"/>
      <w:spacing w:line="360" w:lineRule="auto"/>
      <w:ind w:left="200" w:leftChars="200" w:hanging="200" w:hangingChars="200"/>
    </w:pPr>
    <w:rPr>
      <w:rFonts w:ascii="Times New Roman" w:hAnsi="Times New Roman" w:cs="Times New Roman"/>
      <w:sz w:val="24"/>
      <w:szCs w:val="24"/>
    </w:rPr>
  </w:style>
  <w:style w:type="paragraph" w:styleId="73">
    <w:name w:val="toc 2"/>
    <w:basedOn w:val="1"/>
    <w:next w:val="1"/>
    <w:qFormat/>
    <w:uiPriority w:val="39"/>
    <w:pPr>
      <w:adjustRightInd w:val="0"/>
      <w:snapToGrid w:val="0"/>
      <w:spacing w:line="360" w:lineRule="auto"/>
      <w:ind w:left="420" w:leftChars="200"/>
    </w:pPr>
    <w:rPr>
      <w:rFonts w:ascii="Times New Roman" w:hAnsi="Times New Roman" w:cs="Times New Roman"/>
      <w:sz w:val="24"/>
      <w:szCs w:val="24"/>
    </w:rPr>
  </w:style>
  <w:style w:type="paragraph" w:styleId="74">
    <w:name w:val="toc 9"/>
    <w:basedOn w:val="1"/>
    <w:next w:val="1"/>
    <w:qFormat/>
    <w:uiPriority w:val="39"/>
    <w:pPr>
      <w:adjustRightInd w:val="0"/>
      <w:snapToGrid w:val="0"/>
      <w:spacing w:line="360" w:lineRule="auto"/>
      <w:ind w:left="3360" w:leftChars="1600"/>
    </w:pPr>
    <w:rPr>
      <w:rFonts w:ascii="Times New Roman" w:hAnsi="Times New Roman" w:cs="Times New Roman"/>
      <w:sz w:val="21"/>
      <w:szCs w:val="24"/>
    </w:rPr>
  </w:style>
  <w:style w:type="paragraph" w:styleId="75">
    <w:name w:val="Body Text 2"/>
    <w:basedOn w:val="1"/>
    <w:link w:val="205"/>
    <w:qFormat/>
    <w:uiPriority w:val="0"/>
    <w:pPr>
      <w:adjustRightInd w:val="0"/>
      <w:snapToGrid w:val="0"/>
      <w:spacing w:after="120" w:line="480" w:lineRule="auto"/>
    </w:pPr>
    <w:rPr>
      <w:rFonts w:ascii="Times New Roman" w:hAnsi="Times New Roman" w:cs="Times New Roman"/>
      <w:sz w:val="24"/>
      <w:szCs w:val="24"/>
    </w:rPr>
  </w:style>
  <w:style w:type="paragraph" w:styleId="76">
    <w:name w:val="List 4"/>
    <w:basedOn w:val="1"/>
    <w:qFormat/>
    <w:uiPriority w:val="0"/>
    <w:pPr>
      <w:adjustRightInd w:val="0"/>
      <w:snapToGrid w:val="0"/>
      <w:spacing w:line="360" w:lineRule="auto"/>
      <w:ind w:left="100" w:leftChars="600" w:hanging="200" w:hangingChars="200"/>
    </w:pPr>
    <w:rPr>
      <w:rFonts w:ascii="Times New Roman" w:hAnsi="Times New Roman" w:cs="Times New Roman"/>
      <w:sz w:val="24"/>
      <w:szCs w:val="24"/>
    </w:rPr>
  </w:style>
  <w:style w:type="paragraph" w:styleId="77">
    <w:name w:val="List Continue 2"/>
    <w:basedOn w:val="1"/>
    <w:qFormat/>
    <w:uiPriority w:val="0"/>
    <w:pPr>
      <w:adjustRightInd w:val="0"/>
      <w:snapToGrid w:val="0"/>
      <w:spacing w:after="120" w:line="360" w:lineRule="auto"/>
      <w:ind w:left="840" w:leftChars="400"/>
    </w:pPr>
    <w:rPr>
      <w:rFonts w:ascii="Times New Roman" w:hAnsi="Times New Roman" w:cs="Times New Roman"/>
      <w:sz w:val="24"/>
      <w:szCs w:val="24"/>
    </w:rPr>
  </w:style>
  <w:style w:type="paragraph" w:styleId="78">
    <w:name w:val="Message Header"/>
    <w:basedOn w:val="1"/>
    <w:link w:val="202"/>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auto"/>
      <w:ind w:left="1080" w:leftChars="500" w:hanging="1080" w:hangingChars="500"/>
    </w:pPr>
    <w:rPr>
      <w:rFonts w:ascii="Arial" w:hAnsi="Arial" w:cs="Arial"/>
      <w:sz w:val="24"/>
      <w:szCs w:val="24"/>
    </w:rPr>
  </w:style>
  <w:style w:type="paragraph" w:styleId="79">
    <w:name w:val="HTML Preformatted"/>
    <w:basedOn w:val="1"/>
    <w:link w:val="189"/>
    <w:qFormat/>
    <w:uiPriority w:val="0"/>
    <w:pPr>
      <w:adjustRightInd w:val="0"/>
      <w:snapToGrid w:val="0"/>
      <w:spacing w:line="360" w:lineRule="auto"/>
    </w:pPr>
    <w:rPr>
      <w:rFonts w:ascii="Courier New" w:hAnsi="Courier New" w:cs="Courier New"/>
      <w:sz w:val="20"/>
      <w:szCs w:val="20"/>
    </w:rPr>
  </w:style>
  <w:style w:type="paragraph" w:styleId="80">
    <w:name w:val="Normal (Web)"/>
    <w:basedOn w:val="1"/>
    <w:qFormat/>
    <w:uiPriority w:val="0"/>
    <w:pPr>
      <w:widowControl/>
      <w:adjustRightInd w:val="0"/>
      <w:snapToGrid w:val="0"/>
      <w:spacing w:before="100" w:beforeAutospacing="1" w:after="100" w:afterAutospacing="1" w:line="360" w:lineRule="auto"/>
      <w:jc w:val="left"/>
    </w:pPr>
    <w:rPr>
      <w:rFonts w:ascii="宋体" w:hAnsi="宋体" w:cs="宋体"/>
      <w:kern w:val="0"/>
      <w:sz w:val="24"/>
      <w:szCs w:val="24"/>
    </w:rPr>
  </w:style>
  <w:style w:type="paragraph" w:styleId="81">
    <w:name w:val="List Continue 3"/>
    <w:basedOn w:val="1"/>
    <w:qFormat/>
    <w:uiPriority w:val="0"/>
    <w:pPr>
      <w:adjustRightInd w:val="0"/>
      <w:snapToGrid w:val="0"/>
      <w:spacing w:after="120" w:line="360" w:lineRule="auto"/>
      <w:ind w:left="1260" w:leftChars="600"/>
    </w:pPr>
    <w:rPr>
      <w:rFonts w:ascii="Times New Roman" w:hAnsi="Times New Roman" w:cs="Times New Roman"/>
      <w:sz w:val="24"/>
      <w:szCs w:val="24"/>
    </w:rPr>
  </w:style>
  <w:style w:type="paragraph" w:styleId="82">
    <w:name w:val="index 2"/>
    <w:basedOn w:val="1"/>
    <w:next w:val="1"/>
    <w:semiHidden/>
    <w:qFormat/>
    <w:uiPriority w:val="0"/>
    <w:pPr>
      <w:adjustRightInd w:val="0"/>
      <w:snapToGrid w:val="0"/>
      <w:spacing w:line="360" w:lineRule="auto"/>
      <w:ind w:left="200" w:leftChars="200"/>
    </w:pPr>
    <w:rPr>
      <w:rFonts w:ascii="Times New Roman" w:hAnsi="Times New Roman" w:cs="Times New Roman"/>
      <w:sz w:val="24"/>
      <w:szCs w:val="24"/>
    </w:rPr>
  </w:style>
  <w:style w:type="paragraph" w:styleId="83">
    <w:name w:val="Title"/>
    <w:basedOn w:val="1"/>
    <w:next w:val="1"/>
    <w:link w:val="344"/>
    <w:qFormat/>
    <w:uiPriority w:val="10"/>
    <w:pPr>
      <w:adjustRightInd w:val="0"/>
      <w:snapToGrid w:val="0"/>
      <w:spacing w:before="240" w:after="60" w:line="360" w:lineRule="auto"/>
      <w:jc w:val="center"/>
      <w:outlineLvl w:val="0"/>
    </w:pPr>
    <w:rPr>
      <w:rFonts w:asciiTheme="majorHAnsi" w:hAnsiTheme="majorHAnsi" w:eastAsiaTheme="majorEastAsia" w:cstheme="majorBidi"/>
      <w:b/>
      <w:bCs/>
      <w:sz w:val="32"/>
      <w:szCs w:val="32"/>
    </w:rPr>
  </w:style>
  <w:style w:type="paragraph" w:styleId="84">
    <w:name w:val="annotation subject"/>
    <w:basedOn w:val="29"/>
    <w:next w:val="29"/>
    <w:link w:val="199"/>
    <w:semiHidden/>
    <w:qFormat/>
    <w:uiPriority w:val="0"/>
    <w:rPr>
      <w:b/>
      <w:bCs/>
    </w:rPr>
  </w:style>
  <w:style w:type="paragraph" w:styleId="85">
    <w:name w:val="Body Text First Indent"/>
    <w:basedOn w:val="5"/>
    <w:link w:val="203"/>
    <w:qFormat/>
    <w:uiPriority w:val="0"/>
    <w:pPr>
      <w:adjustRightInd w:val="0"/>
      <w:snapToGrid w:val="0"/>
      <w:spacing w:line="360" w:lineRule="auto"/>
      <w:ind w:firstLine="420" w:firstLineChars="100"/>
    </w:pPr>
    <w:rPr>
      <w:rFonts w:ascii="Times New Roman" w:hAnsi="Times New Roman" w:cs="Times New Roman"/>
      <w:sz w:val="24"/>
      <w:szCs w:val="24"/>
    </w:rPr>
  </w:style>
  <w:style w:type="paragraph" w:styleId="86">
    <w:name w:val="Body Text First Indent 2"/>
    <w:basedOn w:val="35"/>
    <w:link w:val="204"/>
    <w:qFormat/>
    <w:uiPriority w:val="0"/>
    <w:pPr>
      <w:ind w:firstLine="420" w:firstLineChars="200"/>
    </w:pPr>
  </w:style>
  <w:style w:type="table" w:styleId="88">
    <w:name w:val="Table Grid"/>
    <w:basedOn w:val="8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basedOn w:val="90"/>
    <w:qFormat/>
    <w:uiPriority w:val="0"/>
    <w:rPr>
      <w:b/>
      <w:bCs/>
    </w:rPr>
  </w:style>
  <w:style w:type="character" w:styleId="92">
    <w:name w:val="endnote reference"/>
    <w:basedOn w:val="90"/>
    <w:qFormat/>
    <w:uiPriority w:val="0"/>
    <w:rPr>
      <w:vertAlign w:val="superscript"/>
    </w:rPr>
  </w:style>
  <w:style w:type="character" w:styleId="93">
    <w:name w:val="page number"/>
    <w:basedOn w:val="90"/>
    <w:qFormat/>
    <w:uiPriority w:val="0"/>
    <w:rPr>
      <w:rFonts w:ascii="Arial" w:hAnsi="宋体" w:eastAsia="宋体" w:cs="Arial"/>
      <w:spacing w:val="10"/>
      <w:kern w:val="2"/>
      <w:sz w:val="24"/>
      <w:szCs w:val="24"/>
      <w:lang w:val="en-US" w:eastAsia="zh-CN" w:bidi="ar-SA"/>
    </w:rPr>
  </w:style>
  <w:style w:type="character" w:styleId="94">
    <w:name w:val="FollowedHyperlink"/>
    <w:basedOn w:val="90"/>
    <w:qFormat/>
    <w:uiPriority w:val="0"/>
    <w:rPr>
      <w:color w:val="800080"/>
      <w:u w:val="single"/>
    </w:rPr>
  </w:style>
  <w:style w:type="character" w:styleId="95">
    <w:name w:val="Emphasis"/>
    <w:basedOn w:val="90"/>
    <w:qFormat/>
    <w:uiPriority w:val="20"/>
    <w:rPr>
      <w:i/>
      <w:iCs/>
    </w:rPr>
  </w:style>
  <w:style w:type="character" w:styleId="96">
    <w:name w:val="HTML Typewriter"/>
    <w:basedOn w:val="90"/>
    <w:qFormat/>
    <w:uiPriority w:val="0"/>
    <w:rPr>
      <w:rFonts w:ascii="MingLiU" w:hAnsi="Courier New" w:eastAsia="MingLiU" w:cs="Courier New"/>
      <w:sz w:val="20"/>
      <w:szCs w:val="20"/>
    </w:rPr>
  </w:style>
  <w:style w:type="character" w:styleId="97">
    <w:name w:val="Hyperlink"/>
    <w:basedOn w:val="90"/>
    <w:qFormat/>
    <w:uiPriority w:val="0"/>
    <w:rPr>
      <w:rFonts w:ascii="Arial" w:hAnsi="宋体" w:eastAsia="宋体" w:cs="Arial"/>
      <w:color w:val="000000"/>
      <w:spacing w:val="10"/>
      <w:kern w:val="2"/>
      <w:sz w:val="24"/>
      <w:szCs w:val="24"/>
      <w:u w:val="none"/>
      <w:lang w:val="en-US" w:eastAsia="zh-CN" w:bidi="ar-SA"/>
    </w:rPr>
  </w:style>
  <w:style w:type="character" w:styleId="98">
    <w:name w:val="annotation reference"/>
    <w:basedOn w:val="90"/>
    <w:qFormat/>
    <w:uiPriority w:val="0"/>
    <w:rPr>
      <w:sz w:val="21"/>
      <w:szCs w:val="21"/>
    </w:rPr>
  </w:style>
  <w:style w:type="paragraph" w:customStyle="1" w:styleId="99">
    <w:name w:val="方--表头"/>
    <w:basedOn w:val="1"/>
    <w:qFormat/>
    <w:uiPriority w:val="0"/>
    <w:pPr>
      <w:widowControl/>
      <w:adjustRightInd w:val="0"/>
      <w:snapToGrid w:val="0"/>
      <w:spacing w:line="360" w:lineRule="auto"/>
      <w:jc w:val="center"/>
    </w:pPr>
    <w:rPr>
      <w:rFonts w:ascii="Times New Roman" w:hAnsi="Times New Roman"/>
      <w:b/>
      <w:kern w:val="0"/>
      <w:sz w:val="24"/>
      <w:szCs w:val="24"/>
    </w:rPr>
  </w:style>
  <w:style w:type="paragraph" w:customStyle="1" w:styleId="100">
    <w:name w:val="表格（方）"/>
    <w:qFormat/>
    <w:uiPriority w:val="0"/>
    <w:pPr>
      <w:spacing w:before="20" w:beforeLines="20" w:after="20" w:afterLines="20"/>
      <w:jc w:val="center"/>
    </w:pPr>
    <w:rPr>
      <w:rFonts w:ascii="Times New Roman" w:hAnsi="Times New Roman" w:eastAsia="宋体" w:cs="Times New Roman"/>
      <w:snapToGrid w:val="0"/>
      <w:sz w:val="21"/>
      <w:lang w:val="en-US" w:eastAsia="zh-CN" w:bidi="ar-SA"/>
    </w:rPr>
  </w:style>
  <w:style w:type="character" w:customStyle="1" w:styleId="101">
    <w:name w:val="标题 1 字符"/>
    <w:basedOn w:val="90"/>
    <w:link w:val="4"/>
    <w:qFormat/>
    <w:uiPriority w:val="0"/>
    <w:rPr>
      <w:rFonts w:eastAsia="宋体"/>
      <w:b/>
      <w:bCs/>
      <w:color w:val="000000" w:themeColor="text1"/>
      <w:kern w:val="44"/>
      <w:sz w:val="36"/>
      <w:szCs w:val="44"/>
      <w14:textFill>
        <w14:solidFill>
          <w14:schemeClr w14:val="tx1"/>
        </w14:solidFill>
      </w14:textFill>
    </w:rPr>
  </w:style>
  <w:style w:type="paragraph" w:customStyle="1" w:styleId="102">
    <w:name w:val="二级大纲KX"/>
    <w:basedOn w:val="5"/>
    <w:next w:val="103"/>
    <w:link w:val="120"/>
    <w:qFormat/>
    <w:uiPriority w:val="0"/>
    <w:pPr>
      <w:numPr>
        <w:ilvl w:val="1"/>
        <w:numId w:val="1"/>
      </w:numPr>
      <w:tabs>
        <w:tab w:val="left" w:pos="0"/>
        <w:tab w:val="left" w:pos="300"/>
      </w:tabs>
      <w:adjustRightInd w:val="0"/>
      <w:snapToGrid w:val="0"/>
      <w:spacing w:after="0" w:line="360" w:lineRule="auto"/>
      <w:outlineLvl w:val="1"/>
    </w:pPr>
    <w:rPr>
      <w:rFonts w:ascii="Times New Roman" w:hAnsi="Times New Roman"/>
      <w:b/>
      <w:bCs/>
      <w:szCs w:val="32"/>
    </w:rPr>
  </w:style>
  <w:style w:type="paragraph" w:customStyle="1" w:styleId="103">
    <w:name w:val="正文KX"/>
    <w:basedOn w:val="1"/>
    <w:link w:val="136"/>
    <w:qFormat/>
    <w:uiPriority w:val="0"/>
    <w:pPr>
      <w:overflowPunct w:val="0"/>
      <w:adjustRightInd w:val="0"/>
      <w:snapToGrid w:val="0"/>
      <w:spacing w:line="360" w:lineRule="auto"/>
      <w:ind w:firstLine="472" w:firstLineChars="200"/>
      <w:jc w:val="left"/>
    </w:pPr>
    <w:rPr>
      <w:rFonts w:ascii="Times New Roman" w:hAnsi="Times New Roman" w:cs="Calibri"/>
      <w:bCs/>
      <w:snapToGrid w:val="0"/>
      <w:spacing w:val="-2"/>
      <w:kern w:val="0"/>
      <w:sz w:val="24"/>
      <w:szCs w:val="24"/>
    </w:rPr>
  </w:style>
  <w:style w:type="paragraph" w:customStyle="1" w:styleId="104">
    <w:name w:val="三级大纲KX"/>
    <w:basedOn w:val="1"/>
    <w:next w:val="103"/>
    <w:link w:val="121"/>
    <w:qFormat/>
    <w:uiPriority w:val="0"/>
    <w:pPr>
      <w:numPr>
        <w:ilvl w:val="2"/>
        <w:numId w:val="1"/>
      </w:numPr>
      <w:tabs>
        <w:tab w:val="left" w:pos="300"/>
        <w:tab w:val="left" w:pos="720"/>
      </w:tabs>
      <w:overflowPunct w:val="0"/>
      <w:adjustRightInd w:val="0"/>
      <w:snapToGrid w:val="0"/>
      <w:spacing w:line="360" w:lineRule="auto"/>
      <w:ind w:left="0" w:firstLine="0"/>
      <w:jc w:val="left"/>
      <w:outlineLvl w:val="2"/>
    </w:pPr>
    <w:rPr>
      <w:rFonts w:ascii="Times New Roman" w:hAnsi="Times New Roman" w:cs="Calibri"/>
      <w:b/>
      <w:bCs/>
      <w:snapToGrid w:val="0"/>
      <w:sz w:val="24"/>
      <w:szCs w:val="28"/>
    </w:rPr>
  </w:style>
  <w:style w:type="paragraph" w:customStyle="1" w:styleId="105">
    <w:name w:val="四级大纲KX"/>
    <w:basedOn w:val="1"/>
    <w:next w:val="1"/>
    <w:link w:val="122"/>
    <w:qFormat/>
    <w:uiPriority w:val="0"/>
    <w:pPr>
      <w:numPr>
        <w:ilvl w:val="3"/>
        <w:numId w:val="1"/>
      </w:numPr>
      <w:tabs>
        <w:tab w:val="left" w:pos="0"/>
        <w:tab w:val="left" w:pos="300"/>
      </w:tabs>
      <w:adjustRightInd w:val="0"/>
      <w:snapToGrid w:val="0"/>
      <w:spacing w:line="360" w:lineRule="auto"/>
      <w:outlineLvl w:val="3"/>
    </w:pPr>
    <w:rPr>
      <w:rFonts w:ascii="Times New Roman" w:hAnsi="Times New Roman" w:cs="Calibri"/>
      <w:b/>
      <w:snapToGrid w:val="0"/>
      <w:sz w:val="24"/>
      <w:szCs w:val="24"/>
    </w:rPr>
  </w:style>
  <w:style w:type="character" w:customStyle="1" w:styleId="106">
    <w:name w:val="标题 2 字符"/>
    <w:basedOn w:val="90"/>
    <w:link w:val="6"/>
    <w:qFormat/>
    <w:uiPriority w:val="0"/>
    <w:rPr>
      <w:rFonts w:ascii="Arial" w:hAnsi="Arial" w:eastAsia="黑体" w:cs="Times New Roman"/>
      <w:b/>
      <w:bCs/>
      <w:sz w:val="32"/>
      <w:szCs w:val="32"/>
    </w:rPr>
  </w:style>
  <w:style w:type="character" w:customStyle="1" w:styleId="107">
    <w:name w:val="正文文本 字符"/>
    <w:basedOn w:val="90"/>
    <w:link w:val="5"/>
    <w:qFormat/>
    <w:uiPriority w:val="0"/>
  </w:style>
  <w:style w:type="paragraph" w:customStyle="1" w:styleId="108">
    <w:name w:val="表格字体"/>
    <w:basedOn w:val="1"/>
    <w:next w:val="1"/>
    <w:link w:val="109"/>
    <w:qFormat/>
    <w:uiPriority w:val="0"/>
    <w:pPr>
      <w:adjustRightInd w:val="0"/>
      <w:snapToGrid w:val="0"/>
      <w:spacing w:before="48" w:beforeLines="20" w:after="48" w:afterLines="20"/>
      <w:jc w:val="center"/>
    </w:pPr>
    <w:rPr>
      <w:rFonts w:ascii="Times New Roman" w:hAnsi="Times New Roman" w:cs="Times New Roman"/>
      <w:bCs/>
      <w:snapToGrid w:val="0"/>
      <w:kern w:val="0"/>
      <w:sz w:val="24"/>
      <w:szCs w:val="21"/>
    </w:rPr>
  </w:style>
  <w:style w:type="character" w:customStyle="1" w:styleId="109">
    <w:name w:val="表格字体 Char"/>
    <w:link w:val="108"/>
    <w:qFormat/>
    <w:uiPriority w:val="0"/>
    <w:rPr>
      <w:rFonts w:ascii="Times New Roman" w:hAnsi="Times New Roman" w:eastAsia="宋体" w:cs="Times New Roman"/>
      <w:bCs/>
      <w:snapToGrid w:val="0"/>
      <w:kern w:val="0"/>
      <w:sz w:val="24"/>
      <w:szCs w:val="21"/>
    </w:rPr>
  </w:style>
  <w:style w:type="paragraph" w:customStyle="1" w:styleId="110">
    <w:name w:val="表头 1"/>
    <w:basedOn w:val="5"/>
    <w:next w:val="5"/>
    <w:link w:val="111"/>
    <w:qFormat/>
    <w:uiPriority w:val="0"/>
    <w:pPr>
      <w:tabs>
        <w:tab w:val="center" w:pos="4156"/>
        <w:tab w:val="left" w:pos="5964"/>
      </w:tabs>
      <w:adjustRightInd w:val="0"/>
      <w:snapToGrid w:val="0"/>
      <w:spacing w:before="93" w:beforeLines="30" w:after="0" w:line="360" w:lineRule="auto"/>
      <w:jc w:val="center"/>
    </w:pPr>
    <w:rPr>
      <w:rFonts w:eastAsia="楷体_GB2312"/>
      <w:b/>
      <w:snapToGrid w:val="0"/>
      <w:sz w:val="24"/>
      <w:szCs w:val="24"/>
    </w:rPr>
  </w:style>
  <w:style w:type="character" w:customStyle="1" w:styleId="111">
    <w:name w:val="表头 1 Char"/>
    <w:link w:val="110"/>
    <w:qFormat/>
    <w:uiPriority w:val="0"/>
    <w:rPr>
      <w:rFonts w:eastAsia="楷体_GB2312"/>
      <w:b/>
      <w:snapToGrid w:val="0"/>
      <w:sz w:val="24"/>
      <w:szCs w:val="24"/>
    </w:rPr>
  </w:style>
  <w:style w:type="paragraph" w:customStyle="1" w:styleId="112">
    <w:name w:val="正文 4"/>
    <w:basedOn w:val="1"/>
    <w:link w:val="113"/>
    <w:qFormat/>
    <w:uiPriority w:val="0"/>
    <w:pPr>
      <w:overflowPunct w:val="0"/>
      <w:adjustRightInd w:val="0"/>
      <w:snapToGrid w:val="0"/>
      <w:spacing w:line="480" w:lineRule="auto"/>
      <w:ind w:firstLine="200" w:firstLineChars="200"/>
      <w:jc w:val="left"/>
    </w:pPr>
    <w:rPr>
      <w:rFonts w:ascii="Times New Roman" w:hAnsi="Times New Roman" w:cs="Calibri"/>
      <w:bCs/>
      <w:snapToGrid w:val="0"/>
      <w:sz w:val="24"/>
      <w:szCs w:val="24"/>
    </w:rPr>
  </w:style>
  <w:style w:type="character" w:customStyle="1" w:styleId="113">
    <w:name w:val="正文 4 Char"/>
    <w:link w:val="112"/>
    <w:qFormat/>
    <w:uiPriority w:val="0"/>
    <w:rPr>
      <w:rFonts w:ascii="Times New Roman" w:hAnsi="Times New Roman" w:eastAsia="宋体" w:cs="Calibri"/>
      <w:bCs/>
      <w:snapToGrid w:val="0"/>
      <w:sz w:val="24"/>
      <w:szCs w:val="24"/>
    </w:rPr>
  </w:style>
  <w:style w:type="paragraph" w:customStyle="1" w:styleId="114">
    <w:name w:val="2级大纲"/>
    <w:basedOn w:val="5"/>
    <w:link w:val="115"/>
    <w:qFormat/>
    <w:uiPriority w:val="0"/>
    <w:pPr>
      <w:tabs>
        <w:tab w:val="left" w:pos="300"/>
        <w:tab w:val="left" w:pos="720"/>
      </w:tabs>
      <w:adjustRightInd w:val="0"/>
      <w:snapToGrid w:val="0"/>
      <w:spacing w:after="0" w:line="360" w:lineRule="auto"/>
      <w:outlineLvl w:val="1"/>
    </w:pPr>
    <w:rPr>
      <w:rFonts w:ascii="楷体" w:hAnsi="楷体"/>
      <w:b/>
      <w:bCs/>
      <w:sz w:val="30"/>
      <w:szCs w:val="32"/>
    </w:rPr>
  </w:style>
  <w:style w:type="character" w:customStyle="1" w:styleId="115">
    <w:name w:val="2级大纲 字符"/>
    <w:basedOn w:val="107"/>
    <w:link w:val="114"/>
    <w:qFormat/>
    <w:uiPriority w:val="0"/>
    <w:rPr>
      <w:rFonts w:ascii="楷体" w:hAnsi="楷体" w:eastAsia="宋体"/>
      <w:b/>
      <w:bCs/>
      <w:sz w:val="30"/>
      <w:szCs w:val="32"/>
    </w:rPr>
  </w:style>
  <w:style w:type="paragraph" w:customStyle="1" w:styleId="116">
    <w:name w:val="4级大纲"/>
    <w:basedOn w:val="1"/>
    <w:next w:val="112"/>
    <w:link w:val="117"/>
    <w:qFormat/>
    <w:uiPriority w:val="0"/>
    <w:pPr>
      <w:tabs>
        <w:tab w:val="left" w:pos="0"/>
        <w:tab w:val="left" w:pos="300"/>
        <w:tab w:val="left" w:pos="1080"/>
      </w:tabs>
      <w:adjustRightInd w:val="0"/>
      <w:snapToGrid w:val="0"/>
      <w:spacing w:line="360" w:lineRule="auto"/>
      <w:outlineLvl w:val="3"/>
    </w:pPr>
    <w:rPr>
      <w:rFonts w:ascii="Arial Unicode MS" w:hAnsi="Arial Unicode MS" w:cs="Calibri"/>
      <w:b/>
      <w:snapToGrid w:val="0"/>
      <w:sz w:val="24"/>
      <w:szCs w:val="24"/>
    </w:rPr>
  </w:style>
  <w:style w:type="character" w:customStyle="1" w:styleId="117">
    <w:name w:val="4级大纲 字符"/>
    <w:basedOn w:val="90"/>
    <w:link w:val="116"/>
    <w:qFormat/>
    <w:uiPriority w:val="0"/>
    <w:rPr>
      <w:rFonts w:ascii="Arial Unicode MS" w:hAnsi="Arial Unicode MS" w:eastAsia="宋体" w:cs="Calibri"/>
      <w:b/>
      <w:snapToGrid w:val="0"/>
      <w:sz w:val="24"/>
      <w:szCs w:val="24"/>
    </w:rPr>
  </w:style>
  <w:style w:type="paragraph" w:customStyle="1" w:styleId="118">
    <w:name w:val="3级大纲"/>
    <w:basedOn w:val="112"/>
    <w:next w:val="112"/>
    <w:link w:val="119"/>
    <w:qFormat/>
    <w:uiPriority w:val="0"/>
    <w:pPr>
      <w:tabs>
        <w:tab w:val="left" w:pos="300"/>
        <w:tab w:val="left" w:pos="720"/>
        <w:tab w:val="left" w:pos="4406"/>
      </w:tabs>
      <w:ind w:firstLine="0" w:firstLineChars="0"/>
      <w:outlineLvl w:val="2"/>
    </w:pPr>
    <w:rPr>
      <w:b/>
      <w:sz w:val="28"/>
      <w:szCs w:val="28"/>
    </w:rPr>
  </w:style>
  <w:style w:type="character" w:customStyle="1" w:styleId="119">
    <w:name w:val="3级大纲 字符"/>
    <w:basedOn w:val="113"/>
    <w:link w:val="118"/>
    <w:qFormat/>
    <w:uiPriority w:val="0"/>
    <w:rPr>
      <w:rFonts w:ascii="Arial Unicode MS" w:hAnsi="Arial Unicode MS" w:eastAsia="宋体" w:cs="Calibri"/>
      <w:b/>
      <w:snapToGrid w:val="0"/>
      <w:sz w:val="28"/>
      <w:szCs w:val="28"/>
    </w:rPr>
  </w:style>
  <w:style w:type="character" w:customStyle="1" w:styleId="120">
    <w:name w:val="二级大纲KX 字符"/>
    <w:basedOn w:val="107"/>
    <w:link w:val="102"/>
    <w:qFormat/>
    <w:uiPriority w:val="0"/>
    <w:rPr>
      <w:rFonts w:ascii="Times New Roman" w:hAnsi="Times New Roman" w:eastAsia="宋体"/>
      <w:b/>
      <w:bCs/>
      <w:sz w:val="28"/>
      <w:szCs w:val="32"/>
    </w:rPr>
  </w:style>
  <w:style w:type="character" w:customStyle="1" w:styleId="121">
    <w:name w:val="三级大纲KX 字符"/>
    <w:basedOn w:val="90"/>
    <w:link w:val="104"/>
    <w:qFormat/>
    <w:uiPriority w:val="0"/>
    <w:rPr>
      <w:rFonts w:ascii="Times New Roman" w:hAnsi="Times New Roman" w:eastAsia="宋体" w:cs="Calibri"/>
      <w:b/>
      <w:bCs/>
      <w:snapToGrid w:val="0"/>
      <w:sz w:val="24"/>
      <w:szCs w:val="28"/>
    </w:rPr>
  </w:style>
  <w:style w:type="character" w:customStyle="1" w:styleId="122">
    <w:name w:val="四级大纲KX 字符"/>
    <w:basedOn w:val="121"/>
    <w:link w:val="105"/>
    <w:qFormat/>
    <w:uiPriority w:val="0"/>
    <w:rPr>
      <w:rFonts w:ascii="Times New Roman" w:hAnsi="Times New Roman" w:eastAsia="宋体" w:cs="Calibri"/>
      <w:bCs w:val="0"/>
      <w:snapToGrid w:val="0"/>
      <w:sz w:val="24"/>
      <w:szCs w:val="24"/>
    </w:rPr>
  </w:style>
  <w:style w:type="character" w:customStyle="1" w:styleId="123">
    <w:name w:val="页眉 字符"/>
    <w:basedOn w:val="90"/>
    <w:link w:val="57"/>
    <w:qFormat/>
    <w:uiPriority w:val="0"/>
    <w:rPr>
      <w:rFonts w:eastAsia="宋体"/>
      <w:sz w:val="18"/>
      <w:szCs w:val="18"/>
    </w:rPr>
  </w:style>
  <w:style w:type="character" w:customStyle="1" w:styleId="124">
    <w:name w:val="页脚 字符"/>
    <w:basedOn w:val="90"/>
    <w:link w:val="55"/>
    <w:qFormat/>
    <w:uiPriority w:val="0"/>
    <w:rPr>
      <w:rFonts w:eastAsia="宋体"/>
      <w:sz w:val="18"/>
      <w:szCs w:val="18"/>
    </w:rPr>
  </w:style>
  <w:style w:type="character" w:customStyle="1" w:styleId="125">
    <w:name w:val="标题 3 字符"/>
    <w:basedOn w:val="90"/>
    <w:link w:val="7"/>
    <w:qFormat/>
    <w:uiPriority w:val="0"/>
    <w:rPr>
      <w:rFonts w:ascii="Times New Roman" w:hAnsi="Times New Roman" w:eastAsia="宋体" w:cs="Times New Roman"/>
      <w:b/>
      <w:bCs/>
      <w:sz w:val="32"/>
      <w:szCs w:val="32"/>
    </w:rPr>
  </w:style>
  <w:style w:type="character" w:customStyle="1" w:styleId="126">
    <w:name w:val="标题 4 字符"/>
    <w:basedOn w:val="90"/>
    <w:link w:val="8"/>
    <w:qFormat/>
    <w:uiPriority w:val="0"/>
    <w:rPr>
      <w:rFonts w:ascii="Arial" w:hAnsi="Arial" w:eastAsia="黑体" w:cs="Times New Roman"/>
      <w:b/>
      <w:bCs/>
      <w:sz w:val="24"/>
      <w:szCs w:val="28"/>
    </w:rPr>
  </w:style>
  <w:style w:type="character" w:customStyle="1" w:styleId="127">
    <w:name w:val="标题 5 字符"/>
    <w:basedOn w:val="90"/>
    <w:link w:val="9"/>
    <w:qFormat/>
    <w:uiPriority w:val="0"/>
    <w:rPr>
      <w:rFonts w:ascii="Times New Roman" w:hAnsi="Times New Roman" w:eastAsia="宋体" w:cs="Times New Roman"/>
      <w:b/>
      <w:bCs/>
      <w:sz w:val="24"/>
      <w:szCs w:val="28"/>
    </w:rPr>
  </w:style>
  <w:style w:type="character" w:customStyle="1" w:styleId="128">
    <w:name w:val="标题 6 字符"/>
    <w:basedOn w:val="90"/>
    <w:link w:val="10"/>
    <w:qFormat/>
    <w:uiPriority w:val="0"/>
    <w:rPr>
      <w:rFonts w:ascii="Arial" w:hAnsi="Arial" w:eastAsia="黑体" w:cs="Times New Roman"/>
      <w:b/>
      <w:bCs/>
      <w:sz w:val="24"/>
      <w:szCs w:val="24"/>
    </w:rPr>
  </w:style>
  <w:style w:type="character" w:customStyle="1" w:styleId="129">
    <w:name w:val="标题 7 字符"/>
    <w:basedOn w:val="90"/>
    <w:link w:val="11"/>
    <w:qFormat/>
    <w:uiPriority w:val="0"/>
    <w:rPr>
      <w:rFonts w:ascii="Times New Roman" w:hAnsi="Times New Roman" w:eastAsia="宋体" w:cs="Times New Roman"/>
      <w:b/>
      <w:bCs/>
      <w:sz w:val="24"/>
      <w:szCs w:val="24"/>
    </w:rPr>
  </w:style>
  <w:style w:type="character" w:customStyle="1" w:styleId="130">
    <w:name w:val="标题 8 字符"/>
    <w:basedOn w:val="90"/>
    <w:link w:val="12"/>
    <w:qFormat/>
    <w:uiPriority w:val="0"/>
    <w:rPr>
      <w:rFonts w:ascii="Arial" w:hAnsi="Arial" w:eastAsia="黑体" w:cs="Times New Roman"/>
      <w:sz w:val="24"/>
      <w:szCs w:val="24"/>
    </w:rPr>
  </w:style>
  <w:style w:type="character" w:customStyle="1" w:styleId="131">
    <w:name w:val="标题 9 字符"/>
    <w:basedOn w:val="90"/>
    <w:link w:val="13"/>
    <w:qFormat/>
    <w:uiPriority w:val="0"/>
    <w:rPr>
      <w:rFonts w:ascii="Arial" w:hAnsi="Arial" w:eastAsia="黑体" w:cs="Times New Roman"/>
      <w:szCs w:val="21"/>
    </w:rPr>
  </w:style>
  <w:style w:type="paragraph" w:customStyle="1" w:styleId="132">
    <w:name w:val="表格字体KX"/>
    <w:basedOn w:val="1"/>
    <w:next w:val="1"/>
    <w:link w:val="133"/>
    <w:qFormat/>
    <w:uiPriority w:val="0"/>
    <w:pPr>
      <w:overflowPunct w:val="0"/>
      <w:adjustRightInd w:val="0"/>
      <w:snapToGrid w:val="0"/>
      <w:spacing w:before="20" w:beforeLines="20" w:after="20" w:afterLines="20"/>
      <w:jc w:val="center"/>
    </w:pPr>
    <w:rPr>
      <w:rFonts w:ascii="Times New Roman" w:hAnsi="Times New Roman" w:cs="Times New Roman"/>
      <w:bCs/>
      <w:snapToGrid w:val="0"/>
      <w:color w:val="000000" w:themeColor="text1"/>
      <w:kern w:val="0"/>
      <w:sz w:val="21"/>
      <w:szCs w:val="21"/>
      <w14:textFill>
        <w14:solidFill>
          <w14:schemeClr w14:val="tx1"/>
        </w14:solidFill>
      </w14:textFill>
    </w:rPr>
  </w:style>
  <w:style w:type="character" w:customStyle="1" w:styleId="133">
    <w:name w:val="表格字体KX 字符"/>
    <w:link w:val="132"/>
    <w:qFormat/>
    <w:uiPriority w:val="0"/>
    <w:rPr>
      <w:rFonts w:ascii="Times New Roman" w:hAnsi="Times New Roman" w:eastAsia="宋体" w:cs="Times New Roman"/>
      <w:bCs/>
      <w:snapToGrid w:val="0"/>
      <w:color w:val="000000" w:themeColor="text1"/>
      <w:kern w:val="0"/>
      <w:szCs w:val="21"/>
      <w14:textFill>
        <w14:solidFill>
          <w14:schemeClr w14:val="tx1"/>
        </w14:solidFill>
      </w14:textFill>
    </w:rPr>
  </w:style>
  <w:style w:type="paragraph" w:customStyle="1" w:styleId="134">
    <w:name w:val="表头KX"/>
    <w:basedOn w:val="5"/>
    <w:next w:val="5"/>
    <w:link w:val="135"/>
    <w:qFormat/>
    <w:uiPriority w:val="0"/>
    <w:pPr>
      <w:tabs>
        <w:tab w:val="center" w:pos="4156"/>
        <w:tab w:val="left" w:pos="5964"/>
      </w:tabs>
      <w:adjustRightInd w:val="0"/>
      <w:snapToGrid w:val="0"/>
      <w:spacing w:before="72" w:beforeLines="30" w:after="48" w:afterLines="20" w:line="360" w:lineRule="auto"/>
      <w:jc w:val="center"/>
    </w:pPr>
    <w:rPr>
      <w:rFonts w:ascii="Times New Roman" w:hAnsi="Times New Roman"/>
      <w:b/>
      <w:snapToGrid w:val="0"/>
      <w:sz w:val="24"/>
      <w:szCs w:val="24"/>
    </w:rPr>
  </w:style>
  <w:style w:type="character" w:customStyle="1" w:styleId="135">
    <w:name w:val="表头KX 字符"/>
    <w:link w:val="134"/>
    <w:qFormat/>
    <w:uiPriority w:val="0"/>
    <w:rPr>
      <w:rFonts w:ascii="Times New Roman" w:hAnsi="Times New Roman" w:eastAsia="宋体"/>
      <w:b/>
      <w:snapToGrid w:val="0"/>
      <w:sz w:val="24"/>
      <w:szCs w:val="24"/>
    </w:rPr>
  </w:style>
  <w:style w:type="character" w:customStyle="1" w:styleId="136">
    <w:name w:val="正文KX 字符"/>
    <w:link w:val="103"/>
    <w:qFormat/>
    <w:uiPriority w:val="0"/>
    <w:rPr>
      <w:rFonts w:ascii="Times New Roman" w:hAnsi="Times New Roman" w:eastAsia="宋体" w:cs="Calibri"/>
      <w:bCs/>
      <w:snapToGrid w:val="0"/>
      <w:spacing w:val="-2"/>
      <w:kern w:val="0"/>
      <w:sz w:val="24"/>
      <w:szCs w:val="24"/>
    </w:rPr>
  </w:style>
  <w:style w:type="paragraph" w:customStyle="1" w:styleId="137">
    <w:name w:val="2级大纲kx"/>
    <w:basedOn w:val="5"/>
    <w:next w:val="103"/>
    <w:link w:val="138"/>
    <w:qFormat/>
    <w:uiPriority w:val="0"/>
    <w:pPr>
      <w:numPr>
        <w:ilvl w:val="1"/>
        <w:numId w:val="13"/>
      </w:numPr>
      <w:tabs>
        <w:tab w:val="left" w:pos="300"/>
        <w:tab w:val="left" w:pos="720"/>
      </w:tabs>
      <w:adjustRightInd w:val="0"/>
      <w:snapToGrid w:val="0"/>
      <w:spacing w:after="0" w:line="360" w:lineRule="auto"/>
      <w:ind w:left="0" w:firstLine="0"/>
      <w:outlineLvl w:val="1"/>
    </w:pPr>
    <w:rPr>
      <w:rFonts w:ascii="Times New Roman" w:hAnsi="Times New Roman"/>
      <w:b/>
      <w:bCs/>
      <w:szCs w:val="32"/>
    </w:rPr>
  </w:style>
  <w:style w:type="character" w:customStyle="1" w:styleId="138">
    <w:name w:val="2级大纲kx 字符"/>
    <w:basedOn w:val="107"/>
    <w:link w:val="137"/>
    <w:qFormat/>
    <w:uiPriority w:val="0"/>
    <w:rPr>
      <w:rFonts w:ascii="Times New Roman" w:hAnsi="Times New Roman" w:eastAsia="宋体"/>
      <w:b/>
      <w:bCs/>
      <w:sz w:val="28"/>
      <w:szCs w:val="32"/>
    </w:rPr>
  </w:style>
  <w:style w:type="paragraph" w:customStyle="1" w:styleId="139">
    <w:name w:val="3级大纲kx"/>
    <w:basedOn w:val="1"/>
    <w:next w:val="1"/>
    <w:link w:val="140"/>
    <w:qFormat/>
    <w:uiPriority w:val="0"/>
    <w:pPr>
      <w:tabs>
        <w:tab w:val="left" w:pos="300"/>
        <w:tab w:val="left" w:pos="720"/>
        <w:tab w:val="left" w:pos="4406"/>
      </w:tabs>
      <w:overflowPunct w:val="0"/>
      <w:adjustRightInd w:val="0"/>
      <w:snapToGrid w:val="0"/>
      <w:spacing w:line="360" w:lineRule="auto"/>
      <w:jc w:val="left"/>
      <w:outlineLvl w:val="2"/>
    </w:pPr>
    <w:rPr>
      <w:rFonts w:ascii="Times New Roman" w:hAnsi="Times New Roman" w:cs="Calibri"/>
      <w:b/>
      <w:bCs/>
      <w:snapToGrid w:val="0"/>
      <w:sz w:val="24"/>
      <w:szCs w:val="28"/>
    </w:rPr>
  </w:style>
  <w:style w:type="character" w:customStyle="1" w:styleId="140">
    <w:name w:val="3级大纲kx 字符"/>
    <w:basedOn w:val="90"/>
    <w:link w:val="139"/>
    <w:qFormat/>
    <w:uiPriority w:val="0"/>
    <w:rPr>
      <w:rFonts w:ascii="Times New Roman" w:hAnsi="Times New Roman" w:eastAsia="宋体" w:cs="Calibri"/>
      <w:b/>
      <w:bCs/>
      <w:snapToGrid w:val="0"/>
      <w:sz w:val="24"/>
      <w:szCs w:val="28"/>
    </w:rPr>
  </w:style>
  <w:style w:type="paragraph" w:customStyle="1" w:styleId="141">
    <w:name w:val="4级大纲kx"/>
    <w:basedOn w:val="1"/>
    <w:next w:val="1"/>
    <w:link w:val="142"/>
    <w:qFormat/>
    <w:uiPriority w:val="0"/>
    <w:pPr>
      <w:tabs>
        <w:tab w:val="left" w:pos="0"/>
        <w:tab w:val="left" w:pos="300"/>
        <w:tab w:val="left" w:pos="1080"/>
      </w:tabs>
      <w:adjustRightInd w:val="0"/>
      <w:snapToGrid w:val="0"/>
      <w:spacing w:line="360" w:lineRule="auto"/>
      <w:outlineLvl w:val="3"/>
    </w:pPr>
    <w:rPr>
      <w:rFonts w:ascii="Times New Roman" w:hAnsi="Times New Roman" w:cs="Calibri"/>
      <w:b/>
      <w:snapToGrid w:val="0"/>
      <w:sz w:val="24"/>
      <w:szCs w:val="24"/>
    </w:rPr>
  </w:style>
  <w:style w:type="character" w:customStyle="1" w:styleId="142">
    <w:name w:val="4级大纲kx 字符"/>
    <w:basedOn w:val="140"/>
    <w:link w:val="141"/>
    <w:qFormat/>
    <w:uiPriority w:val="0"/>
    <w:rPr>
      <w:rFonts w:ascii="Times New Roman" w:hAnsi="Times New Roman" w:eastAsia="宋体" w:cs="Calibri"/>
      <w:bCs w:val="0"/>
      <w:snapToGrid w:val="0"/>
      <w:sz w:val="24"/>
      <w:szCs w:val="24"/>
    </w:rPr>
  </w:style>
  <w:style w:type="character" w:customStyle="1" w:styleId="143">
    <w:name w:val="批注框文本 字符"/>
    <w:basedOn w:val="90"/>
    <w:link w:val="54"/>
    <w:semiHidden/>
    <w:qFormat/>
    <w:uiPriority w:val="0"/>
    <w:rPr>
      <w:rFonts w:eastAsia="宋体"/>
      <w:sz w:val="18"/>
      <w:szCs w:val="18"/>
    </w:rPr>
  </w:style>
  <w:style w:type="character" w:customStyle="1" w:styleId="144">
    <w:name w:val="表头 1 字符"/>
    <w:qFormat/>
    <w:uiPriority w:val="0"/>
    <w:rPr>
      <w:rFonts w:ascii="Times New Roman" w:hAnsi="Times New Roman" w:eastAsia="宋体"/>
      <w:b/>
      <w:snapToGrid w:val="0"/>
      <w:sz w:val="24"/>
      <w:szCs w:val="24"/>
    </w:rPr>
  </w:style>
  <w:style w:type="character" w:customStyle="1" w:styleId="145">
    <w:name w:val="正文 4 字符"/>
    <w:qFormat/>
    <w:uiPriority w:val="0"/>
    <w:rPr>
      <w:rFonts w:ascii="Times New Roman" w:hAnsi="Times New Roman" w:eastAsia="宋体" w:cs="Calibri"/>
      <w:bCs/>
      <w:snapToGrid w:val="0"/>
      <w:sz w:val="24"/>
      <w:szCs w:val="24"/>
    </w:rPr>
  </w:style>
  <w:style w:type="paragraph" w:customStyle="1" w:styleId="146">
    <w:name w:val="Char Char Char Char Char Char Char Char Char Char"/>
    <w:basedOn w:val="1"/>
    <w:qFormat/>
    <w:uiPriority w:val="0"/>
    <w:pPr>
      <w:adjustRightInd w:val="0"/>
      <w:snapToGrid w:val="0"/>
      <w:spacing w:line="360" w:lineRule="auto"/>
      <w:jc w:val="center"/>
    </w:pPr>
    <w:rPr>
      <w:rFonts w:ascii="Arial" w:hAnsi="Arial" w:eastAsia="黑体" w:cs="Arial"/>
      <w:spacing w:val="10"/>
      <w:sz w:val="22"/>
    </w:rPr>
  </w:style>
  <w:style w:type="character" w:customStyle="1" w:styleId="147">
    <w:name w:val="文档结构图 字符"/>
    <w:basedOn w:val="90"/>
    <w:link w:val="27"/>
    <w:semiHidden/>
    <w:qFormat/>
    <w:uiPriority w:val="0"/>
    <w:rPr>
      <w:rFonts w:ascii="Times New Roman" w:hAnsi="Times New Roman" w:eastAsia="宋体" w:cs="Times New Roman"/>
      <w:sz w:val="24"/>
      <w:szCs w:val="24"/>
      <w:shd w:val="clear" w:color="auto" w:fill="000080"/>
    </w:rPr>
  </w:style>
  <w:style w:type="paragraph" w:customStyle="1" w:styleId="148">
    <w:name w:val="正文001"/>
    <w:basedOn w:val="1"/>
    <w:link w:val="149"/>
    <w:qFormat/>
    <w:uiPriority w:val="0"/>
    <w:pPr>
      <w:adjustRightInd w:val="0"/>
      <w:snapToGrid w:val="0"/>
      <w:spacing w:before="60" w:line="460" w:lineRule="exact"/>
      <w:ind w:firstLine="482"/>
    </w:pPr>
    <w:rPr>
      <w:rFonts w:ascii="Arial" w:hAnsi="Arial" w:cs="Times New Roman"/>
      <w:kern w:val="0"/>
      <w:sz w:val="24"/>
      <w:szCs w:val="24"/>
    </w:rPr>
  </w:style>
  <w:style w:type="character" w:customStyle="1" w:styleId="149">
    <w:name w:val="正文001 Char"/>
    <w:basedOn w:val="90"/>
    <w:link w:val="148"/>
    <w:qFormat/>
    <w:uiPriority w:val="0"/>
    <w:rPr>
      <w:rFonts w:ascii="Arial" w:hAnsi="Arial" w:eastAsia="宋体" w:cs="Times New Roman"/>
      <w:kern w:val="0"/>
      <w:sz w:val="24"/>
      <w:szCs w:val="24"/>
    </w:rPr>
  </w:style>
  <w:style w:type="paragraph" w:customStyle="1" w:styleId="150">
    <w:name w:val="样式 正文1 + 段前: 0.1 行"/>
    <w:basedOn w:val="1"/>
    <w:link w:val="231"/>
    <w:qFormat/>
    <w:uiPriority w:val="0"/>
    <w:pPr>
      <w:adjustRightInd w:val="0"/>
      <w:snapToGrid w:val="0"/>
      <w:spacing w:before="10" w:beforeLines="10" w:line="440" w:lineRule="atLeast"/>
      <w:ind w:firstLine="567"/>
    </w:pPr>
    <w:rPr>
      <w:rFonts w:ascii="Times New Roman" w:hAnsi="Times New Roman" w:cs="宋体"/>
      <w:sz w:val="24"/>
      <w:szCs w:val="20"/>
    </w:rPr>
  </w:style>
  <w:style w:type="paragraph" w:customStyle="1" w:styleId="151">
    <w:name w:val="表格标题"/>
    <w:basedOn w:val="1"/>
    <w:qFormat/>
    <w:uiPriority w:val="0"/>
    <w:pPr>
      <w:adjustRightInd w:val="0"/>
      <w:snapToGrid w:val="0"/>
      <w:spacing w:before="31" w:beforeLines="10" w:line="440" w:lineRule="atLeast"/>
      <w:ind w:firstLine="624"/>
      <w:jc w:val="center"/>
    </w:pPr>
    <w:rPr>
      <w:rFonts w:ascii="Times New Roman" w:hAnsi="Times New Roman" w:cs="宋体"/>
      <w:sz w:val="24"/>
      <w:szCs w:val="20"/>
    </w:rPr>
  </w:style>
  <w:style w:type="paragraph" w:customStyle="1" w:styleId="152">
    <w:name w:val="Char"/>
    <w:basedOn w:val="1"/>
    <w:qFormat/>
    <w:uiPriority w:val="0"/>
    <w:pPr>
      <w:adjustRightInd w:val="0"/>
      <w:snapToGrid w:val="0"/>
      <w:spacing w:line="360" w:lineRule="auto"/>
    </w:pPr>
    <w:rPr>
      <w:rFonts w:ascii="Times New Roman" w:hAnsi="Times New Roman" w:cs="Times New Roman"/>
      <w:sz w:val="24"/>
      <w:szCs w:val="24"/>
    </w:rPr>
  </w:style>
  <w:style w:type="paragraph" w:customStyle="1" w:styleId="153">
    <w:name w:val="表格"/>
    <w:basedOn w:val="1"/>
    <w:link w:val="333"/>
    <w:qFormat/>
    <w:uiPriority w:val="0"/>
    <w:pPr>
      <w:adjustRightInd w:val="0"/>
      <w:snapToGrid w:val="0"/>
      <w:spacing w:line="400" w:lineRule="exact"/>
      <w:jc w:val="center"/>
    </w:pPr>
    <w:rPr>
      <w:rFonts w:ascii="Times New Roman" w:hAnsi="Times New Roman" w:cs="Times New Roman"/>
      <w:sz w:val="21"/>
      <w:szCs w:val="21"/>
    </w:rPr>
  </w:style>
  <w:style w:type="paragraph" w:customStyle="1" w:styleId="154">
    <w:name w:val="表格文字"/>
    <w:basedOn w:val="1"/>
    <w:link w:val="278"/>
    <w:qFormat/>
    <w:uiPriority w:val="0"/>
    <w:pPr>
      <w:tabs>
        <w:tab w:val="left" w:pos="560"/>
      </w:tabs>
      <w:overflowPunct w:val="0"/>
      <w:adjustRightInd w:val="0"/>
      <w:snapToGrid w:val="0"/>
      <w:spacing w:before="48" w:beforeLines="20" w:after="48" w:afterLines="20" w:line="360" w:lineRule="auto"/>
      <w:jc w:val="center"/>
    </w:pPr>
    <w:rPr>
      <w:rFonts w:ascii="Arial" w:hAnsi="Arial" w:cs="Arial"/>
      <w:snapToGrid w:val="0"/>
      <w:kern w:val="0"/>
      <w:sz w:val="22"/>
      <w:szCs w:val="21"/>
    </w:rPr>
  </w:style>
  <w:style w:type="paragraph" w:customStyle="1" w:styleId="155">
    <w:name w:val="样式 样式 正文1 + 段前: 0.1 行 + 段前: 0.1 行"/>
    <w:basedOn w:val="150"/>
    <w:qFormat/>
    <w:uiPriority w:val="0"/>
    <w:pPr>
      <w:spacing w:before="24"/>
    </w:pPr>
  </w:style>
  <w:style w:type="character" w:customStyle="1" w:styleId="156">
    <w:name w:val="正文文本缩进 2 字符"/>
    <w:basedOn w:val="90"/>
    <w:link w:val="51"/>
    <w:qFormat/>
    <w:uiPriority w:val="0"/>
    <w:rPr>
      <w:rFonts w:ascii="Times New Roman" w:hAnsi="Times New Roman" w:eastAsia="宋体" w:cs="Times New Roman"/>
      <w:sz w:val="27"/>
      <w:szCs w:val="20"/>
    </w:rPr>
  </w:style>
  <w:style w:type="character" w:customStyle="1" w:styleId="157">
    <w:name w:val="grame"/>
    <w:basedOn w:val="90"/>
    <w:qFormat/>
    <w:uiPriority w:val="0"/>
  </w:style>
  <w:style w:type="paragraph" w:customStyle="1" w:styleId="158">
    <w:name w:val="表"/>
    <w:basedOn w:val="1"/>
    <w:qFormat/>
    <w:uiPriority w:val="0"/>
    <w:pPr>
      <w:adjustRightInd w:val="0"/>
      <w:snapToGrid w:val="0"/>
      <w:spacing w:line="360" w:lineRule="auto"/>
      <w:jc w:val="center"/>
    </w:pPr>
    <w:rPr>
      <w:rFonts w:ascii="Times New Roman" w:hAnsi="Times New Roman" w:cs="Times New Roman"/>
      <w:spacing w:val="2"/>
      <w:sz w:val="21"/>
      <w:szCs w:val="20"/>
    </w:rPr>
  </w:style>
  <w:style w:type="paragraph" w:styleId="159">
    <w:name w:val="List Paragraph"/>
    <w:basedOn w:val="1"/>
    <w:qFormat/>
    <w:uiPriority w:val="0"/>
    <w:pPr>
      <w:adjustRightInd w:val="0"/>
      <w:snapToGrid w:val="0"/>
      <w:spacing w:line="360" w:lineRule="auto"/>
      <w:ind w:firstLine="420" w:firstLineChars="200"/>
    </w:pPr>
    <w:rPr>
      <w:rFonts w:ascii="Calibri" w:hAnsi="Calibri" w:cs="Times New Roman"/>
      <w:sz w:val="21"/>
    </w:rPr>
  </w:style>
  <w:style w:type="character" w:customStyle="1" w:styleId="160">
    <w:name w:val="正文缩进 字符"/>
    <w:basedOn w:val="90"/>
    <w:link w:val="22"/>
    <w:qFormat/>
    <w:uiPriority w:val="99"/>
    <w:rPr>
      <w:rFonts w:ascii="Times New Roman" w:hAnsi="Times New Roman" w:eastAsia="黑体" w:cs="Times New Roman"/>
      <w:sz w:val="24"/>
      <w:szCs w:val="24"/>
    </w:rPr>
  </w:style>
  <w:style w:type="character" w:customStyle="1" w:styleId="161">
    <w:name w:val="纯文本 字符"/>
    <w:basedOn w:val="90"/>
    <w:link w:val="45"/>
    <w:qFormat/>
    <w:uiPriority w:val="0"/>
    <w:rPr>
      <w:rFonts w:ascii="宋体" w:hAnsi="Courier New" w:eastAsia="宋体" w:cs="Courier New"/>
      <w:szCs w:val="21"/>
    </w:rPr>
  </w:style>
  <w:style w:type="paragraph" w:customStyle="1" w:styleId="162">
    <w:name w:val="条题"/>
    <w:basedOn w:val="1"/>
    <w:qFormat/>
    <w:uiPriority w:val="0"/>
    <w:pPr>
      <w:numPr>
        <w:ilvl w:val="0"/>
        <w:numId w:val="14"/>
      </w:numPr>
      <w:adjustRightInd w:val="0"/>
      <w:snapToGrid w:val="0"/>
      <w:spacing w:line="480" w:lineRule="exact"/>
      <w:ind w:left="0" w:right="278" w:firstLine="480" w:firstLineChars="200"/>
    </w:pPr>
    <w:rPr>
      <w:rFonts w:ascii="宋体" w:hAnsi="宋体" w:cs="Times New Roman"/>
      <w:sz w:val="24"/>
      <w:szCs w:val="20"/>
    </w:rPr>
  </w:style>
  <w:style w:type="character" w:customStyle="1" w:styleId="163">
    <w:name w:val="font10"/>
    <w:basedOn w:val="90"/>
    <w:qFormat/>
    <w:uiPriority w:val="0"/>
    <w:rPr>
      <w:rFonts w:ascii="Arial" w:hAnsi="宋体" w:eastAsia="宋体" w:cs="Arial"/>
      <w:spacing w:val="10"/>
      <w:kern w:val="2"/>
      <w:sz w:val="24"/>
      <w:szCs w:val="24"/>
      <w:lang w:val="en-US" w:eastAsia="zh-CN" w:bidi="ar-SA"/>
    </w:rPr>
  </w:style>
  <w:style w:type="paragraph" w:customStyle="1" w:styleId="164">
    <w:name w:val="正文01"/>
    <w:basedOn w:val="1"/>
    <w:link w:val="290"/>
    <w:qFormat/>
    <w:uiPriority w:val="0"/>
    <w:pPr>
      <w:adjustRightInd w:val="0"/>
      <w:snapToGrid w:val="0"/>
      <w:spacing w:before="60" w:line="460" w:lineRule="exact"/>
      <w:ind w:firstLine="200" w:firstLineChars="200"/>
    </w:pPr>
    <w:rPr>
      <w:rFonts w:ascii="Times New Roman" w:hAnsi="Times New Roman" w:cs="Times New Roman"/>
      <w:kern w:val="0"/>
      <w:sz w:val="24"/>
      <w:szCs w:val="24"/>
    </w:rPr>
  </w:style>
  <w:style w:type="paragraph" w:customStyle="1" w:styleId="165">
    <w:name w:val="3级标题"/>
    <w:basedOn w:val="1"/>
    <w:qFormat/>
    <w:uiPriority w:val="0"/>
    <w:pPr>
      <w:adjustRightInd w:val="0"/>
      <w:snapToGrid w:val="0"/>
      <w:spacing w:before="300" w:line="460" w:lineRule="exact"/>
      <w:outlineLvl w:val="2"/>
    </w:pPr>
    <w:rPr>
      <w:rFonts w:ascii="Times New Roman" w:hAnsi="Times New Roman" w:cs="Times New Roman"/>
      <w:b/>
      <w:kern w:val="0"/>
      <w:sz w:val="24"/>
      <w:szCs w:val="24"/>
    </w:rPr>
  </w:style>
  <w:style w:type="paragraph" w:customStyle="1" w:styleId="166">
    <w:name w:val="表格正文"/>
    <w:basedOn w:val="1"/>
    <w:qFormat/>
    <w:uiPriority w:val="0"/>
    <w:pPr>
      <w:adjustRightInd w:val="0"/>
      <w:snapToGrid w:val="0"/>
      <w:spacing w:line="360" w:lineRule="exact"/>
      <w:jc w:val="center"/>
    </w:pPr>
    <w:rPr>
      <w:rFonts w:ascii="Times New Roman" w:hAnsi="Times New Roman" w:cs="Times New Roman"/>
      <w:kern w:val="0"/>
      <w:sz w:val="21"/>
      <w:szCs w:val="24"/>
    </w:rPr>
  </w:style>
  <w:style w:type="paragraph" w:customStyle="1" w:styleId="167">
    <w:name w:val="注解"/>
    <w:basedOn w:val="151"/>
    <w:qFormat/>
    <w:uiPriority w:val="0"/>
    <w:pPr>
      <w:snapToGrid/>
      <w:spacing w:before="60" w:beforeLines="0" w:line="360" w:lineRule="exact"/>
      <w:ind w:firstLine="200" w:firstLineChars="200"/>
      <w:jc w:val="both"/>
    </w:pPr>
    <w:rPr>
      <w:rFonts w:cs="Times New Roman"/>
      <w:kern w:val="0"/>
      <w:sz w:val="21"/>
      <w:szCs w:val="24"/>
    </w:rPr>
  </w:style>
  <w:style w:type="paragraph" w:customStyle="1" w:styleId="168">
    <w:name w:val="正文02"/>
    <w:basedOn w:val="151"/>
    <w:qFormat/>
    <w:uiPriority w:val="0"/>
    <w:pPr>
      <w:snapToGrid/>
      <w:spacing w:before="400" w:beforeLines="0" w:line="460" w:lineRule="exact"/>
      <w:ind w:firstLine="200" w:firstLineChars="200"/>
      <w:jc w:val="both"/>
    </w:pPr>
    <w:rPr>
      <w:rFonts w:cs="Times New Roman"/>
      <w:kern w:val="0"/>
      <w:szCs w:val="24"/>
    </w:rPr>
  </w:style>
  <w:style w:type="paragraph" w:customStyle="1" w:styleId="169">
    <w:name w:val="3"/>
    <w:basedOn w:val="1"/>
    <w:next w:val="35"/>
    <w:qFormat/>
    <w:uiPriority w:val="0"/>
    <w:pPr>
      <w:adjustRightInd w:val="0"/>
      <w:snapToGrid w:val="0"/>
      <w:spacing w:line="360" w:lineRule="auto"/>
      <w:ind w:firstLine="480" w:firstLineChars="200"/>
    </w:pPr>
    <w:rPr>
      <w:rFonts w:ascii="Times New Roman" w:hAnsi="Times New Roman" w:cs="Times New Roman"/>
      <w:sz w:val="24"/>
      <w:szCs w:val="24"/>
    </w:rPr>
  </w:style>
  <w:style w:type="paragraph" w:customStyle="1" w:styleId="170">
    <w:name w:val="五号表格"/>
    <w:basedOn w:val="1"/>
    <w:qFormat/>
    <w:uiPriority w:val="0"/>
    <w:pPr>
      <w:adjustRightInd w:val="0"/>
      <w:snapToGrid w:val="0"/>
      <w:spacing w:line="360" w:lineRule="auto"/>
      <w:jc w:val="center"/>
    </w:pPr>
    <w:rPr>
      <w:rFonts w:ascii="Times New Roman" w:hAnsi="Times New Roman" w:cs="Times New Roman"/>
      <w:kern w:val="0"/>
      <w:sz w:val="24"/>
      <w:szCs w:val="20"/>
    </w:rPr>
  </w:style>
  <w:style w:type="paragraph" w:customStyle="1" w:styleId="171">
    <w:name w:val="小四表格"/>
    <w:basedOn w:val="1"/>
    <w:qFormat/>
    <w:uiPriority w:val="0"/>
    <w:pPr>
      <w:adjustRightInd w:val="0"/>
      <w:snapToGrid w:val="0"/>
      <w:spacing w:line="360" w:lineRule="auto"/>
      <w:jc w:val="center"/>
    </w:pPr>
    <w:rPr>
      <w:rFonts w:ascii="Times New Roman" w:hAnsi="Times New Roman" w:cs="Times New Roman"/>
      <w:kern w:val="0"/>
      <w:sz w:val="24"/>
      <w:szCs w:val="20"/>
    </w:rPr>
  </w:style>
  <w:style w:type="character" w:customStyle="1" w:styleId="172">
    <w:name w:val="正文文本缩进 字符"/>
    <w:basedOn w:val="90"/>
    <w:link w:val="35"/>
    <w:qFormat/>
    <w:uiPriority w:val="0"/>
    <w:rPr>
      <w:rFonts w:ascii="Times New Roman" w:hAnsi="Times New Roman" w:eastAsia="宋体" w:cs="Times New Roman"/>
      <w:sz w:val="24"/>
      <w:szCs w:val="24"/>
    </w:rPr>
  </w:style>
  <w:style w:type="paragraph" w:customStyle="1" w:styleId="173">
    <w:name w:val="1"/>
    <w:basedOn w:val="1"/>
    <w:next w:val="22"/>
    <w:qFormat/>
    <w:uiPriority w:val="0"/>
    <w:pPr>
      <w:adjustRightInd w:val="0"/>
      <w:snapToGrid w:val="0"/>
      <w:spacing w:line="360" w:lineRule="auto"/>
      <w:ind w:firstLine="420"/>
    </w:pPr>
    <w:rPr>
      <w:rFonts w:ascii="宋体" w:hAnsi="Times New Roman" w:cs="Times New Roman"/>
      <w:sz w:val="26"/>
      <w:szCs w:val="20"/>
    </w:rPr>
  </w:style>
  <w:style w:type="character" w:customStyle="1" w:styleId="174">
    <w:name w:val="普通文字 Char"/>
    <w:basedOn w:val="90"/>
    <w:qFormat/>
    <w:uiPriority w:val="0"/>
    <w:rPr>
      <w:rFonts w:ascii="宋体" w:hAnsi="Courier New" w:eastAsia="宋体" w:cs="Arial"/>
      <w:spacing w:val="10"/>
      <w:kern w:val="28"/>
      <w:sz w:val="21"/>
      <w:szCs w:val="24"/>
      <w:lang w:val="en-US" w:eastAsia="zh-CN" w:bidi="ar-SA"/>
    </w:rPr>
  </w:style>
  <w:style w:type="paragraph" w:customStyle="1" w:styleId="175">
    <w:name w:val="表文"/>
    <w:basedOn w:val="5"/>
    <w:next w:val="22"/>
    <w:qFormat/>
    <w:uiPriority w:val="0"/>
    <w:pPr>
      <w:adjustRightInd w:val="0"/>
      <w:snapToGrid w:val="0"/>
      <w:spacing w:after="0" w:line="360" w:lineRule="auto"/>
      <w:jc w:val="center"/>
    </w:pPr>
    <w:rPr>
      <w:rFonts w:ascii="Times New Roman" w:hAnsi="Times New Roman" w:eastAsia="仿宋_GB2312" w:cs="Times New Roman"/>
      <w:kern w:val="0"/>
      <w:sz w:val="24"/>
      <w:szCs w:val="24"/>
    </w:rPr>
  </w:style>
  <w:style w:type="paragraph" w:customStyle="1" w:styleId="176">
    <w:name w:val="xl31"/>
    <w:basedOn w:val="1"/>
    <w:qFormat/>
    <w:uiPriority w:val="0"/>
    <w:pPr>
      <w:widowControl/>
      <w:adjustRightInd w:val="0"/>
      <w:snapToGrid w:val="0"/>
      <w:spacing w:before="100" w:beforeAutospacing="1" w:after="100" w:afterAutospacing="1" w:line="360" w:lineRule="auto"/>
      <w:jc w:val="center"/>
      <w:textAlignment w:val="center"/>
    </w:pPr>
    <w:rPr>
      <w:rFonts w:ascii="Arial Unicode MS" w:hAnsi="Arial Unicode MS" w:eastAsia="Arial Unicode MS" w:cs="Times New Roman"/>
      <w:kern w:val="0"/>
      <w:sz w:val="24"/>
      <w:szCs w:val="24"/>
    </w:rPr>
  </w:style>
  <w:style w:type="character" w:customStyle="1" w:styleId="177">
    <w:name w:val="日期 字符"/>
    <w:basedOn w:val="90"/>
    <w:link w:val="50"/>
    <w:qFormat/>
    <w:uiPriority w:val="0"/>
    <w:rPr>
      <w:rFonts w:ascii="Times New Roman" w:hAnsi="Times New Roman" w:eastAsia="宋体" w:cs="Times New Roman"/>
      <w:snapToGrid w:val="0"/>
      <w:kern w:val="0"/>
      <w:sz w:val="24"/>
      <w:szCs w:val="20"/>
    </w:rPr>
  </w:style>
  <w:style w:type="paragraph" w:customStyle="1" w:styleId="178">
    <w:name w:val="影响评价正文"/>
    <w:basedOn w:val="1"/>
    <w:qFormat/>
    <w:uiPriority w:val="0"/>
    <w:pPr>
      <w:adjustRightInd w:val="0"/>
      <w:snapToGrid w:val="0"/>
      <w:spacing w:line="400" w:lineRule="exact"/>
      <w:ind w:firstLine="567"/>
    </w:pPr>
    <w:rPr>
      <w:rFonts w:ascii="Times New Roman" w:hAnsi="Times New Roman" w:cs="Times New Roman"/>
      <w:snapToGrid w:val="0"/>
      <w:spacing w:val="4"/>
      <w:kern w:val="0"/>
      <w:sz w:val="24"/>
      <w:szCs w:val="20"/>
    </w:rPr>
  </w:style>
  <w:style w:type="paragraph" w:customStyle="1" w:styleId="179">
    <w:name w:val="2级标题"/>
    <w:basedOn w:val="1"/>
    <w:link w:val="224"/>
    <w:qFormat/>
    <w:uiPriority w:val="0"/>
    <w:pPr>
      <w:adjustRightInd w:val="0"/>
      <w:snapToGrid w:val="0"/>
      <w:spacing w:before="60" w:line="460" w:lineRule="exact"/>
      <w:outlineLvl w:val="1"/>
    </w:pPr>
    <w:rPr>
      <w:rFonts w:ascii="Times New Roman" w:hAnsi="Times New Roman" w:cs="Times New Roman"/>
      <w:b/>
      <w:kern w:val="0"/>
      <w:sz w:val="24"/>
      <w:szCs w:val="24"/>
    </w:rPr>
  </w:style>
  <w:style w:type="character" w:customStyle="1" w:styleId="180">
    <w:name w:val="Char Char Char2"/>
    <w:basedOn w:val="90"/>
    <w:qFormat/>
    <w:uiPriority w:val="0"/>
    <w:rPr>
      <w:rFonts w:ascii="宋体" w:hAnsi="Courier New" w:eastAsia="宋体" w:cs="Arial"/>
      <w:spacing w:val="10"/>
      <w:kern w:val="28"/>
      <w:sz w:val="21"/>
      <w:szCs w:val="24"/>
      <w:lang w:val="en-US" w:eastAsia="zh-CN" w:bidi="ar-SA"/>
    </w:rPr>
  </w:style>
  <w:style w:type="paragraph" w:customStyle="1" w:styleId="181">
    <w:name w:val="表格1"/>
    <w:basedOn w:val="1"/>
    <w:qFormat/>
    <w:uiPriority w:val="0"/>
    <w:pPr>
      <w:adjustRightInd w:val="0"/>
      <w:snapToGrid w:val="0"/>
      <w:spacing w:line="360" w:lineRule="exact"/>
      <w:jc w:val="center"/>
      <w:textAlignment w:val="baseline"/>
    </w:pPr>
    <w:rPr>
      <w:rFonts w:ascii="CG Times (W1)" w:hAnsi="CG Times (W1)" w:cs="Times New Roman"/>
      <w:kern w:val="0"/>
      <w:sz w:val="24"/>
      <w:szCs w:val="20"/>
    </w:rPr>
  </w:style>
  <w:style w:type="paragraph" w:customStyle="1" w:styleId="182">
    <w:name w:val="表题"/>
    <w:basedOn w:val="1"/>
    <w:qFormat/>
    <w:uiPriority w:val="0"/>
    <w:pPr>
      <w:adjustRightInd w:val="0"/>
      <w:snapToGrid w:val="0"/>
      <w:spacing w:line="360" w:lineRule="auto"/>
      <w:jc w:val="center"/>
    </w:pPr>
    <w:rPr>
      <w:rFonts w:ascii="Times New Roman" w:hAnsi="Times New Roman" w:cs="Times New Roman"/>
      <w:b/>
      <w:bCs/>
      <w:sz w:val="24"/>
      <w:szCs w:val="24"/>
    </w:rPr>
  </w:style>
  <w:style w:type="paragraph" w:customStyle="1" w:styleId="183">
    <w:name w:val="表文字"/>
    <w:basedOn w:val="1"/>
    <w:qFormat/>
    <w:uiPriority w:val="0"/>
    <w:pPr>
      <w:adjustRightInd w:val="0"/>
      <w:snapToGrid w:val="0"/>
      <w:spacing w:line="288" w:lineRule="auto"/>
      <w:jc w:val="center"/>
    </w:pPr>
    <w:rPr>
      <w:rFonts w:ascii="Times New Roman" w:hAnsi="Times New Roman" w:cs="Times New Roman"/>
      <w:sz w:val="21"/>
      <w:szCs w:val="24"/>
    </w:rPr>
  </w:style>
  <w:style w:type="character" w:customStyle="1" w:styleId="184">
    <w:name w:val="正文1 Char Char"/>
    <w:basedOn w:val="90"/>
    <w:qFormat/>
    <w:uiPriority w:val="0"/>
    <w:rPr>
      <w:rFonts w:eastAsia="宋体"/>
      <w:kern w:val="2"/>
      <w:sz w:val="24"/>
      <w:szCs w:val="24"/>
      <w:lang w:val="en-US" w:eastAsia="zh-CN" w:bidi="ar-SA"/>
    </w:rPr>
  </w:style>
  <w:style w:type="paragraph" w:customStyle="1" w:styleId="185">
    <w:name w:val="表格2"/>
    <w:basedOn w:val="1"/>
    <w:qFormat/>
    <w:uiPriority w:val="0"/>
    <w:pPr>
      <w:adjustRightInd w:val="0"/>
      <w:snapToGrid w:val="0"/>
      <w:spacing w:line="360" w:lineRule="atLeast"/>
      <w:jc w:val="center"/>
    </w:pPr>
    <w:rPr>
      <w:rFonts w:ascii="Times New Roman" w:hAnsi="Times New Roman" w:cs="Times New Roman"/>
      <w:sz w:val="21"/>
      <w:szCs w:val="21"/>
    </w:rPr>
  </w:style>
  <w:style w:type="character" w:customStyle="1" w:styleId="186">
    <w:name w:val="infodetail"/>
    <w:basedOn w:val="90"/>
    <w:qFormat/>
    <w:uiPriority w:val="0"/>
  </w:style>
  <w:style w:type="paragraph" w:customStyle="1" w:styleId="187">
    <w:name w:val="正文 + 宋体"/>
    <w:basedOn w:val="1"/>
    <w:qFormat/>
    <w:uiPriority w:val="0"/>
    <w:pPr>
      <w:adjustRightInd w:val="0"/>
      <w:snapToGrid w:val="0"/>
      <w:spacing w:line="360" w:lineRule="auto"/>
    </w:pPr>
    <w:rPr>
      <w:rFonts w:ascii="Calibri" w:hAnsi="Calibri" w:cs="Times New Roman"/>
      <w:sz w:val="24"/>
    </w:rPr>
  </w:style>
  <w:style w:type="character" w:customStyle="1" w:styleId="188">
    <w:name w:val="HTML 地址 字符"/>
    <w:basedOn w:val="90"/>
    <w:link w:val="41"/>
    <w:qFormat/>
    <w:uiPriority w:val="0"/>
    <w:rPr>
      <w:rFonts w:ascii="Times New Roman" w:hAnsi="Times New Roman" w:eastAsia="宋体" w:cs="Times New Roman"/>
      <w:i/>
      <w:iCs/>
      <w:sz w:val="24"/>
      <w:szCs w:val="24"/>
    </w:rPr>
  </w:style>
  <w:style w:type="character" w:customStyle="1" w:styleId="189">
    <w:name w:val="HTML 预设格式 字符"/>
    <w:basedOn w:val="90"/>
    <w:link w:val="79"/>
    <w:qFormat/>
    <w:uiPriority w:val="0"/>
    <w:rPr>
      <w:rFonts w:ascii="Courier New" w:hAnsi="Courier New" w:eastAsia="宋体" w:cs="Courier New"/>
      <w:sz w:val="20"/>
      <w:szCs w:val="20"/>
    </w:rPr>
  </w:style>
  <w:style w:type="paragraph" w:customStyle="1" w:styleId="190">
    <w:name w:val="标题11"/>
    <w:basedOn w:val="4"/>
    <w:next w:val="83"/>
    <w:link w:val="191"/>
    <w:qFormat/>
    <w:uiPriority w:val="0"/>
    <w:pPr>
      <w:numPr>
        <w:numId w:val="0"/>
      </w:numPr>
      <w:tabs>
        <w:tab w:val="left" w:pos="1080"/>
      </w:tabs>
      <w:jc w:val="center"/>
    </w:pPr>
    <w:rPr>
      <w:rFonts w:ascii="Arial" w:hAnsi="Arial" w:cs="Arial"/>
      <w:b w:val="0"/>
      <w:bCs w:val="0"/>
      <w:snapToGrid w:val="0"/>
      <w:color w:val="000000"/>
      <w:sz w:val="32"/>
      <w:szCs w:val="32"/>
    </w:rPr>
  </w:style>
  <w:style w:type="character" w:customStyle="1" w:styleId="191">
    <w:name w:val="标题 字符"/>
    <w:basedOn w:val="90"/>
    <w:link w:val="190"/>
    <w:qFormat/>
    <w:uiPriority w:val="0"/>
    <w:rPr>
      <w:rFonts w:ascii="Arial" w:hAnsi="Arial" w:eastAsia="宋体" w:cs="Arial"/>
      <w:snapToGrid w:val="0"/>
      <w:color w:val="000000"/>
      <w:kern w:val="44"/>
      <w:sz w:val="32"/>
      <w:szCs w:val="32"/>
    </w:rPr>
  </w:style>
  <w:style w:type="character" w:customStyle="1" w:styleId="192">
    <w:name w:val="称呼 字符"/>
    <w:basedOn w:val="90"/>
    <w:link w:val="31"/>
    <w:qFormat/>
    <w:uiPriority w:val="0"/>
    <w:rPr>
      <w:rFonts w:ascii="Times New Roman" w:hAnsi="Times New Roman" w:eastAsia="宋体" w:cs="Times New Roman"/>
      <w:sz w:val="24"/>
      <w:szCs w:val="24"/>
    </w:rPr>
  </w:style>
  <w:style w:type="character" w:customStyle="1" w:styleId="193">
    <w:name w:val="电子邮件签名 字符"/>
    <w:basedOn w:val="90"/>
    <w:link w:val="20"/>
    <w:qFormat/>
    <w:uiPriority w:val="0"/>
    <w:rPr>
      <w:rFonts w:ascii="Times New Roman" w:hAnsi="Times New Roman" w:eastAsia="宋体" w:cs="Times New Roman"/>
      <w:sz w:val="24"/>
      <w:szCs w:val="24"/>
    </w:rPr>
  </w:style>
  <w:style w:type="character" w:customStyle="1" w:styleId="194">
    <w:name w:val="副标题 字符"/>
    <w:basedOn w:val="90"/>
    <w:link w:val="63"/>
    <w:qFormat/>
    <w:uiPriority w:val="0"/>
    <w:rPr>
      <w:rFonts w:ascii="Arial" w:hAnsi="Arial" w:eastAsia="宋体" w:cs="Arial"/>
      <w:b/>
      <w:bCs/>
      <w:kern w:val="28"/>
      <w:sz w:val="32"/>
      <w:szCs w:val="32"/>
    </w:rPr>
  </w:style>
  <w:style w:type="character" w:customStyle="1" w:styleId="195">
    <w:name w:val="宏文本 字符"/>
    <w:basedOn w:val="90"/>
    <w:link w:val="3"/>
    <w:semiHidden/>
    <w:qFormat/>
    <w:uiPriority w:val="0"/>
    <w:rPr>
      <w:rFonts w:ascii="Courier New" w:hAnsi="Courier New" w:eastAsia="宋体" w:cs="Courier New"/>
      <w:sz w:val="24"/>
      <w:szCs w:val="24"/>
    </w:rPr>
  </w:style>
  <w:style w:type="character" w:customStyle="1" w:styleId="196">
    <w:name w:val="脚注文本 字符"/>
    <w:basedOn w:val="90"/>
    <w:link w:val="66"/>
    <w:semiHidden/>
    <w:qFormat/>
    <w:uiPriority w:val="0"/>
    <w:rPr>
      <w:rFonts w:ascii="Times New Roman" w:hAnsi="Times New Roman" w:eastAsia="宋体" w:cs="Times New Roman"/>
      <w:sz w:val="18"/>
      <w:szCs w:val="18"/>
    </w:rPr>
  </w:style>
  <w:style w:type="character" w:customStyle="1" w:styleId="197">
    <w:name w:val="结束语 字符"/>
    <w:basedOn w:val="90"/>
    <w:link w:val="33"/>
    <w:qFormat/>
    <w:uiPriority w:val="0"/>
    <w:rPr>
      <w:rFonts w:ascii="Times New Roman" w:hAnsi="Times New Roman" w:eastAsia="宋体" w:cs="Times New Roman"/>
      <w:sz w:val="24"/>
      <w:szCs w:val="24"/>
    </w:rPr>
  </w:style>
  <w:style w:type="character" w:customStyle="1" w:styleId="198">
    <w:name w:val="批注文字 字符"/>
    <w:basedOn w:val="90"/>
    <w:qFormat/>
    <w:uiPriority w:val="0"/>
    <w:rPr>
      <w:rFonts w:eastAsia="宋体"/>
      <w:sz w:val="28"/>
    </w:rPr>
  </w:style>
  <w:style w:type="character" w:customStyle="1" w:styleId="199">
    <w:name w:val="批注主题 字符"/>
    <w:basedOn w:val="198"/>
    <w:link w:val="84"/>
    <w:semiHidden/>
    <w:qFormat/>
    <w:uiPriority w:val="0"/>
    <w:rPr>
      <w:rFonts w:ascii="Times New Roman" w:hAnsi="Times New Roman" w:eastAsia="宋体" w:cs="Times New Roman"/>
      <w:b/>
      <w:bCs/>
      <w:sz w:val="24"/>
      <w:szCs w:val="24"/>
    </w:rPr>
  </w:style>
  <w:style w:type="character" w:customStyle="1" w:styleId="200">
    <w:name w:val="签名 字符"/>
    <w:basedOn w:val="90"/>
    <w:link w:val="58"/>
    <w:qFormat/>
    <w:uiPriority w:val="0"/>
    <w:rPr>
      <w:rFonts w:ascii="Times New Roman" w:hAnsi="Times New Roman" w:eastAsia="宋体" w:cs="Times New Roman"/>
      <w:sz w:val="24"/>
      <w:szCs w:val="24"/>
    </w:rPr>
  </w:style>
  <w:style w:type="character" w:customStyle="1" w:styleId="201">
    <w:name w:val="尾注文本 字符"/>
    <w:basedOn w:val="90"/>
    <w:link w:val="52"/>
    <w:semiHidden/>
    <w:qFormat/>
    <w:uiPriority w:val="0"/>
    <w:rPr>
      <w:rFonts w:ascii="Times New Roman" w:hAnsi="Times New Roman" w:eastAsia="宋体" w:cs="Times New Roman"/>
      <w:sz w:val="24"/>
      <w:szCs w:val="24"/>
    </w:rPr>
  </w:style>
  <w:style w:type="character" w:customStyle="1" w:styleId="202">
    <w:name w:val="信息标题 字符"/>
    <w:basedOn w:val="90"/>
    <w:link w:val="78"/>
    <w:qFormat/>
    <w:uiPriority w:val="0"/>
    <w:rPr>
      <w:rFonts w:ascii="Arial" w:hAnsi="Arial" w:eastAsia="宋体" w:cs="Arial"/>
      <w:sz w:val="24"/>
      <w:szCs w:val="24"/>
      <w:shd w:val="pct20" w:color="auto" w:fill="auto"/>
    </w:rPr>
  </w:style>
  <w:style w:type="character" w:customStyle="1" w:styleId="203">
    <w:name w:val="正文文本首行缩进 字符"/>
    <w:basedOn w:val="107"/>
    <w:link w:val="85"/>
    <w:qFormat/>
    <w:uiPriority w:val="0"/>
    <w:rPr>
      <w:rFonts w:ascii="Times New Roman" w:hAnsi="Times New Roman" w:eastAsia="宋体" w:cs="Times New Roman"/>
      <w:sz w:val="24"/>
      <w:szCs w:val="24"/>
    </w:rPr>
  </w:style>
  <w:style w:type="character" w:customStyle="1" w:styleId="204">
    <w:name w:val="正文文本首行缩进 2 字符"/>
    <w:basedOn w:val="172"/>
    <w:link w:val="86"/>
    <w:qFormat/>
    <w:uiPriority w:val="0"/>
    <w:rPr>
      <w:rFonts w:ascii="Times New Roman" w:hAnsi="Times New Roman" w:eastAsia="宋体" w:cs="Times New Roman"/>
      <w:sz w:val="24"/>
      <w:szCs w:val="24"/>
    </w:rPr>
  </w:style>
  <w:style w:type="character" w:customStyle="1" w:styleId="205">
    <w:name w:val="正文文本 2 字符"/>
    <w:basedOn w:val="90"/>
    <w:link w:val="75"/>
    <w:qFormat/>
    <w:uiPriority w:val="0"/>
    <w:rPr>
      <w:rFonts w:ascii="Times New Roman" w:hAnsi="Times New Roman" w:eastAsia="宋体" w:cs="Times New Roman"/>
      <w:sz w:val="24"/>
      <w:szCs w:val="24"/>
    </w:rPr>
  </w:style>
  <w:style w:type="character" w:customStyle="1" w:styleId="206">
    <w:name w:val="正文文本 3 字符"/>
    <w:basedOn w:val="90"/>
    <w:link w:val="32"/>
    <w:qFormat/>
    <w:uiPriority w:val="0"/>
    <w:rPr>
      <w:rFonts w:ascii="Times New Roman" w:hAnsi="Times New Roman" w:eastAsia="宋体" w:cs="Times New Roman"/>
      <w:sz w:val="16"/>
      <w:szCs w:val="16"/>
    </w:rPr>
  </w:style>
  <w:style w:type="character" w:customStyle="1" w:styleId="207">
    <w:name w:val="正文文本缩进 3 字符"/>
    <w:basedOn w:val="90"/>
    <w:link w:val="69"/>
    <w:qFormat/>
    <w:uiPriority w:val="0"/>
    <w:rPr>
      <w:rFonts w:ascii="Times New Roman" w:hAnsi="Times New Roman" w:eastAsia="宋体" w:cs="Times New Roman"/>
      <w:sz w:val="16"/>
      <w:szCs w:val="16"/>
    </w:rPr>
  </w:style>
  <w:style w:type="paragraph" w:customStyle="1" w:styleId="208">
    <w:name w:val="表头1"/>
    <w:basedOn w:val="45"/>
    <w:qFormat/>
    <w:uiPriority w:val="0"/>
    <w:pPr>
      <w:ind w:firstLine="540"/>
      <w:jc w:val="center"/>
    </w:pPr>
    <w:rPr>
      <w:rFonts w:ascii="黑体" w:hAnsi="Times New Roman" w:eastAsia="黑体" w:cs="Times New Roman"/>
      <w:sz w:val="24"/>
      <w:szCs w:val="24"/>
    </w:rPr>
  </w:style>
  <w:style w:type="paragraph" w:customStyle="1" w:styleId="209">
    <w:name w:val="表头"/>
    <w:basedOn w:val="1"/>
    <w:link w:val="269"/>
    <w:qFormat/>
    <w:uiPriority w:val="0"/>
    <w:pPr>
      <w:adjustRightInd w:val="0"/>
      <w:snapToGrid w:val="0"/>
      <w:spacing w:line="360" w:lineRule="auto"/>
      <w:jc w:val="center"/>
    </w:pPr>
    <w:rPr>
      <w:rFonts w:ascii="Times New Roman" w:hAnsi="Times New Roman" w:cs="Times New Roman"/>
      <w:b/>
      <w:sz w:val="24"/>
      <w:szCs w:val="24"/>
    </w:rPr>
  </w:style>
  <w:style w:type="paragraph" w:customStyle="1" w:styleId="210">
    <w:name w:val="样式9"/>
    <w:basedOn w:val="1"/>
    <w:next w:val="211"/>
    <w:qFormat/>
    <w:uiPriority w:val="0"/>
    <w:pPr>
      <w:adjustRightInd w:val="0"/>
      <w:snapToGrid w:val="0"/>
      <w:spacing w:line="360" w:lineRule="auto"/>
      <w:jc w:val="center"/>
    </w:pPr>
    <w:rPr>
      <w:rFonts w:ascii="Times New Roman" w:hAnsi="Times New Roman" w:cs="Times New Roman"/>
      <w:sz w:val="24"/>
      <w:szCs w:val="28"/>
    </w:rPr>
  </w:style>
  <w:style w:type="paragraph" w:customStyle="1" w:styleId="211">
    <w:name w:val="图文框"/>
    <w:basedOn w:val="1"/>
    <w:qFormat/>
    <w:uiPriority w:val="0"/>
    <w:pPr>
      <w:adjustRightInd w:val="0"/>
      <w:snapToGrid w:val="0"/>
      <w:spacing w:line="360" w:lineRule="auto"/>
      <w:ind w:left="7" w:hanging="55"/>
      <w:jc w:val="center"/>
    </w:pPr>
    <w:rPr>
      <w:rFonts w:ascii="Times New Roman" w:hAnsi="Times New Roman" w:cs="Times New Roman"/>
      <w:sz w:val="18"/>
      <w:szCs w:val="20"/>
    </w:rPr>
  </w:style>
  <w:style w:type="paragraph" w:customStyle="1" w:styleId="212">
    <w:name w:val="页眉1"/>
    <w:basedOn w:val="1"/>
    <w:qFormat/>
    <w:uiPriority w:val="0"/>
    <w:pPr>
      <w:pBdr>
        <w:bottom w:val="single" w:color="auto" w:sz="6" w:space="1"/>
      </w:pBdr>
      <w:tabs>
        <w:tab w:val="center" w:pos="4153"/>
        <w:tab w:val="right" w:pos="8306"/>
      </w:tabs>
      <w:adjustRightInd w:val="0"/>
      <w:snapToGrid w:val="0"/>
      <w:spacing w:line="360" w:lineRule="auto"/>
      <w:jc w:val="center"/>
    </w:pPr>
    <w:rPr>
      <w:rFonts w:ascii="Times New Roman" w:hAnsi="Times New Roman" w:cs="Times New Roman"/>
      <w:sz w:val="18"/>
      <w:szCs w:val="20"/>
    </w:rPr>
  </w:style>
  <w:style w:type="character" w:customStyle="1" w:styleId="213">
    <w:name w:val="apple-style-span"/>
    <w:basedOn w:val="90"/>
    <w:qFormat/>
    <w:uiPriority w:val="0"/>
  </w:style>
  <w:style w:type="paragraph" w:customStyle="1" w:styleId="214">
    <w:name w:val="图注"/>
    <w:basedOn w:val="1"/>
    <w:next w:val="1"/>
    <w:qFormat/>
    <w:uiPriority w:val="0"/>
    <w:pPr>
      <w:adjustRightInd w:val="0"/>
      <w:snapToGrid w:val="0"/>
      <w:spacing w:line="360" w:lineRule="auto"/>
      <w:jc w:val="center"/>
    </w:pPr>
    <w:rPr>
      <w:rFonts w:ascii="Times New Roman" w:hAnsi="宋体" w:cs="Times New Roman"/>
      <w:b/>
      <w:sz w:val="24"/>
      <w:szCs w:val="20"/>
    </w:rPr>
  </w:style>
  <w:style w:type="character" w:customStyle="1" w:styleId="215">
    <w:name w:val="正文（首行缩进两字） Char Char Char Char Char Char Char Char"/>
    <w:basedOn w:val="90"/>
    <w:qFormat/>
    <w:uiPriority w:val="0"/>
    <w:rPr>
      <w:rFonts w:eastAsia="仿宋_GB2312"/>
      <w:kern w:val="2"/>
      <w:sz w:val="24"/>
      <w:szCs w:val="24"/>
      <w:lang w:val="en-US" w:eastAsia="zh-CN" w:bidi="ar-SA"/>
    </w:rPr>
  </w:style>
  <w:style w:type="character" w:customStyle="1" w:styleId="216">
    <w:name w:val="apple-converted-space"/>
    <w:basedOn w:val="90"/>
    <w:qFormat/>
    <w:uiPriority w:val="0"/>
  </w:style>
  <w:style w:type="paragraph" w:customStyle="1" w:styleId="217">
    <w:name w:val="表中正文"/>
    <w:basedOn w:val="1"/>
    <w:qFormat/>
    <w:uiPriority w:val="0"/>
    <w:pPr>
      <w:tabs>
        <w:tab w:val="left" w:pos="958"/>
        <w:tab w:val="left" w:pos="7320"/>
        <w:tab w:val="left" w:pos="8160"/>
      </w:tabs>
      <w:adjustRightInd w:val="0"/>
      <w:snapToGrid w:val="0"/>
      <w:spacing w:line="360" w:lineRule="atLeast"/>
      <w:ind w:right="113"/>
      <w:jc w:val="center"/>
      <w:textAlignment w:val="baseline"/>
    </w:pPr>
    <w:rPr>
      <w:rFonts w:ascii="宋体" w:hAnsi="宋体" w:cs="Times New Roman"/>
      <w:spacing w:val="6"/>
      <w:kern w:val="20"/>
      <w:sz w:val="21"/>
      <w:szCs w:val="24"/>
    </w:rPr>
  </w:style>
  <w:style w:type="paragraph" w:customStyle="1" w:styleId="218">
    <w:name w:val="样式 正文首行缩进:  2 字符 + 首行缩进:  2 字符"/>
    <w:basedOn w:val="1"/>
    <w:qFormat/>
    <w:uiPriority w:val="0"/>
    <w:pPr>
      <w:adjustRightInd w:val="0"/>
      <w:snapToGrid w:val="0"/>
      <w:spacing w:line="360" w:lineRule="auto"/>
      <w:ind w:firstLine="480" w:firstLineChars="200"/>
    </w:pPr>
    <w:rPr>
      <w:rFonts w:ascii="Times New Roman" w:hAnsi="Times New Roman" w:cs="宋体"/>
      <w:sz w:val="24"/>
      <w:szCs w:val="20"/>
    </w:rPr>
  </w:style>
  <w:style w:type="paragraph" w:customStyle="1" w:styleId="219">
    <w:name w:val="表格 32"/>
    <w:basedOn w:val="1"/>
    <w:qFormat/>
    <w:uiPriority w:val="0"/>
    <w:pPr>
      <w:autoSpaceDE w:val="0"/>
      <w:autoSpaceDN w:val="0"/>
      <w:adjustRightInd w:val="0"/>
      <w:snapToGrid w:val="0"/>
      <w:spacing w:line="0" w:lineRule="atLeast"/>
      <w:jc w:val="center"/>
      <w:textAlignment w:val="baseline"/>
    </w:pPr>
    <w:rPr>
      <w:rFonts w:ascii="Times New Roman" w:hAnsi="Times New Roman" w:eastAsia="仿宋_GB2312" w:cs="Times New Roman"/>
      <w:kern w:val="0"/>
      <w:sz w:val="24"/>
      <w:szCs w:val="21"/>
    </w:rPr>
  </w:style>
  <w:style w:type="paragraph" w:customStyle="1" w:styleId="220">
    <w:name w:val="样式表头"/>
    <w:basedOn w:val="209"/>
    <w:qFormat/>
    <w:uiPriority w:val="0"/>
    <w:pPr>
      <w:keepNext/>
      <w:autoSpaceDE w:val="0"/>
      <w:autoSpaceDN w:val="0"/>
      <w:spacing w:before="120" w:after="120"/>
      <w:textAlignment w:val="baseline"/>
    </w:pPr>
    <w:rPr>
      <w:rFonts w:cs="宋体"/>
      <w:b w:val="0"/>
      <w:kern w:val="0"/>
    </w:rPr>
  </w:style>
  <w:style w:type="paragraph" w:customStyle="1" w:styleId="221">
    <w:name w:val="Char Char Char2 Char Char Char Char Char Char Char Char Char Char Char Char Char Char Char Char Char Char"/>
    <w:basedOn w:val="1"/>
    <w:qFormat/>
    <w:uiPriority w:val="0"/>
    <w:pPr>
      <w:autoSpaceDE w:val="0"/>
      <w:autoSpaceDN w:val="0"/>
      <w:adjustRightInd w:val="0"/>
      <w:snapToGrid w:val="0"/>
      <w:spacing w:line="400" w:lineRule="atLeast"/>
      <w:jc w:val="left"/>
      <w:textAlignment w:val="baseline"/>
    </w:pPr>
    <w:rPr>
      <w:rFonts w:ascii="黑体" w:hAnsi="黑体" w:eastAsia="黑体" w:cs="Times New Roman"/>
      <w:b/>
      <w:spacing w:val="10"/>
      <w:kern w:val="0"/>
      <w:sz w:val="24"/>
      <w:szCs w:val="20"/>
    </w:rPr>
  </w:style>
  <w:style w:type="paragraph" w:customStyle="1" w:styleId="222">
    <w:name w:val="样式2"/>
    <w:basedOn w:val="6"/>
    <w:next w:val="5"/>
    <w:link w:val="225"/>
    <w:qFormat/>
    <w:uiPriority w:val="0"/>
    <w:pPr>
      <w:spacing w:before="0" w:after="0" w:line="360" w:lineRule="auto"/>
    </w:pPr>
    <w:rPr>
      <w:rFonts w:ascii="Times New Roman" w:hAnsi="Times New Roman" w:eastAsia="宋体"/>
      <w:kern w:val="0"/>
      <w:sz w:val="30"/>
    </w:rPr>
  </w:style>
  <w:style w:type="paragraph" w:customStyle="1" w:styleId="223">
    <w:name w:val="样式3"/>
    <w:basedOn w:val="7"/>
    <w:next w:val="5"/>
    <w:link w:val="227"/>
    <w:qFormat/>
    <w:uiPriority w:val="0"/>
    <w:pPr>
      <w:numPr>
        <w:ilvl w:val="0"/>
        <w:numId w:val="0"/>
      </w:numPr>
      <w:tabs>
        <w:tab w:val="left" w:pos="0"/>
      </w:tabs>
      <w:spacing w:before="120" w:beforeLines="50" w:after="0" w:line="360" w:lineRule="auto"/>
      <w:outlineLvl w:val="3"/>
    </w:pPr>
    <w:rPr>
      <w:color w:val="000000"/>
      <w:kern w:val="0"/>
      <w:szCs w:val="36"/>
    </w:rPr>
  </w:style>
  <w:style w:type="character" w:customStyle="1" w:styleId="224">
    <w:name w:val="2级标题 Char"/>
    <w:basedOn w:val="90"/>
    <w:link w:val="179"/>
    <w:qFormat/>
    <w:uiPriority w:val="0"/>
    <w:rPr>
      <w:rFonts w:ascii="Times New Roman" w:hAnsi="Times New Roman" w:eastAsia="宋体" w:cs="Times New Roman"/>
      <w:b/>
      <w:kern w:val="0"/>
      <w:sz w:val="24"/>
      <w:szCs w:val="24"/>
    </w:rPr>
  </w:style>
  <w:style w:type="character" w:customStyle="1" w:styleId="225">
    <w:name w:val="样式2 Char"/>
    <w:basedOn w:val="224"/>
    <w:link w:val="222"/>
    <w:qFormat/>
    <w:uiPriority w:val="0"/>
    <w:rPr>
      <w:rFonts w:ascii="Times New Roman" w:hAnsi="Times New Roman" w:eastAsia="宋体" w:cs="Times New Roman"/>
      <w:bCs/>
      <w:kern w:val="0"/>
      <w:sz w:val="30"/>
      <w:szCs w:val="32"/>
    </w:rPr>
  </w:style>
  <w:style w:type="paragraph" w:customStyle="1" w:styleId="226">
    <w:name w:val="正文666"/>
    <w:basedOn w:val="1"/>
    <w:link w:val="229"/>
    <w:qFormat/>
    <w:uiPriority w:val="0"/>
    <w:pPr>
      <w:tabs>
        <w:tab w:val="left" w:pos="2492"/>
        <w:tab w:val="left" w:pos="2520"/>
      </w:tabs>
      <w:overflowPunct w:val="0"/>
      <w:autoSpaceDE w:val="0"/>
      <w:autoSpaceDN w:val="0"/>
      <w:adjustRightInd w:val="0"/>
      <w:snapToGrid w:val="0"/>
      <w:spacing w:line="360" w:lineRule="auto"/>
      <w:ind w:firstLine="480" w:firstLineChars="200"/>
    </w:pPr>
    <w:rPr>
      <w:rFonts w:ascii="Times New Roman" w:hAnsi="Times New Roman" w:cs="Times New Roman"/>
      <w:snapToGrid w:val="0"/>
      <w:kern w:val="0"/>
      <w:sz w:val="24"/>
      <w:szCs w:val="24"/>
    </w:rPr>
  </w:style>
  <w:style w:type="character" w:customStyle="1" w:styleId="227">
    <w:name w:val="样式3 Char"/>
    <w:basedOn w:val="90"/>
    <w:link w:val="223"/>
    <w:qFormat/>
    <w:uiPriority w:val="0"/>
    <w:rPr>
      <w:rFonts w:ascii="Times New Roman" w:hAnsi="Times New Roman" w:eastAsia="宋体" w:cs="Times New Roman"/>
      <w:b/>
      <w:bCs/>
      <w:color w:val="000000"/>
      <w:kern w:val="0"/>
      <w:sz w:val="32"/>
      <w:szCs w:val="36"/>
    </w:rPr>
  </w:style>
  <w:style w:type="paragraph" w:customStyle="1" w:styleId="228">
    <w:name w:val="编号 1"/>
    <w:basedOn w:val="1"/>
    <w:next w:val="5"/>
    <w:link w:val="230"/>
    <w:qFormat/>
    <w:uiPriority w:val="0"/>
    <w:pPr>
      <w:numPr>
        <w:ilvl w:val="0"/>
        <w:numId w:val="15"/>
      </w:numPr>
      <w:adjustRightInd w:val="0"/>
      <w:snapToGrid w:val="0"/>
      <w:spacing w:line="360" w:lineRule="auto"/>
    </w:pPr>
    <w:rPr>
      <w:rFonts w:ascii="Times New Roman" w:hAnsi="Times New Roman" w:cs="Times New Roman"/>
      <w:snapToGrid w:val="0"/>
      <w:kern w:val="0"/>
      <w:sz w:val="24"/>
      <w:szCs w:val="24"/>
    </w:rPr>
  </w:style>
  <w:style w:type="character" w:customStyle="1" w:styleId="229">
    <w:name w:val="正文666 字符"/>
    <w:basedOn w:val="90"/>
    <w:link w:val="226"/>
    <w:qFormat/>
    <w:uiPriority w:val="0"/>
    <w:rPr>
      <w:rFonts w:ascii="Times New Roman" w:hAnsi="Times New Roman" w:eastAsia="宋体" w:cs="Times New Roman"/>
      <w:snapToGrid w:val="0"/>
      <w:kern w:val="0"/>
      <w:sz w:val="24"/>
      <w:szCs w:val="24"/>
    </w:rPr>
  </w:style>
  <w:style w:type="character" w:customStyle="1" w:styleId="230">
    <w:name w:val="编号 1 Char"/>
    <w:basedOn w:val="90"/>
    <w:link w:val="228"/>
    <w:qFormat/>
    <w:uiPriority w:val="0"/>
    <w:rPr>
      <w:rFonts w:ascii="Times New Roman" w:hAnsi="Times New Roman" w:eastAsia="宋体" w:cs="Times New Roman"/>
      <w:snapToGrid w:val="0"/>
      <w:kern w:val="0"/>
      <w:sz w:val="24"/>
      <w:szCs w:val="24"/>
    </w:rPr>
  </w:style>
  <w:style w:type="character" w:customStyle="1" w:styleId="231">
    <w:name w:val="样式 正文1 + 段前: 0.1 行 Char"/>
    <w:basedOn w:val="90"/>
    <w:link w:val="150"/>
    <w:qFormat/>
    <w:uiPriority w:val="0"/>
    <w:rPr>
      <w:rFonts w:ascii="Times New Roman" w:hAnsi="Times New Roman" w:eastAsia="宋体" w:cs="宋体"/>
      <w:sz w:val="24"/>
      <w:szCs w:val="20"/>
    </w:rPr>
  </w:style>
  <w:style w:type="character" w:customStyle="1" w:styleId="232">
    <w:name w:val="正文缩进 Char2"/>
    <w:basedOn w:val="90"/>
    <w:qFormat/>
    <w:uiPriority w:val="0"/>
    <w:rPr>
      <w:rFonts w:ascii="Arial" w:hAnsi="Arial" w:eastAsia="宋体"/>
      <w:b/>
      <w:spacing w:val="10"/>
      <w:kern w:val="2"/>
      <w:sz w:val="21"/>
      <w:lang w:val="en-US" w:eastAsia="zh-CN"/>
    </w:rPr>
  </w:style>
  <w:style w:type="paragraph" w:customStyle="1" w:styleId="233">
    <w:name w:val="样式 行距: 1.5 倍行距"/>
    <w:basedOn w:val="1"/>
    <w:qFormat/>
    <w:uiPriority w:val="0"/>
    <w:pPr>
      <w:widowControl/>
      <w:adjustRightInd w:val="0"/>
      <w:snapToGrid w:val="0"/>
      <w:spacing w:line="360" w:lineRule="auto"/>
      <w:ind w:firstLine="480" w:firstLineChars="200"/>
      <w:jc w:val="left"/>
    </w:pPr>
    <w:rPr>
      <w:rFonts w:ascii="宋体" w:hAnsi="宋体" w:cs="宋体"/>
      <w:kern w:val="0"/>
      <w:sz w:val="24"/>
      <w:szCs w:val="24"/>
    </w:rPr>
  </w:style>
  <w:style w:type="paragraph" w:customStyle="1" w:styleId="234">
    <w:name w:val="1.1.1.001"/>
    <w:basedOn w:val="1"/>
    <w:qFormat/>
    <w:uiPriority w:val="0"/>
    <w:pPr>
      <w:widowControl/>
      <w:adjustRightInd w:val="0"/>
      <w:snapToGrid w:val="0"/>
      <w:spacing w:line="460" w:lineRule="atLeast"/>
      <w:jc w:val="left"/>
    </w:pPr>
    <w:rPr>
      <w:rFonts w:ascii="宋体" w:hAnsi="宋体" w:cs="宋体"/>
      <w:kern w:val="0"/>
      <w:sz w:val="24"/>
      <w:szCs w:val="24"/>
    </w:rPr>
  </w:style>
  <w:style w:type="paragraph" w:customStyle="1" w:styleId="235">
    <w:name w:val="Char1"/>
    <w:basedOn w:val="1"/>
    <w:semiHidden/>
    <w:qFormat/>
    <w:uiPriority w:val="0"/>
    <w:pPr>
      <w:widowControl/>
      <w:adjustRightInd w:val="0"/>
      <w:snapToGrid w:val="0"/>
      <w:spacing w:line="360" w:lineRule="auto"/>
      <w:jc w:val="left"/>
    </w:pPr>
    <w:rPr>
      <w:rFonts w:ascii="宋体" w:hAnsi="宋体" w:cs="宋体"/>
      <w:kern w:val="0"/>
      <w:sz w:val="24"/>
      <w:szCs w:val="24"/>
    </w:rPr>
  </w:style>
  <w:style w:type="paragraph" w:customStyle="1" w:styleId="236">
    <w:name w:val="xl22"/>
    <w:basedOn w:val="1"/>
    <w:qFormat/>
    <w:uiPriority w:val="0"/>
    <w:pPr>
      <w:widowControl/>
      <w:adjustRightInd w:val="0"/>
      <w:snapToGrid w:val="0"/>
      <w:spacing w:before="100" w:after="100" w:line="360" w:lineRule="auto"/>
      <w:jc w:val="center"/>
    </w:pPr>
    <w:rPr>
      <w:rFonts w:ascii="宋体" w:hAnsi="宋体" w:cs="宋体"/>
      <w:kern w:val="0"/>
      <w:sz w:val="24"/>
      <w:szCs w:val="24"/>
    </w:rPr>
  </w:style>
  <w:style w:type="paragraph" w:customStyle="1" w:styleId="237">
    <w:name w:val="1表格"/>
    <w:basedOn w:val="1"/>
    <w:qFormat/>
    <w:uiPriority w:val="0"/>
    <w:pPr>
      <w:adjustRightInd w:val="0"/>
      <w:snapToGrid w:val="0"/>
      <w:spacing w:line="360" w:lineRule="auto"/>
      <w:jc w:val="center"/>
    </w:pPr>
    <w:rPr>
      <w:rFonts w:ascii="Times New Roman" w:hAnsi="Times New Roman" w:eastAsia="楷体_GB2312" w:cs="Times New Roman"/>
      <w:sz w:val="21"/>
      <w:szCs w:val="20"/>
    </w:rPr>
  </w:style>
  <w:style w:type="paragraph" w:customStyle="1" w:styleId="238">
    <w:name w:val="二级无标题条"/>
    <w:basedOn w:val="1"/>
    <w:qFormat/>
    <w:uiPriority w:val="0"/>
    <w:pPr>
      <w:adjustRightInd w:val="0"/>
      <w:snapToGrid w:val="0"/>
      <w:spacing w:line="360" w:lineRule="auto"/>
    </w:pPr>
    <w:rPr>
      <w:rFonts w:ascii="Times New Roman" w:hAnsi="Times New Roman" w:cs="Times New Roman"/>
      <w:sz w:val="21"/>
      <w:szCs w:val="24"/>
    </w:rPr>
  </w:style>
  <w:style w:type="character" w:customStyle="1" w:styleId="239">
    <w:name w:val="正文格式 Char"/>
    <w:basedOn w:val="90"/>
    <w:link w:val="240"/>
    <w:qFormat/>
    <w:uiPriority w:val="0"/>
    <w:rPr>
      <w:rFonts w:ascii="宋体"/>
      <w:sz w:val="24"/>
    </w:rPr>
  </w:style>
  <w:style w:type="paragraph" w:customStyle="1" w:styleId="240">
    <w:name w:val="正文格式"/>
    <w:basedOn w:val="1"/>
    <w:link w:val="239"/>
    <w:qFormat/>
    <w:uiPriority w:val="0"/>
    <w:pPr>
      <w:adjustRightInd w:val="0"/>
      <w:snapToGrid w:val="0"/>
      <w:spacing w:line="360" w:lineRule="auto"/>
      <w:ind w:firstLine="482"/>
    </w:pPr>
    <w:rPr>
      <w:rFonts w:ascii="宋体" w:eastAsiaTheme="minorEastAsia"/>
      <w:sz w:val="24"/>
    </w:rPr>
  </w:style>
  <w:style w:type="paragraph" w:customStyle="1" w:styleId="241">
    <w:name w:val="表格001"/>
    <w:basedOn w:val="1"/>
    <w:qFormat/>
    <w:uiPriority w:val="0"/>
    <w:pPr>
      <w:adjustRightInd w:val="0"/>
      <w:snapToGrid w:val="0"/>
      <w:spacing w:line="360" w:lineRule="exact"/>
      <w:jc w:val="center"/>
    </w:pPr>
    <w:rPr>
      <w:rFonts w:ascii="Arial" w:hAnsi="Arial" w:cs="Times New Roman"/>
      <w:sz w:val="21"/>
      <w:szCs w:val="20"/>
    </w:rPr>
  </w:style>
  <w:style w:type="paragraph" w:customStyle="1" w:styleId="242">
    <w:name w:val="－正文"/>
    <w:basedOn w:val="1"/>
    <w:qFormat/>
    <w:uiPriority w:val="0"/>
    <w:pPr>
      <w:adjustRightInd w:val="0"/>
      <w:snapToGrid w:val="0"/>
      <w:spacing w:line="540" w:lineRule="atLeast"/>
      <w:ind w:firstLine="200"/>
      <w:jc w:val="left"/>
    </w:pPr>
    <w:rPr>
      <w:rFonts w:ascii="Times New Roman" w:hAnsi="Times New Roman" w:cs="Times New Roman"/>
      <w:spacing w:val="8"/>
      <w:sz w:val="24"/>
      <w:szCs w:val="20"/>
    </w:rPr>
  </w:style>
  <w:style w:type="paragraph" w:customStyle="1" w:styleId="243">
    <w:name w:val="gkcontent"/>
    <w:basedOn w:val="1"/>
    <w:qFormat/>
    <w:uiPriority w:val="0"/>
    <w:pPr>
      <w:widowControl/>
      <w:adjustRightInd w:val="0"/>
      <w:snapToGrid w:val="0"/>
      <w:spacing w:before="100" w:beforeAutospacing="1" w:after="100" w:afterAutospacing="1" w:line="360" w:lineRule="auto"/>
      <w:jc w:val="left"/>
    </w:pPr>
    <w:rPr>
      <w:rFonts w:ascii="宋体" w:hAnsi="宋体" w:cs="宋体"/>
      <w:kern w:val="0"/>
      <w:sz w:val="24"/>
      <w:szCs w:val="24"/>
    </w:rPr>
  </w:style>
  <w:style w:type="paragraph" w:customStyle="1" w:styleId="244">
    <w:name w:val="Char Char Char Char Char Char"/>
    <w:basedOn w:val="1"/>
    <w:qFormat/>
    <w:uiPriority w:val="0"/>
    <w:pPr>
      <w:adjustRightInd w:val="0"/>
      <w:snapToGrid w:val="0"/>
      <w:spacing w:line="360" w:lineRule="auto"/>
    </w:pPr>
    <w:rPr>
      <w:rFonts w:ascii="Times New Roman" w:hAnsi="Times New Roman" w:cs="Times New Roman"/>
      <w:sz w:val="21"/>
      <w:szCs w:val="21"/>
    </w:rPr>
  </w:style>
  <w:style w:type="paragraph" w:customStyle="1" w:styleId="245">
    <w:name w:val="xl27"/>
    <w:basedOn w:val="1"/>
    <w:qFormat/>
    <w:uiPriority w:val="0"/>
    <w:pPr>
      <w:widowControl/>
      <w:pBdr>
        <w:bottom w:val="single" w:color="auto" w:sz="12" w:space="0"/>
      </w:pBdr>
      <w:adjustRightInd w:val="0"/>
      <w:snapToGrid w:val="0"/>
      <w:spacing w:before="100" w:after="100" w:line="360" w:lineRule="auto"/>
      <w:jc w:val="center"/>
    </w:pPr>
    <w:rPr>
      <w:rFonts w:ascii="宋体" w:hAnsi="宋体" w:cs="Times New Roman"/>
      <w:kern w:val="0"/>
      <w:sz w:val="21"/>
      <w:szCs w:val="20"/>
    </w:rPr>
  </w:style>
  <w:style w:type="character" w:customStyle="1" w:styleId="246">
    <w:name w:val="正文文本缩进 2 Char"/>
    <w:basedOn w:val="90"/>
    <w:link w:val="247"/>
    <w:qFormat/>
    <w:uiPriority w:val="0"/>
    <w:rPr>
      <w:sz w:val="27"/>
    </w:rPr>
  </w:style>
  <w:style w:type="paragraph" w:customStyle="1" w:styleId="247">
    <w:name w:val="正文文本缩进 21"/>
    <w:basedOn w:val="1"/>
    <w:link w:val="246"/>
    <w:qFormat/>
    <w:uiPriority w:val="0"/>
    <w:pPr>
      <w:adjustRightInd w:val="0"/>
      <w:snapToGrid w:val="0"/>
      <w:spacing w:after="120" w:line="480" w:lineRule="auto"/>
      <w:ind w:left="420" w:leftChars="200"/>
    </w:pPr>
    <w:rPr>
      <w:rFonts w:eastAsiaTheme="minorEastAsia"/>
      <w:sz w:val="27"/>
    </w:rPr>
  </w:style>
  <w:style w:type="character" w:customStyle="1" w:styleId="248">
    <w:name w:val="headline-content"/>
    <w:basedOn w:val="90"/>
    <w:qFormat/>
    <w:uiPriority w:val="0"/>
  </w:style>
  <w:style w:type="paragraph" w:customStyle="1" w:styleId="249">
    <w:name w:val="Char Char Char2 Char Char Char Char Char Char Char Char Char Char Char Char Char Char Char Char Char Char1"/>
    <w:basedOn w:val="1"/>
    <w:qFormat/>
    <w:uiPriority w:val="0"/>
    <w:pPr>
      <w:autoSpaceDE w:val="0"/>
      <w:autoSpaceDN w:val="0"/>
      <w:adjustRightInd w:val="0"/>
      <w:snapToGrid w:val="0"/>
      <w:spacing w:line="400" w:lineRule="atLeast"/>
      <w:jc w:val="left"/>
      <w:textAlignment w:val="baseline"/>
    </w:pPr>
    <w:rPr>
      <w:rFonts w:ascii="黑体" w:hAnsi="黑体" w:eastAsia="黑体" w:cs="Times New Roman"/>
      <w:b/>
      <w:spacing w:val="10"/>
      <w:kern w:val="0"/>
      <w:sz w:val="24"/>
      <w:szCs w:val="20"/>
    </w:rPr>
  </w:style>
  <w:style w:type="paragraph" w:customStyle="1" w:styleId="250">
    <w:name w:val="pic-info"/>
    <w:basedOn w:val="1"/>
    <w:qFormat/>
    <w:uiPriority w:val="0"/>
    <w:pPr>
      <w:widowControl/>
      <w:adjustRightInd w:val="0"/>
      <w:snapToGrid w:val="0"/>
      <w:spacing w:before="100" w:beforeAutospacing="1" w:after="100" w:afterAutospacing="1" w:line="360" w:lineRule="auto"/>
      <w:jc w:val="left"/>
    </w:pPr>
    <w:rPr>
      <w:rFonts w:ascii="宋体" w:hAnsi="宋体" w:cs="宋体"/>
      <w:kern w:val="0"/>
      <w:sz w:val="24"/>
      <w:szCs w:val="24"/>
    </w:rPr>
  </w:style>
  <w:style w:type="paragraph" w:customStyle="1" w:styleId="251">
    <w:name w:val="Char Char Char1"/>
    <w:basedOn w:val="1"/>
    <w:qFormat/>
    <w:uiPriority w:val="0"/>
    <w:pPr>
      <w:adjustRightInd w:val="0"/>
      <w:snapToGrid w:val="0"/>
      <w:spacing w:line="360" w:lineRule="auto"/>
    </w:pPr>
    <w:rPr>
      <w:rFonts w:ascii="Times New Roman" w:hAnsi="Times New Roman" w:cs="Times New Roman"/>
      <w:sz w:val="21"/>
      <w:szCs w:val="20"/>
    </w:rPr>
  </w:style>
  <w:style w:type="paragraph" w:customStyle="1" w:styleId="252">
    <w:name w:val="TOC 标题1"/>
    <w:basedOn w:val="4"/>
    <w:next w:val="1"/>
    <w:unhideWhenUsed/>
    <w:qFormat/>
    <w:uiPriority w:val="39"/>
    <w:pPr>
      <w:widowControl/>
      <w:numPr>
        <w:numId w:val="0"/>
      </w:numPr>
      <w:adjustRightInd/>
      <w:snapToGrid/>
      <w:spacing w:before="480" w:line="276" w:lineRule="auto"/>
      <w:jc w:val="left"/>
      <w:outlineLvl w:val="9"/>
    </w:pPr>
    <w:rPr>
      <w:rFonts w:ascii="Cambria" w:hAnsi="Cambria" w:cs="Times New Roman"/>
      <w:snapToGrid w:val="0"/>
      <w:color w:val="365F91"/>
      <w:kern w:val="0"/>
      <w:sz w:val="28"/>
      <w:szCs w:val="28"/>
    </w:rPr>
  </w:style>
  <w:style w:type="paragraph" w:customStyle="1" w:styleId="253">
    <w:name w:val="Char Char Char Char Char Char1 Char Char Char Char"/>
    <w:basedOn w:val="1"/>
    <w:qFormat/>
    <w:uiPriority w:val="0"/>
    <w:pPr>
      <w:adjustRightInd w:val="0"/>
      <w:snapToGrid w:val="0"/>
      <w:spacing w:line="360" w:lineRule="auto"/>
    </w:pPr>
    <w:rPr>
      <w:rFonts w:ascii="Tahoma" w:hAnsi="Tahoma" w:cs="Times New Roman"/>
      <w:sz w:val="24"/>
      <w:szCs w:val="20"/>
    </w:rPr>
  </w:style>
  <w:style w:type="paragraph" w:customStyle="1" w:styleId="254">
    <w:name w:val="序号"/>
    <w:basedOn w:val="1"/>
    <w:link w:val="255"/>
    <w:qFormat/>
    <w:uiPriority w:val="0"/>
    <w:pPr>
      <w:widowControl/>
      <w:numPr>
        <w:ilvl w:val="0"/>
        <w:numId w:val="16"/>
      </w:numPr>
      <w:adjustRightInd w:val="0"/>
      <w:snapToGrid w:val="0"/>
      <w:spacing w:before="20" w:beforeLines="20" w:after="20" w:afterLines="20" w:line="360" w:lineRule="auto"/>
      <w:jc w:val="center"/>
    </w:pPr>
    <w:rPr>
      <w:rFonts w:ascii="Times New Roman" w:hAnsi="Times New Roman" w:cs="Times New Roman"/>
      <w:sz w:val="21"/>
      <w:szCs w:val="21"/>
    </w:rPr>
  </w:style>
  <w:style w:type="character" w:customStyle="1" w:styleId="255">
    <w:name w:val="序号 Char"/>
    <w:basedOn w:val="90"/>
    <w:link w:val="254"/>
    <w:qFormat/>
    <w:uiPriority w:val="0"/>
    <w:rPr>
      <w:rFonts w:ascii="Times New Roman" w:hAnsi="Times New Roman" w:eastAsia="宋体" w:cs="Times New Roman"/>
      <w:szCs w:val="21"/>
    </w:rPr>
  </w:style>
  <w:style w:type="paragraph" w:customStyle="1" w:styleId="256">
    <w:name w:val="Char Char Char3"/>
    <w:basedOn w:val="1"/>
    <w:qFormat/>
    <w:uiPriority w:val="0"/>
    <w:pPr>
      <w:adjustRightInd w:val="0"/>
      <w:snapToGrid w:val="0"/>
      <w:spacing w:line="360" w:lineRule="auto"/>
    </w:pPr>
    <w:rPr>
      <w:rFonts w:ascii="Times New Roman" w:hAnsi="Times New Roman" w:cs="Times New Roman"/>
      <w:sz w:val="21"/>
      <w:szCs w:val="20"/>
    </w:rPr>
  </w:style>
  <w:style w:type="table" w:customStyle="1" w:styleId="257">
    <w:name w:val="网格型刘4"/>
    <w:basedOn w:val="87"/>
    <w:qFormat/>
    <w:uiPriority w:val="0"/>
    <w:pPr>
      <w:widowControl w:val="0"/>
      <w:adjustRightInd w:val="0"/>
      <w:snapToGrid w:val="0"/>
      <w:spacing w:before="20" w:beforeLines="20" w:after="20" w:afterLines="20"/>
      <w:jc w:val="both"/>
    </w:pPr>
    <w:rPr>
      <w:rFonts w:ascii="Times New Roman" w:hAnsi="Times New Roman"/>
      <w:snapToGrid w:val="0"/>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jc w:val="center"/>
    </w:trPr>
    <w:tcPr>
      <w:vAlign w:val="center"/>
    </w:tcPr>
  </w:style>
  <w:style w:type="paragraph" w:customStyle="1" w:styleId="258">
    <w:name w:val="Char Char Char Char Char Char Char Char Char Char Char Char Char Char Char Char Char Char"/>
    <w:basedOn w:val="1"/>
    <w:qFormat/>
    <w:uiPriority w:val="0"/>
    <w:pPr>
      <w:adjustRightInd w:val="0"/>
      <w:snapToGrid w:val="0"/>
      <w:spacing w:line="360" w:lineRule="auto"/>
    </w:pPr>
    <w:rPr>
      <w:rFonts w:ascii="Times New Roman" w:hAnsi="Times New Roman" w:cs="Times New Roman"/>
      <w:b/>
      <w:bCs/>
      <w:sz w:val="36"/>
      <w:szCs w:val="32"/>
    </w:rPr>
  </w:style>
  <w:style w:type="paragraph" w:customStyle="1" w:styleId="259">
    <w:name w:val="C2"/>
    <w:basedOn w:val="1"/>
    <w:qFormat/>
    <w:uiPriority w:val="0"/>
    <w:pPr>
      <w:adjustRightInd w:val="0"/>
      <w:snapToGrid w:val="0"/>
      <w:spacing w:line="360" w:lineRule="auto"/>
    </w:pPr>
    <w:rPr>
      <w:rFonts w:ascii="Times New Roman" w:hAnsi="Times New Roman" w:cs="Times New Roman"/>
      <w:kern w:val="0"/>
      <w:sz w:val="24"/>
      <w:szCs w:val="20"/>
    </w:rPr>
  </w:style>
  <w:style w:type="table" w:customStyle="1" w:styleId="260">
    <w:name w:val="表格主题1"/>
    <w:basedOn w:val="87"/>
    <w:qFormat/>
    <w:uiPriority w:val="0"/>
    <w:pPr>
      <w:widowControl w:val="0"/>
      <w:adjustRightInd w:val="0"/>
      <w:snapToGrid w:val="0"/>
      <w:spacing w:before="20" w:beforeLines="20" w:after="20" w:afterLines="20"/>
      <w:jc w:val="center"/>
    </w:pPr>
    <w:rPr>
      <w:rFonts w:ascii="Times New Roman" w:hAnsi="Times New Roman"/>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61">
    <w:name w:val="Char Char5 Char Char"/>
    <w:basedOn w:val="1"/>
    <w:qFormat/>
    <w:uiPriority w:val="0"/>
    <w:pPr>
      <w:adjustRightInd w:val="0"/>
      <w:snapToGrid w:val="0"/>
      <w:spacing w:line="360" w:lineRule="auto"/>
      <w:ind w:firstLine="200" w:firstLineChars="200"/>
    </w:pPr>
    <w:rPr>
      <w:rFonts w:ascii="宋体" w:hAnsi="宋体" w:cs="宋体"/>
      <w:sz w:val="24"/>
      <w:szCs w:val="24"/>
    </w:rPr>
  </w:style>
  <w:style w:type="table" w:customStyle="1" w:styleId="262">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263">
    <w:name w:val="Table Paragraph"/>
    <w:basedOn w:val="1"/>
    <w:link w:val="346"/>
    <w:qFormat/>
    <w:uiPriority w:val="1"/>
    <w:pPr>
      <w:adjustRightInd w:val="0"/>
      <w:snapToGrid w:val="0"/>
      <w:spacing w:line="360" w:lineRule="auto"/>
      <w:jc w:val="left"/>
    </w:pPr>
    <w:rPr>
      <w:kern w:val="0"/>
      <w:sz w:val="22"/>
      <w:lang w:eastAsia="en-US"/>
    </w:rPr>
  </w:style>
  <w:style w:type="character" w:customStyle="1" w:styleId="264">
    <w:name w:val="批注文字 字符1"/>
    <w:link w:val="29"/>
    <w:qFormat/>
    <w:uiPriority w:val="0"/>
    <w:rPr>
      <w:rFonts w:ascii="Times New Roman" w:hAnsi="Times New Roman" w:eastAsia="宋体" w:cs="Times New Roman"/>
      <w:sz w:val="24"/>
      <w:szCs w:val="24"/>
    </w:rPr>
  </w:style>
  <w:style w:type="paragraph" w:customStyle="1" w:styleId="265">
    <w:name w:val="样式5"/>
    <w:basedOn w:val="1"/>
    <w:link w:val="267"/>
    <w:qFormat/>
    <w:uiPriority w:val="0"/>
    <w:pPr>
      <w:adjustRightInd w:val="0"/>
      <w:snapToGrid w:val="0"/>
      <w:spacing w:line="360" w:lineRule="auto"/>
    </w:pPr>
    <w:rPr>
      <w:rFonts w:ascii="Times New Roman" w:hAnsi="Times New Roman" w:cs="Times New Roman"/>
      <w:sz w:val="24"/>
      <w:szCs w:val="24"/>
    </w:rPr>
  </w:style>
  <w:style w:type="paragraph" w:customStyle="1" w:styleId="266">
    <w:name w:val="样式-4"/>
    <w:basedOn w:val="223"/>
    <w:link w:val="268"/>
    <w:qFormat/>
    <w:uiPriority w:val="0"/>
    <w:pPr>
      <w:spacing w:before="50"/>
    </w:pPr>
  </w:style>
  <w:style w:type="character" w:customStyle="1" w:styleId="267">
    <w:name w:val="样式5 字符"/>
    <w:basedOn w:val="90"/>
    <w:link w:val="265"/>
    <w:qFormat/>
    <w:uiPriority w:val="0"/>
    <w:rPr>
      <w:rFonts w:ascii="Times New Roman" w:hAnsi="Times New Roman" w:eastAsia="宋体" w:cs="Times New Roman"/>
      <w:sz w:val="24"/>
      <w:szCs w:val="24"/>
    </w:rPr>
  </w:style>
  <w:style w:type="character" w:customStyle="1" w:styleId="268">
    <w:name w:val="样式-4 字符"/>
    <w:basedOn w:val="227"/>
    <w:link w:val="266"/>
    <w:qFormat/>
    <w:uiPriority w:val="0"/>
    <w:rPr>
      <w:rFonts w:ascii="Times New Roman" w:hAnsi="Times New Roman" w:eastAsia="宋体" w:cs="Times New Roman"/>
      <w:color w:val="000000"/>
      <w:kern w:val="0"/>
      <w:sz w:val="32"/>
      <w:szCs w:val="36"/>
    </w:rPr>
  </w:style>
  <w:style w:type="character" w:customStyle="1" w:styleId="269">
    <w:name w:val="表头 Char"/>
    <w:link w:val="209"/>
    <w:qFormat/>
    <w:uiPriority w:val="0"/>
    <w:rPr>
      <w:rFonts w:ascii="Times New Roman" w:hAnsi="Times New Roman" w:eastAsia="宋体" w:cs="Times New Roman"/>
      <w:b/>
      <w:sz w:val="24"/>
      <w:szCs w:val="24"/>
    </w:rPr>
  </w:style>
  <w:style w:type="paragraph" w:customStyle="1" w:styleId="270">
    <w:name w:val="样式4"/>
    <w:basedOn w:val="226"/>
    <w:link w:val="271"/>
    <w:qFormat/>
    <w:uiPriority w:val="0"/>
    <w:pPr>
      <w:ind w:firstLine="482"/>
    </w:pPr>
    <w:rPr>
      <w:b/>
    </w:rPr>
  </w:style>
  <w:style w:type="character" w:customStyle="1" w:styleId="271">
    <w:name w:val="样式4 字符"/>
    <w:basedOn w:val="229"/>
    <w:link w:val="270"/>
    <w:qFormat/>
    <w:uiPriority w:val="0"/>
    <w:rPr>
      <w:rFonts w:ascii="Times New Roman" w:hAnsi="Times New Roman" w:eastAsia="宋体" w:cs="Times New Roman"/>
      <w:b/>
      <w:snapToGrid w:val="0"/>
      <w:kern w:val="0"/>
      <w:sz w:val="24"/>
      <w:szCs w:val="24"/>
    </w:rPr>
  </w:style>
  <w:style w:type="paragraph" w:customStyle="1" w:styleId="272">
    <w:name w:val="表格字体1"/>
    <w:basedOn w:val="1"/>
    <w:qFormat/>
    <w:uiPriority w:val="0"/>
    <w:pPr>
      <w:widowControl/>
      <w:adjustRightInd w:val="0"/>
      <w:snapToGrid w:val="0"/>
      <w:spacing w:before="48" w:beforeLines="20" w:after="48" w:afterLines="20" w:line="360" w:lineRule="auto"/>
      <w:jc w:val="center"/>
    </w:pPr>
    <w:rPr>
      <w:rFonts w:ascii="Times New Roman" w:hAnsi="Times New Roman" w:cs="Times New Roman"/>
      <w:color w:val="000000"/>
      <w:kern w:val="0"/>
      <w:sz w:val="21"/>
      <w:szCs w:val="21"/>
    </w:rPr>
  </w:style>
  <w:style w:type="paragraph" w:customStyle="1" w:styleId="273">
    <w:name w:val="表头（方）"/>
    <w:basedOn w:val="1"/>
    <w:qFormat/>
    <w:uiPriority w:val="0"/>
    <w:pPr>
      <w:widowControl/>
      <w:adjustRightInd w:val="0"/>
      <w:snapToGrid w:val="0"/>
      <w:spacing w:before="50" w:beforeLines="50" w:after="20" w:afterLines="20" w:line="360" w:lineRule="auto"/>
      <w:jc w:val="center"/>
    </w:pPr>
    <w:rPr>
      <w:rFonts w:ascii="Times New Roman" w:hAnsi="Times New Roman" w:cs="Times New Roman"/>
      <w:b/>
      <w:kern w:val="0"/>
      <w:sz w:val="24"/>
      <w:szCs w:val="24"/>
    </w:rPr>
  </w:style>
  <w:style w:type="character" w:customStyle="1" w:styleId="274">
    <w:name w:val="页脚 Char"/>
    <w:qFormat/>
    <w:uiPriority w:val="0"/>
    <w:rPr>
      <w:rFonts w:eastAsia="宋体"/>
      <w:kern w:val="2"/>
      <w:sz w:val="18"/>
      <w:szCs w:val="18"/>
      <w:lang w:val="en-US" w:eastAsia="zh-CN" w:bidi="ar-SA"/>
    </w:rPr>
  </w:style>
  <w:style w:type="character" w:customStyle="1" w:styleId="275">
    <w:name w:val="批注文字 Char"/>
    <w:semiHidden/>
    <w:qFormat/>
    <w:uiPriority w:val="0"/>
    <w:rPr>
      <w:rFonts w:ascii="宋体" w:hAnsi="宋体" w:cs="宋体"/>
      <w:color w:val="000000"/>
      <w:kern w:val="28"/>
      <w:sz w:val="24"/>
      <w:szCs w:val="24"/>
    </w:rPr>
  </w:style>
  <w:style w:type="character" w:customStyle="1" w:styleId="276">
    <w:name w:val="我的正文 Char1"/>
    <w:link w:val="277"/>
    <w:qFormat/>
    <w:uiPriority w:val="0"/>
    <w:rPr>
      <w:sz w:val="24"/>
      <w:szCs w:val="24"/>
    </w:rPr>
  </w:style>
  <w:style w:type="paragraph" w:customStyle="1" w:styleId="277">
    <w:name w:val="我的正文"/>
    <w:basedOn w:val="1"/>
    <w:next w:val="1"/>
    <w:link w:val="276"/>
    <w:qFormat/>
    <w:uiPriority w:val="0"/>
    <w:pPr>
      <w:adjustRightInd w:val="0"/>
      <w:snapToGrid w:val="0"/>
      <w:spacing w:line="520" w:lineRule="exact"/>
      <w:ind w:firstLine="540" w:firstLineChars="225"/>
    </w:pPr>
    <w:rPr>
      <w:rFonts w:eastAsiaTheme="minorEastAsia"/>
      <w:sz w:val="24"/>
      <w:szCs w:val="24"/>
    </w:rPr>
  </w:style>
  <w:style w:type="character" w:customStyle="1" w:styleId="278">
    <w:name w:val="表格文字 Char"/>
    <w:link w:val="154"/>
    <w:qFormat/>
    <w:uiPriority w:val="0"/>
    <w:rPr>
      <w:rFonts w:ascii="Arial" w:hAnsi="Arial" w:eastAsia="宋体" w:cs="Arial"/>
      <w:snapToGrid w:val="0"/>
      <w:kern w:val="0"/>
      <w:sz w:val="22"/>
      <w:szCs w:val="21"/>
    </w:rPr>
  </w:style>
  <w:style w:type="character" w:customStyle="1" w:styleId="279">
    <w:name w:val="普通文字 Char1"/>
    <w:qFormat/>
    <w:uiPriority w:val="0"/>
    <w:rPr>
      <w:rFonts w:ascii="宋体" w:hAnsi="Courier New" w:eastAsia="宋体" w:cs="宋体"/>
      <w:kern w:val="28"/>
      <w:sz w:val="21"/>
      <w:szCs w:val="24"/>
      <w:lang w:val="en-US" w:eastAsia="zh-CN" w:bidi="ar-SA"/>
    </w:rPr>
  </w:style>
  <w:style w:type="character" w:customStyle="1" w:styleId="280">
    <w:name w:val="样式 13 磅 行距: 最小值 24 磅 Char"/>
    <w:link w:val="281"/>
    <w:qFormat/>
    <w:uiPriority w:val="0"/>
    <w:rPr>
      <w:sz w:val="26"/>
    </w:rPr>
  </w:style>
  <w:style w:type="paragraph" w:customStyle="1" w:styleId="281">
    <w:name w:val="样式 13 磅 行距: 最小值 24 磅"/>
    <w:basedOn w:val="1"/>
    <w:link w:val="280"/>
    <w:qFormat/>
    <w:uiPriority w:val="0"/>
    <w:pPr>
      <w:adjustRightInd w:val="0"/>
      <w:snapToGrid w:val="0"/>
      <w:spacing w:line="480" w:lineRule="exact"/>
      <w:ind w:firstLine="200" w:firstLineChars="200"/>
    </w:pPr>
    <w:rPr>
      <w:rFonts w:eastAsiaTheme="minorEastAsia"/>
      <w:sz w:val="26"/>
    </w:rPr>
  </w:style>
  <w:style w:type="character" w:customStyle="1" w:styleId="282">
    <w:name w:val="环正文 Char1"/>
    <w:link w:val="283"/>
    <w:qFormat/>
    <w:uiPriority w:val="0"/>
    <w:rPr>
      <w:rFonts w:ascii="仿宋_GB2312" w:eastAsia="仿宋_GB2312"/>
      <w:sz w:val="28"/>
      <w:szCs w:val="28"/>
    </w:rPr>
  </w:style>
  <w:style w:type="paragraph" w:customStyle="1" w:styleId="283">
    <w:name w:val="环正文"/>
    <w:basedOn w:val="1"/>
    <w:link w:val="282"/>
    <w:qFormat/>
    <w:uiPriority w:val="0"/>
    <w:pPr>
      <w:widowControl/>
      <w:tabs>
        <w:tab w:val="left" w:pos="5670"/>
      </w:tabs>
      <w:suppressAutoHyphens/>
      <w:adjustRightInd w:val="0"/>
      <w:snapToGrid w:val="0"/>
      <w:spacing w:line="490" w:lineRule="exact"/>
      <w:ind w:firstLine="560" w:firstLineChars="200"/>
      <w:textAlignment w:val="baseline"/>
    </w:pPr>
    <w:rPr>
      <w:rFonts w:ascii="仿宋_GB2312" w:eastAsia="仿宋_GB2312"/>
      <w:szCs w:val="28"/>
    </w:rPr>
  </w:style>
  <w:style w:type="character" w:customStyle="1" w:styleId="284">
    <w:name w:val="正文缩进 Char"/>
    <w:qFormat/>
    <w:uiPriority w:val="0"/>
    <w:rPr>
      <w:rFonts w:eastAsia="宋体"/>
      <w:kern w:val="2"/>
      <w:sz w:val="21"/>
      <w:szCs w:val="24"/>
      <w:lang w:val="en-US" w:eastAsia="zh-CN" w:bidi="ar-SA"/>
    </w:rPr>
  </w:style>
  <w:style w:type="character" w:customStyle="1" w:styleId="285">
    <w:name w:val="环表头 Char1"/>
    <w:link w:val="286"/>
    <w:qFormat/>
    <w:uiPriority w:val="0"/>
    <w:rPr>
      <w:rFonts w:hAnsi="宋体"/>
      <w:b/>
      <w:sz w:val="24"/>
      <w:szCs w:val="24"/>
    </w:rPr>
  </w:style>
  <w:style w:type="paragraph" w:customStyle="1" w:styleId="286">
    <w:name w:val="环表头"/>
    <w:basedOn w:val="283"/>
    <w:link w:val="285"/>
    <w:qFormat/>
    <w:uiPriority w:val="0"/>
    <w:pPr>
      <w:spacing w:line="240" w:lineRule="auto"/>
      <w:ind w:firstLine="0" w:firstLineChars="0"/>
      <w:jc w:val="center"/>
    </w:pPr>
    <w:rPr>
      <w:rFonts w:hAnsi="宋体" w:asciiTheme="minorHAnsi" w:eastAsiaTheme="minorEastAsia"/>
      <w:b/>
      <w:sz w:val="24"/>
      <w:szCs w:val="24"/>
    </w:rPr>
  </w:style>
  <w:style w:type="character" w:customStyle="1" w:styleId="287">
    <w:name w:val="普通文字 Char Char Char Char Char Char Char"/>
    <w:qFormat/>
    <w:uiPriority w:val="0"/>
    <w:rPr>
      <w:rFonts w:ascii="宋体" w:hAnsi="Courier New" w:eastAsia="宋体"/>
      <w:kern w:val="28"/>
      <w:sz w:val="21"/>
      <w:lang w:val="en-US" w:eastAsia="zh-CN" w:bidi="ar-SA"/>
    </w:rPr>
  </w:style>
  <w:style w:type="character" w:customStyle="1" w:styleId="288">
    <w:name w:val="表格字体 Char Char"/>
    <w:qFormat/>
    <w:uiPriority w:val="0"/>
    <w:rPr>
      <w:snapToGrid w:val="0"/>
      <w:sz w:val="21"/>
      <w:szCs w:val="21"/>
    </w:rPr>
  </w:style>
  <w:style w:type="character" w:customStyle="1" w:styleId="289">
    <w:name w:val="标题 1 Char"/>
    <w:qFormat/>
    <w:uiPriority w:val="0"/>
    <w:rPr>
      <w:rFonts w:eastAsia="宋体"/>
      <w:b/>
      <w:bCs/>
      <w:kern w:val="44"/>
      <w:sz w:val="44"/>
      <w:szCs w:val="44"/>
      <w:lang w:val="en-US" w:eastAsia="zh-CN" w:bidi="ar-SA"/>
    </w:rPr>
  </w:style>
  <w:style w:type="character" w:customStyle="1" w:styleId="290">
    <w:name w:val="正文01 Char"/>
    <w:link w:val="164"/>
    <w:qFormat/>
    <w:uiPriority w:val="0"/>
    <w:rPr>
      <w:rFonts w:ascii="Times New Roman" w:hAnsi="Times New Roman" w:eastAsia="宋体" w:cs="Times New Roman"/>
      <w:kern w:val="0"/>
      <w:sz w:val="24"/>
      <w:szCs w:val="24"/>
    </w:rPr>
  </w:style>
  <w:style w:type="paragraph" w:customStyle="1" w:styleId="291">
    <w:name w:val="表格样式1"/>
    <w:basedOn w:val="1"/>
    <w:qFormat/>
    <w:uiPriority w:val="0"/>
    <w:pPr>
      <w:adjustRightInd w:val="0"/>
      <w:snapToGrid w:val="0"/>
      <w:spacing w:line="360" w:lineRule="exact"/>
      <w:jc w:val="center"/>
    </w:pPr>
    <w:rPr>
      <w:rFonts w:ascii="Times New Roman" w:hAnsi="Times New Roman" w:eastAsia="仿宋_GB2312" w:cs="Times New Roman"/>
      <w:color w:val="000080"/>
      <w:sz w:val="21"/>
      <w:szCs w:val="24"/>
    </w:rPr>
  </w:style>
  <w:style w:type="paragraph" w:customStyle="1" w:styleId="292">
    <w:name w:val="页眉2"/>
    <w:basedOn w:val="1"/>
    <w:qFormat/>
    <w:uiPriority w:val="0"/>
    <w:pPr>
      <w:pBdr>
        <w:bottom w:val="single" w:color="auto" w:sz="6" w:space="1"/>
      </w:pBdr>
      <w:tabs>
        <w:tab w:val="center" w:pos="4153"/>
        <w:tab w:val="right" w:pos="8306"/>
      </w:tabs>
      <w:adjustRightInd w:val="0"/>
      <w:snapToGrid w:val="0"/>
      <w:spacing w:line="360" w:lineRule="auto"/>
      <w:jc w:val="center"/>
    </w:pPr>
    <w:rPr>
      <w:rFonts w:ascii="Times New Roman" w:hAnsi="Times New Roman" w:cs="Times New Roman"/>
      <w:sz w:val="18"/>
      <w:szCs w:val="20"/>
    </w:rPr>
  </w:style>
  <w:style w:type="paragraph" w:customStyle="1" w:styleId="293">
    <w:name w:val="标题33"/>
    <w:basedOn w:val="22"/>
    <w:qFormat/>
    <w:uiPriority w:val="0"/>
    <w:pPr>
      <w:spacing w:beforeLines="50" w:afterLines="50" w:line="400" w:lineRule="exact"/>
      <w:ind w:firstLine="0" w:firstLineChars="0"/>
    </w:pPr>
    <w:rPr>
      <w:rFonts w:ascii="仿宋_GB2312" w:hAnsi="宋体" w:eastAsia="仿宋_GB2312"/>
      <w:szCs w:val="20"/>
    </w:rPr>
  </w:style>
  <w:style w:type="paragraph" w:customStyle="1" w:styleId="294">
    <w:name w:val="报告表正文"/>
    <w:basedOn w:val="1"/>
    <w:qFormat/>
    <w:uiPriority w:val="0"/>
    <w:pPr>
      <w:adjustRightInd w:val="0"/>
      <w:snapToGrid w:val="0"/>
      <w:spacing w:line="312" w:lineRule="auto"/>
      <w:ind w:left="113" w:right="113" w:firstLine="482"/>
      <w:jc w:val="left"/>
    </w:pPr>
    <w:rPr>
      <w:rFonts w:ascii="Times New Roman" w:hAnsi="Times New Roman" w:cs="Times New Roman"/>
      <w:kern w:val="28"/>
      <w:sz w:val="24"/>
      <w:szCs w:val="20"/>
    </w:rPr>
  </w:style>
  <w:style w:type="paragraph" w:customStyle="1" w:styleId="295">
    <w:name w:val="正文4"/>
    <w:basedOn w:val="1"/>
    <w:qFormat/>
    <w:uiPriority w:val="0"/>
    <w:pPr>
      <w:widowControl/>
      <w:adjustRightInd w:val="0"/>
      <w:snapToGrid w:val="0"/>
      <w:spacing w:line="360" w:lineRule="auto"/>
      <w:ind w:firstLine="480" w:firstLineChars="200"/>
      <w:jc w:val="left"/>
    </w:pPr>
    <w:rPr>
      <w:rFonts w:ascii="Times New Roman" w:hAnsi="Times New Roman" w:cs="Times New Roman"/>
      <w:color w:val="000000"/>
      <w:kern w:val="28"/>
      <w:sz w:val="24"/>
      <w:szCs w:val="24"/>
    </w:rPr>
  </w:style>
  <w:style w:type="paragraph" w:customStyle="1" w:styleId="296">
    <w:name w:val="正文3"/>
    <w:basedOn w:val="1"/>
    <w:qFormat/>
    <w:uiPriority w:val="0"/>
    <w:pPr>
      <w:widowControl/>
      <w:autoSpaceDE w:val="0"/>
      <w:autoSpaceDN w:val="0"/>
      <w:adjustRightInd w:val="0"/>
      <w:snapToGrid w:val="0"/>
      <w:spacing w:line="360" w:lineRule="auto"/>
      <w:ind w:firstLine="480"/>
      <w:jc w:val="left"/>
    </w:pPr>
    <w:rPr>
      <w:rFonts w:ascii="Times New Roman" w:hAnsi="Times New Roman" w:cs="Times New Roman"/>
      <w:kern w:val="0"/>
      <w:sz w:val="24"/>
      <w:szCs w:val="24"/>
    </w:rPr>
  </w:style>
  <w:style w:type="paragraph" w:customStyle="1" w:styleId="297">
    <w:name w:val="Char Char Char Char Char Char Char"/>
    <w:basedOn w:val="1"/>
    <w:qFormat/>
    <w:uiPriority w:val="0"/>
    <w:pPr>
      <w:adjustRightInd w:val="0"/>
      <w:snapToGrid w:val="0"/>
      <w:spacing w:line="360" w:lineRule="auto"/>
      <w:ind w:firstLine="2971" w:firstLineChars="1057"/>
    </w:pPr>
    <w:rPr>
      <w:rFonts w:ascii="Times New Roman" w:hAnsi="Times New Roman" w:cs="Times New Roman"/>
      <w:color w:val="FF0000"/>
      <w:sz w:val="24"/>
      <w:szCs w:val="24"/>
    </w:rPr>
  </w:style>
  <w:style w:type="paragraph" w:customStyle="1" w:styleId="298">
    <w:name w:val="标题3 Char Char Char Char"/>
    <w:basedOn w:val="1"/>
    <w:qFormat/>
    <w:uiPriority w:val="0"/>
    <w:pPr>
      <w:adjustRightInd w:val="0"/>
      <w:snapToGrid w:val="0"/>
      <w:spacing w:after="156" w:afterLines="50" w:line="560" w:lineRule="exact"/>
    </w:pPr>
    <w:rPr>
      <w:rFonts w:ascii="Times New Roman" w:hAnsi="Times New Roman" w:eastAsia="黑体" w:cs="Times New Roman"/>
      <w:sz w:val="30"/>
      <w:szCs w:val="30"/>
    </w:rPr>
  </w:style>
  <w:style w:type="paragraph" w:customStyle="1" w:styleId="299">
    <w:name w:val="Char Char2 Char Char Char Char"/>
    <w:basedOn w:val="1"/>
    <w:qFormat/>
    <w:uiPriority w:val="0"/>
    <w:pPr>
      <w:adjustRightInd w:val="0"/>
      <w:snapToGrid w:val="0"/>
      <w:spacing w:after="156" w:afterLines="50" w:line="560" w:lineRule="exact"/>
    </w:pPr>
    <w:rPr>
      <w:rFonts w:ascii="Times New Roman" w:hAnsi="Times New Roman" w:eastAsia="黑体" w:cs="Times New Roman"/>
      <w:sz w:val="30"/>
      <w:szCs w:val="30"/>
    </w:rPr>
  </w:style>
  <w:style w:type="paragraph" w:customStyle="1" w:styleId="300">
    <w:name w:val="正文文本缩进 22"/>
    <w:basedOn w:val="1"/>
    <w:qFormat/>
    <w:uiPriority w:val="0"/>
    <w:pPr>
      <w:adjustRightInd w:val="0"/>
      <w:snapToGrid w:val="0"/>
      <w:spacing w:after="120" w:line="480" w:lineRule="auto"/>
      <w:ind w:left="420" w:leftChars="200"/>
    </w:pPr>
    <w:rPr>
      <w:rFonts w:ascii="Times New Roman" w:hAnsi="Times New Roman" w:cs="Times New Roman"/>
      <w:sz w:val="27"/>
      <w:szCs w:val="20"/>
    </w:rPr>
  </w:style>
  <w:style w:type="paragraph" w:customStyle="1" w:styleId="301">
    <w:name w:val="表格正文1"/>
    <w:basedOn w:val="166"/>
    <w:qFormat/>
    <w:uiPriority w:val="0"/>
    <w:pPr>
      <w:spacing w:before="20" w:beforeLines="20" w:after="20" w:afterLines="20" w:line="240" w:lineRule="auto"/>
      <w:textAlignment w:val="baseline"/>
    </w:pPr>
    <w:rPr>
      <w:kern w:val="2"/>
      <w:szCs w:val="20"/>
    </w:rPr>
  </w:style>
  <w:style w:type="paragraph" w:customStyle="1" w:styleId="302">
    <w:name w:val="Char Char Char Char"/>
    <w:basedOn w:val="27"/>
    <w:qFormat/>
    <w:uiPriority w:val="0"/>
    <w:pPr>
      <w:widowControl/>
      <w:jc w:val="left"/>
    </w:pPr>
    <w:rPr>
      <w:rFonts w:ascii="Tahoma" w:hAnsi="Tahoma" w:cs="宋体"/>
      <w:kern w:val="0"/>
    </w:rPr>
  </w:style>
  <w:style w:type="paragraph" w:customStyle="1" w:styleId="303">
    <w:name w:val="_Style 29"/>
    <w:basedOn w:val="1"/>
    <w:qFormat/>
    <w:uiPriority w:val="0"/>
    <w:pPr>
      <w:adjustRightInd w:val="0"/>
      <w:snapToGrid w:val="0"/>
      <w:spacing w:after="156" w:afterLines="50" w:line="560" w:lineRule="exact"/>
    </w:pPr>
    <w:rPr>
      <w:rFonts w:ascii="Times New Roman" w:hAnsi="Times New Roman" w:eastAsia="黑体" w:cs="Times New Roman"/>
      <w:sz w:val="30"/>
      <w:szCs w:val="30"/>
    </w:rPr>
  </w:style>
  <w:style w:type="paragraph" w:customStyle="1" w:styleId="304">
    <w:name w:val="表格字体4"/>
    <w:basedOn w:val="132"/>
    <w:qFormat/>
    <w:uiPriority w:val="0"/>
    <w:pPr>
      <w:widowControl/>
    </w:pPr>
    <w:rPr>
      <w:bCs w:val="0"/>
      <w:snapToGrid/>
      <w:color w:val="000000"/>
      <w:kern w:val="28"/>
    </w:rPr>
  </w:style>
  <w:style w:type="paragraph" w:customStyle="1" w:styleId="305">
    <w:name w:val="样式 标题 3 + 行距: 最小值 25 磅"/>
    <w:basedOn w:val="7"/>
    <w:qFormat/>
    <w:uiPriority w:val="0"/>
    <w:pPr>
      <w:keepLines w:val="0"/>
      <w:numPr>
        <w:ilvl w:val="0"/>
        <w:numId w:val="0"/>
      </w:numPr>
      <w:tabs>
        <w:tab w:val="left" w:pos="1890"/>
      </w:tabs>
      <w:spacing w:before="0" w:after="0" w:line="500" w:lineRule="atLeast"/>
      <w:ind w:left="1890" w:hanging="420"/>
    </w:pPr>
    <w:rPr>
      <w:rFonts w:cs="宋体"/>
      <w:sz w:val="28"/>
      <w:szCs w:val="28"/>
    </w:rPr>
  </w:style>
  <w:style w:type="paragraph" w:customStyle="1" w:styleId="306">
    <w:name w:val="表格字体2"/>
    <w:basedOn w:val="1"/>
    <w:qFormat/>
    <w:uiPriority w:val="0"/>
    <w:pPr>
      <w:adjustRightInd w:val="0"/>
      <w:snapToGrid w:val="0"/>
      <w:spacing w:before="62" w:beforeLines="20" w:after="62" w:afterLines="20" w:line="360" w:lineRule="auto"/>
      <w:jc w:val="center"/>
    </w:pPr>
    <w:rPr>
      <w:rFonts w:ascii="Times New Roman" w:hAnsi="Times New Roman" w:cs="Times New Roman"/>
      <w:sz w:val="21"/>
      <w:szCs w:val="21"/>
    </w:rPr>
  </w:style>
  <w:style w:type="paragraph" w:customStyle="1" w:styleId="307">
    <w:name w:val="Char1 Char Char Char Char Char1 Char1"/>
    <w:basedOn w:val="1"/>
    <w:qFormat/>
    <w:uiPriority w:val="0"/>
    <w:pPr>
      <w:adjustRightInd w:val="0"/>
      <w:snapToGrid w:val="0"/>
      <w:spacing w:line="360" w:lineRule="auto"/>
    </w:pPr>
    <w:rPr>
      <w:rFonts w:ascii="Times New Roman" w:hAnsi="Times New Roman" w:cs="Times New Roman"/>
      <w:sz w:val="21"/>
      <w:szCs w:val="21"/>
    </w:rPr>
  </w:style>
  <w:style w:type="paragraph" w:customStyle="1" w:styleId="308">
    <w:name w:val="表头2"/>
    <w:basedOn w:val="153"/>
    <w:link w:val="334"/>
    <w:qFormat/>
    <w:uiPriority w:val="0"/>
    <w:pPr>
      <w:widowControl/>
      <w:adjustRightInd/>
      <w:spacing w:line="240" w:lineRule="auto"/>
      <w:contextualSpacing/>
    </w:pPr>
    <w:rPr>
      <w:b/>
      <w:snapToGrid w:val="0"/>
      <w:color w:val="000000"/>
      <w:kern w:val="28"/>
      <w:sz w:val="24"/>
      <w:szCs w:val="24"/>
    </w:rPr>
  </w:style>
  <w:style w:type="paragraph" w:customStyle="1" w:styleId="309">
    <w:name w:val="Char Char2"/>
    <w:basedOn w:val="1"/>
    <w:qFormat/>
    <w:uiPriority w:val="0"/>
    <w:pPr>
      <w:adjustRightInd w:val="0"/>
      <w:snapToGrid w:val="0"/>
      <w:spacing w:after="156" w:afterLines="50" w:line="560" w:lineRule="exact"/>
    </w:pPr>
    <w:rPr>
      <w:rFonts w:ascii="Times New Roman" w:hAnsi="Times New Roman" w:eastAsia="黑体" w:cs="Times New Roman"/>
      <w:sz w:val="30"/>
      <w:szCs w:val="30"/>
    </w:rPr>
  </w:style>
  <w:style w:type="character" w:customStyle="1" w:styleId="310">
    <w:name w:val="标题 4 Char"/>
    <w:semiHidden/>
    <w:qFormat/>
    <w:uiPriority w:val="9"/>
    <w:rPr>
      <w:rFonts w:ascii="Cambria" w:hAnsi="Cambria" w:eastAsia="宋体" w:cs="Times New Roman"/>
      <w:b/>
      <w:bCs/>
      <w:color w:val="000000"/>
      <w:kern w:val="28"/>
      <w:sz w:val="28"/>
      <w:szCs w:val="28"/>
    </w:rPr>
  </w:style>
  <w:style w:type="character" w:customStyle="1" w:styleId="311">
    <w:name w:val="纯文本 Char2"/>
    <w:semiHidden/>
    <w:qFormat/>
    <w:uiPriority w:val="99"/>
    <w:rPr>
      <w:rFonts w:ascii="宋体" w:hAnsi="Courier New" w:eastAsia="宋体" w:cs="Courier New"/>
      <w:color w:val="000000"/>
      <w:kern w:val="28"/>
      <w:szCs w:val="21"/>
    </w:rPr>
  </w:style>
  <w:style w:type="paragraph" w:customStyle="1" w:styleId="312">
    <w:name w:val="正文4-4"/>
    <w:basedOn w:val="1"/>
    <w:qFormat/>
    <w:uiPriority w:val="0"/>
    <w:pPr>
      <w:autoSpaceDE w:val="0"/>
      <w:autoSpaceDN w:val="0"/>
      <w:adjustRightInd w:val="0"/>
      <w:snapToGrid w:val="0"/>
      <w:spacing w:line="360" w:lineRule="auto"/>
      <w:ind w:firstLine="200" w:firstLineChars="200"/>
    </w:pPr>
    <w:rPr>
      <w:rFonts w:ascii="Times New Roman" w:hAnsi="Times New Roman" w:cs="Times New Roman"/>
      <w:color w:val="000000"/>
      <w:kern w:val="0"/>
      <w:sz w:val="24"/>
      <w:szCs w:val="24"/>
    </w:rPr>
  </w:style>
  <w:style w:type="paragraph" w:customStyle="1" w:styleId="313">
    <w:name w:val="论文正文"/>
    <w:basedOn w:val="22"/>
    <w:qFormat/>
    <w:uiPriority w:val="0"/>
    <w:pPr>
      <w:ind w:firstLine="480"/>
    </w:pPr>
    <w:rPr>
      <w:rFonts w:ascii="宋体" w:hAnsi="宋体" w:eastAsia="宋体"/>
      <w:spacing w:val="-6"/>
      <w:kern w:val="0"/>
      <w:sz w:val="28"/>
      <w:szCs w:val="20"/>
      <w:lang w:val="zh-CN"/>
    </w:rPr>
  </w:style>
  <w:style w:type="table" w:customStyle="1" w:styleId="314">
    <w:name w:val="网格型1"/>
    <w:basedOn w:val="87"/>
    <w:qFormat/>
    <w:uiPriority w:val="0"/>
    <w:pPr>
      <w:widowControl w:val="0"/>
      <w:adjustRightInd w:val="0"/>
      <w:snapToGrid w:val="0"/>
      <w:spacing w:beforeLines="20" w:afterLines="20"/>
      <w:jc w:val="both"/>
    </w:pPr>
    <w:rPr>
      <w:rFonts w:ascii="Times New Roman" w:hAnsi="Times New Roman"/>
      <w:snapToGrid w:val="0"/>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jc w:val="center"/>
    </w:trPr>
    <w:tcPr>
      <w:vAlign w:val="center"/>
    </w:tcPr>
  </w:style>
  <w:style w:type="paragraph" w:customStyle="1" w:styleId="315">
    <w:name w:val="YJ 1级"/>
    <w:basedOn w:val="1"/>
    <w:link w:val="316"/>
    <w:qFormat/>
    <w:uiPriority w:val="0"/>
    <w:pPr>
      <w:adjustRightInd w:val="0"/>
      <w:snapToGrid w:val="0"/>
      <w:spacing w:before="120" w:beforeLines="50" w:line="360" w:lineRule="auto"/>
      <w:outlineLvl w:val="1"/>
    </w:pPr>
    <w:rPr>
      <w:rFonts w:ascii="Times New Roman" w:hAnsi="Times New Roman" w:eastAsia="方正小标宋_GBK" w:cs="Times New Roman"/>
      <w:b/>
      <w:bCs/>
      <w:snapToGrid w:val="0"/>
      <w:kern w:val="0"/>
      <w:sz w:val="30"/>
      <w:szCs w:val="32"/>
      <w:lang w:val="zh-CN"/>
    </w:rPr>
  </w:style>
  <w:style w:type="character" w:customStyle="1" w:styleId="316">
    <w:name w:val="YJ 1级 字符"/>
    <w:link w:val="315"/>
    <w:qFormat/>
    <w:uiPriority w:val="0"/>
    <w:rPr>
      <w:rFonts w:ascii="Times New Roman" w:hAnsi="Times New Roman" w:eastAsia="方正小标宋_GBK" w:cs="Times New Roman"/>
      <w:b/>
      <w:bCs/>
      <w:snapToGrid w:val="0"/>
      <w:kern w:val="0"/>
      <w:sz w:val="30"/>
      <w:szCs w:val="32"/>
      <w:lang w:val="zh-CN" w:eastAsia="zh-CN"/>
    </w:rPr>
  </w:style>
  <w:style w:type="paragraph" w:customStyle="1" w:styleId="317">
    <w:name w:val="YJ 2级"/>
    <w:basedOn w:val="1"/>
    <w:link w:val="318"/>
    <w:qFormat/>
    <w:uiPriority w:val="0"/>
    <w:pPr>
      <w:tabs>
        <w:tab w:val="left" w:pos="0"/>
      </w:tabs>
      <w:adjustRightInd w:val="0"/>
      <w:snapToGrid w:val="0"/>
      <w:spacing w:before="120" w:beforeLines="50" w:line="360" w:lineRule="auto"/>
      <w:outlineLvl w:val="2"/>
    </w:pPr>
    <w:rPr>
      <w:rFonts w:ascii="Times New Roman" w:hAnsi="Times New Roman" w:cs="Times New Roman"/>
      <w:b/>
      <w:bCs/>
      <w:snapToGrid w:val="0"/>
      <w:kern w:val="0"/>
      <w:sz w:val="24"/>
      <w:szCs w:val="28"/>
      <w:lang w:val="zh-CN"/>
    </w:rPr>
  </w:style>
  <w:style w:type="character" w:customStyle="1" w:styleId="318">
    <w:name w:val="YJ 2级 字符"/>
    <w:link w:val="317"/>
    <w:qFormat/>
    <w:uiPriority w:val="0"/>
    <w:rPr>
      <w:rFonts w:ascii="Times New Roman" w:hAnsi="Times New Roman" w:eastAsia="宋体" w:cs="Times New Roman"/>
      <w:b/>
      <w:bCs/>
      <w:snapToGrid w:val="0"/>
      <w:kern w:val="0"/>
      <w:sz w:val="24"/>
      <w:szCs w:val="28"/>
      <w:lang w:val="zh-CN" w:eastAsia="zh-CN"/>
    </w:rPr>
  </w:style>
  <w:style w:type="paragraph" w:customStyle="1" w:styleId="319">
    <w:name w:val="YJ 3级"/>
    <w:basedOn w:val="317"/>
    <w:link w:val="320"/>
    <w:qFormat/>
    <w:uiPriority w:val="0"/>
    <w:pPr>
      <w:spacing w:before="0" w:beforeLines="0"/>
      <w:ind w:firstLine="200" w:firstLineChars="200"/>
      <w:outlineLvl w:val="3"/>
    </w:pPr>
    <w:rPr>
      <w:szCs w:val="24"/>
    </w:rPr>
  </w:style>
  <w:style w:type="character" w:customStyle="1" w:styleId="320">
    <w:name w:val="YJ 3级 字符"/>
    <w:link w:val="319"/>
    <w:qFormat/>
    <w:uiPriority w:val="0"/>
    <w:rPr>
      <w:rFonts w:ascii="Times New Roman" w:hAnsi="Times New Roman" w:eastAsia="宋体" w:cs="Times New Roman"/>
      <w:b/>
      <w:bCs/>
      <w:snapToGrid w:val="0"/>
      <w:kern w:val="0"/>
      <w:sz w:val="24"/>
      <w:szCs w:val="24"/>
      <w:lang w:val="zh-CN" w:eastAsia="zh-CN"/>
    </w:rPr>
  </w:style>
  <w:style w:type="paragraph" w:customStyle="1" w:styleId="321">
    <w:name w:val="YJ表格标题"/>
    <w:basedOn w:val="1"/>
    <w:link w:val="322"/>
    <w:qFormat/>
    <w:uiPriority w:val="0"/>
    <w:pPr>
      <w:widowControl/>
      <w:adjustRightInd w:val="0"/>
      <w:snapToGrid w:val="0"/>
      <w:spacing w:before="30" w:beforeLines="30" w:after="30" w:afterLines="30" w:line="360" w:lineRule="auto"/>
      <w:contextualSpacing/>
      <w:jc w:val="center"/>
    </w:pPr>
    <w:rPr>
      <w:rFonts w:ascii="Times New Roman" w:hAnsi="Times New Roman" w:cs="Times New Roman"/>
      <w:b/>
      <w:snapToGrid w:val="0"/>
      <w:color w:val="000000"/>
      <w:kern w:val="28"/>
      <w:sz w:val="24"/>
      <w:szCs w:val="24"/>
    </w:rPr>
  </w:style>
  <w:style w:type="character" w:customStyle="1" w:styleId="322">
    <w:name w:val="YJ表格标题 字符"/>
    <w:link w:val="321"/>
    <w:qFormat/>
    <w:uiPriority w:val="0"/>
    <w:rPr>
      <w:rFonts w:ascii="Times New Roman" w:hAnsi="Times New Roman" w:eastAsia="宋体" w:cs="Times New Roman"/>
      <w:b/>
      <w:snapToGrid w:val="0"/>
      <w:color w:val="000000"/>
      <w:kern w:val="28"/>
      <w:sz w:val="24"/>
      <w:szCs w:val="24"/>
    </w:rPr>
  </w:style>
  <w:style w:type="paragraph" w:customStyle="1" w:styleId="323">
    <w:name w:val="YJ表格字体"/>
    <w:basedOn w:val="1"/>
    <w:link w:val="324"/>
    <w:qFormat/>
    <w:uiPriority w:val="0"/>
    <w:pPr>
      <w:widowControl/>
      <w:adjustRightInd w:val="0"/>
      <w:snapToGrid w:val="0"/>
      <w:spacing w:before="20" w:beforeLines="20" w:after="20" w:afterLines="20"/>
      <w:jc w:val="center"/>
    </w:pPr>
    <w:rPr>
      <w:rFonts w:ascii="Times New Roman" w:hAnsi="Times New Roman" w:cs="Times New Roman"/>
      <w:color w:val="000000"/>
      <w:kern w:val="28"/>
      <w:sz w:val="21"/>
      <w:szCs w:val="21"/>
    </w:rPr>
  </w:style>
  <w:style w:type="character" w:customStyle="1" w:styleId="324">
    <w:name w:val="YJ表格字体 字符"/>
    <w:link w:val="323"/>
    <w:qFormat/>
    <w:uiPriority w:val="0"/>
    <w:rPr>
      <w:rFonts w:ascii="Times New Roman" w:hAnsi="Times New Roman" w:eastAsia="宋体" w:cs="Times New Roman"/>
      <w:color w:val="000000"/>
      <w:kern w:val="28"/>
      <w:szCs w:val="21"/>
    </w:rPr>
  </w:style>
  <w:style w:type="paragraph" w:customStyle="1" w:styleId="325">
    <w:name w:val="YJ三级"/>
    <w:basedOn w:val="8"/>
    <w:link w:val="326"/>
    <w:qFormat/>
    <w:uiPriority w:val="0"/>
    <w:pPr>
      <w:widowControl/>
      <w:tabs>
        <w:tab w:val="clear" w:pos="864"/>
      </w:tabs>
      <w:ind w:left="0" w:firstLine="0"/>
      <w:jc w:val="left"/>
    </w:pPr>
    <w:rPr>
      <w:rFonts w:ascii="Times New Roman" w:hAnsi="Times New Roman" w:eastAsia="宋体"/>
      <w:color w:val="000000"/>
      <w:kern w:val="28"/>
      <w:lang w:val="zh-CN"/>
    </w:rPr>
  </w:style>
  <w:style w:type="character" w:customStyle="1" w:styleId="326">
    <w:name w:val="YJ三级 字符"/>
    <w:link w:val="325"/>
    <w:qFormat/>
    <w:uiPriority w:val="0"/>
    <w:rPr>
      <w:rFonts w:ascii="Times New Roman" w:hAnsi="Times New Roman" w:eastAsia="宋体" w:cs="Times New Roman"/>
      <w:b/>
      <w:bCs/>
      <w:color w:val="000000"/>
      <w:kern w:val="28"/>
      <w:sz w:val="24"/>
      <w:szCs w:val="28"/>
      <w:lang w:val="zh-CN" w:eastAsia="zh-CN"/>
    </w:rPr>
  </w:style>
  <w:style w:type="character" w:customStyle="1" w:styleId="327">
    <w:name w:val="页脚 Char1"/>
    <w:semiHidden/>
    <w:qFormat/>
    <w:uiPriority w:val="99"/>
    <w:rPr>
      <w:rFonts w:ascii="宋体" w:hAnsi="宋体" w:eastAsia="宋体" w:cs="宋体"/>
      <w:color w:val="000000"/>
      <w:kern w:val="28"/>
      <w:sz w:val="18"/>
      <w:szCs w:val="18"/>
    </w:rPr>
  </w:style>
  <w:style w:type="character" w:customStyle="1" w:styleId="328">
    <w:name w:val="正文文本缩进 2 Char1"/>
    <w:semiHidden/>
    <w:qFormat/>
    <w:uiPriority w:val="99"/>
    <w:rPr>
      <w:rFonts w:ascii="宋体" w:hAnsi="宋体" w:eastAsia="宋体" w:cs="宋体"/>
      <w:color w:val="000000"/>
      <w:kern w:val="28"/>
      <w:sz w:val="24"/>
      <w:szCs w:val="24"/>
    </w:rPr>
  </w:style>
  <w:style w:type="character" w:customStyle="1" w:styleId="329">
    <w:name w:val="批注文字 Char1"/>
    <w:semiHidden/>
    <w:qFormat/>
    <w:uiPriority w:val="99"/>
    <w:rPr>
      <w:rFonts w:ascii="宋体" w:hAnsi="宋体" w:eastAsia="宋体" w:cs="宋体"/>
      <w:color w:val="000000"/>
      <w:kern w:val="28"/>
      <w:sz w:val="24"/>
      <w:szCs w:val="24"/>
    </w:rPr>
  </w:style>
  <w:style w:type="character" w:customStyle="1" w:styleId="330">
    <w:name w:val="正文文本 Char1"/>
    <w:semiHidden/>
    <w:qFormat/>
    <w:uiPriority w:val="99"/>
    <w:rPr>
      <w:rFonts w:ascii="宋体" w:hAnsi="宋体" w:eastAsia="宋体" w:cs="宋体"/>
      <w:color w:val="000000"/>
      <w:kern w:val="28"/>
      <w:sz w:val="24"/>
      <w:szCs w:val="24"/>
    </w:rPr>
  </w:style>
  <w:style w:type="character" w:customStyle="1" w:styleId="331">
    <w:name w:val="页眉 Char"/>
    <w:qFormat/>
    <w:uiPriority w:val="0"/>
    <w:rPr>
      <w:rFonts w:ascii="宋体" w:hAnsi="宋体" w:eastAsia="宋体" w:cs="宋体"/>
      <w:color w:val="000000"/>
      <w:kern w:val="28"/>
      <w:sz w:val="18"/>
      <w:szCs w:val="18"/>
    </w:rPr>
  </w:style>
  <w:style w:type="character" w:customStyle="1" w:styleId="332">
    <w:name w:val="company-content"/>
    <w:qFormat/>
    <w:uiPriority w:val="0"/>
    <w:rPr>
      <w:rFonts w:cs="Times New Roman"/>
      <w:sz w:val="24"/>
    </w:rPr>
  </w:style>
  <w:style w:type="character" w:customStyle="1" w:styleId="333">
    <w:name w:val="表格 字符"/>
    <w:link w:val="153"/>
    <w:qFormat/>
    <w:uiPriority w:val="0"/>
    <w:rPr>
      <w:rFonts w:ascii="Times New Roman" w:hAnsi="Times New Roman" w:eastAsia="宋体" w:cs="Times New Roman"/>
      <w:szCs w:val="21"/>
    </w:rPr>
  </w:style>
  <w:style w:type="character" w:customStyle="1" w:styleId="334">
    <w:name w:val="表头2 字符"/>
    <w:link w:val="308"/>
    <w:qFormat/>
    <w:uiPriority w:val="0"/>
    <w:rPr>
      <w:rFonts w:ascii="Times New Roman" w:hAnsi="Times New Roman" w:eastAsia="宋体" w:cs="Times New Roman"/>
      <w:b/>
      <w:snapToGrid w:val="0"/>
      <w:color w:val="000000"/>
      <w:kern w:val="28"/>
      <w:sz w:val="24"/>
      <w:szCs w:val="24"/>
    </w:rPr>
  </w:style>
  <w:style w:type="table" w:customStyle="1" w:styleId="335">
    <w:name w:val="标准表格"/>
    <w:basedOn w:val="87"/>
    <w:qFormat/>
    <w:uiPriority w:val="99"/>
    <w:pPr>
      <w:spacing w:before="74"/>
      <w:jc w:val="center"/>
    </w:pPr>
    <w:rPr>
      <w:rFonts w:ascii="Times New Roman" w:hAnsi="Times New Roman"/>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336">
    <w:name w:val="YJ正文"/>
    <w:basedOn w:val="1"/>
    <w:link w:val="337"/>
    <w:qFormat/>
    <w:uiPriority w:val="0"/>
    <w:pPr>
      <w:widowControl/>
      <w:overflowPunct w:val="0"/>
      <w:adjustRightInd w:val="0"/>
      <w:snapToGrid w:val="0"/>
      <w:spacing w:line="360" w:lineRule="auto"/>
      <w:ind w:firstLine="480" w:firstLineChars="200"/>
      <w:jc w:val="left"/>
    </w:pPr>
    <w:rPr>
      <w:rFonts w:ascii="Times New Roman" w:hAnsi="Times New Roman" w:cs="Times New Roman"/>
      <w:color w:val="000000"/>
      <w:kern w:val="28"/>
      <w:sz w:val="24"/>
      <w:szCs w:val="24"/>
    </w:rPr>
  </w:style>
  <w:style w:type="character" w:customStyle="1" w:styleId="337">
    <w:name w:val="YJ正文 字符"/>
    <w:link w:val="336"/>
    <w:qFormat/>
    <w:uiPriority w:val="0"/>
    <w:rPr>
      <w:rFonts w:ascii="Times New Roman" w:hAnsi="Times New Roman" w:eastAsia="宋体" w:cs="Times New Roman"/>
      <w:color w:val="000000"/>
      <w:kern w:val="28"/>
      <w:sz w:val="24"/>
      <w:szCs w:val="24"/>
    </w:rPr>
  </w:style>
  <w:style w:type="paragraph" w:customStyle="1" w:styleId="338">
    <w:name w:val="YJ表格"/>
    <w:basedOn w:val="1"/>
    <w:link w:val="339"/>
    <w:qFormat/>
    <w:uiPriority w:val="0"/>
    <w:pPr>
      <w:adjustRightInd w:val="0"/>
      <w:snapToGrid w:val="0"/>
      <w:spacing w:line="360" w:lineRule="auto"/>
      <w:jc w:val="center"/>
    </w:pPr>
    <w:rPr>
      <w:rFonts w:ascii="Times New Roman" w:hAnsi="Times New Roman" w:cs="Times New Roman"/>
      <w:bCs/>
      <w:sz w:val="21"/>
      <w:szCs w:val="21"/>
    </w:rPr>
  </w:style>
  <w:style w:type="character" w:customStyle="1" w:styleId="339">
    <w:name w:val="YJ表格 字符"/>
    <w:link w:val="338"/>
    <w:qFormat/>
    <w:uiPriority w:val="0"/>
    <w:rPr>
      <w:rFonts w:ascii="Times New Roman" w:hAnsi="Times New Roman" w:eastAsia="宋体" w:cs="Times New Roman"/>
      <w:bCs/>
      <w:szCs w:val="21"/>
    </w:rPr>
  </w:style>
  <w:style w:type="paragraph" w:customStyle="1" w:styleId="340">
    <w:name w:val="表格、图标题"/>
    <w:basedOn w:val="1"/>
    <w:link w:val="341"/>
    <w:qFormat/>
    <w:uiPriority w:val="0"/>
    <w:pPr>
      <w:adjustRightInd w:val="0"/>
      <w:snapToGrid w:val="0"/>
      <w:spacing w:line="360" w:lineRule="auto"/>
      <w:jc w:val="center"/>
    </w:pPr>
    <w:rPr>
      <w:rFonts w:ascii="Times New Roman" w:hAnsi="Times New Roman" w:cs="Times New Roman"/>
      <w:b/>
      <w:sz w:val="24"/>
      <w:szCs w:val="24"/>
    </w:rPr>
  </w:style>
  <w:style w:type="character" w:customStyle="1" w:styleId="341">
    <w:name w:val="表格、图标题 字符"/>
    <w:link w:val="340"/>
    <w:qFormat/>
    <w:uiPriority w:val="0"/>
    <w:rPr>
      <w:rFonts w:ascii="Times New Roman" w:hAnsi="Times New Roman" w:eastAsia="宋体" w:cs="Times New Roman"/>
      <w:b/>
      <w:sz w:val="24"/>
      <w:szCs w:val="24"/>
    </w:rPr>
  </w:style>
  <w:style w:type="paragraph" w:customStyle="1" w:styleId="342">
    <w:name w:val="YJ表格标题1"/>
    <w:basedOn w:val="321"/>
    <w:link w:val="343"/>
    <w:qFormat/>
    <w:uiPriority w:val="0"/>
    <w:pPr>
      <w:spacing w:before="0" w:beforeLines="0" w:after="0" w:afterLines="0"/>
    </w:pPr>
  </w:style>
  <w:style w:type="character" w:customStyle="1" w:styleId="343">
    <w:name w:val="YJ表格标题1 字符"/>
    <w:basedOn w:val="322"/>
    <w:link w:val="342"/>
    <w:qFormat/>
    <w:uiPriority w:val="0"/>
    <w:rPr>
      <w:rFonts w:ascii="Times New Roman" w:hAnsi="Times New Roman" w:eastAsia="宋体" w:cs="Times New Roman"/>
      <w:snapToGrid w:val="0"/>
      <w:color w:val="000000"/>
      <w:kern w:val="28"/>
      <w:sz w:val="24"/>
      <w:szCs w:val="24"/>
    </w:rPr>
  </w:style>
  <w:style w:type="character" w:customStyle="1" w:styleId="344">
    <w:name w:val="标题 字符1"/>
    <w:basedOn w:val="90"/>
    <w:link w:val="83"/>
    <w:qFormat/>
    <w:uiPriority w:val="10"/>
    <w:rPr>
      <w:rFonts w:asciiTheme="majorHAnsi" w:hAnsiTheme="majorHAnsi" w:eastAsiaTheme="majorEastAsia" w:cstheme="majorBidi"/>
      <w:b/>
      <w:bCs/>
      <w:sz w:val="32"/>
      <w:szCs w:val="32"/>
    </w:rPr>
  </w:style>
  <w:style w:type="paragraph" w:customStyle="1" w:styleId="345">
    <w:name w:val="报告表表头KX"/>
    <w:basedOn w:val="263"/>
    <w:link w:val="347"/>
    <w:qFormat/>
    <w:uiPriority w:val="0"/>
    <w:rPr>
      <w:b/>
      <w:bCs/>
      <w:sz w:val="32"/>
      <w:szCs w:val="32"/>
    </w:rPr>
  </w:style>
  <w:style w:type="character" w:customStyle="1" w:styleId="346">
    <w:name w:val="Table Paragraph 字符"/>
    <w:basedOn w:val="90"/>
    <w:link w:val="263"/>
    <w:qFormat/>
    <w:uiPriority w:val="1"/>
    <w:rPr>
      <w:rFonts w:eastAsia="宋体"/>
      <w:kern w:val="0"/>
      <w:sz w:val="22"/>
      <w:lang w:eastAsia="en-US"/>
    </w:rPr>
  </w:style>
  <w:style w:type="character" w:customStyle="1" w:styleId="347">
    <w:name w:val="报告表表头KX 字符"/>
    <w:basedOn w:val="346"/>
    <w:link w:val="345"/>
    <w:qFormat/>
    <w:uiPriority w:val="0"/>
    <w:rPr>
      <w:rFonts w:eastAsia="宋体"/>
      <w:b/>
      <w:bCs/>
      <w:kern w:val="0"/>
      <w:sz w:val="32"/>
      <w:szCs w:val="32"/>
      <w:lang w:eastAsia="en-US"/>
    </w:rPr>
  </w:style>
  <w:style w:type="character" w:styleId="348">
    <w:name w:val="Placeholder Text"/>
    <w:basedOn w:val="90"/>
    <w:semiHidden/>
    <w:qFormat/>
    <w:uiPriority w:val="99"/>
    <w:rPr>
      <w:color w:val="808080"/>
    </w:rPr>
  </w:style>
  <w:style w:type="paragraph" w:customStyle="1" w:styleId="349">
    <w:name w:val="五级大纲KX"/>
    <w:basedOn w:val="1"/>
    <w:link w:val="350"/>
    <w:qFormat/>
    <w:uiPriority w:val="0"/>
    <w:pPr>
      <w:numPr>
        <w:ilvl w:val="0"/>
        <w:numId w:val="17"/>
      </w:numPr>
      <w:snapToGrid w:val="0"/>
      <w:spacing w:line="360" w:lineRule="auto"/>
      <w:outlineLvl w:val="4"/>
    </w:pPr>
    <w:rPr>
      <w:rFonts w:ascii="Times New Roman" w:hAnsi="Times New Roman"/>
      <w:b/>
      <w:sz w:val="24"/>
    </w:rPr>
  </w:style>
  <w:style w:type="character" w:customStyle="1" w:styleId="350">
    <w:name w:val="五级大纲KX 字符"/>
    <w:basedOn w:val="136"/>
    <w:link w:val="349"/>
    <w:qFormat/>
    <w:uiPriority w:val="0"/>
    <w:rPr>
      <w:rFonts w:ascii="Times New Roman" w:hAnsi="Times New Roman" w:eastAsia="宋体" w:cs="Calibri"/>
      <w:b/>
      <w:bCs w:val="0"/>
      <w:snapToGrid/>
      <w:spacing w:val="-2"/>
      <w:kern w:val="0"/>
      <w:sz w:val="24"/>
      <w:szCs w:val="24"/>
    </w:rPr>
  </w:style>
  <w:style w:type="paragraph" w:customStyle="1" w:styleId="351">
    <w:name w:val="表格（吴）"/>
    <w:qFormat/>
    <w:uiPriority w:val="0"/>
    <w:pPr>
      <w:spacing w:before="20" w:beforeLines="20" w:after="20" w:afterLines="20"/>
      <w:jc w:val="center"/>
    </w:pPr>
    <w:rPr>
      <w:rFonts w:ascii="Times New Roman" w:hAnsi="Times New Roman" w:eastAsia="宋体" w:cs="Times New Roman"/>
      <w:snapToGrid w:val="0"/>
      <w:sz w:val="21"/>
      <w:lang w:val="en-US" w:eastAsia="zh-CN" w:bidi="ar-SA"/>
    </w:rPr>
  </w:style>
  <w:style w:type="paragraph" w:customStyle="1" w:styleId="352">
    <w:name w:val="WPSOffice手动目录 1"/>
    <w:qFormat/>
    <w:uiPriority w:val="0"/>
    <w:pPr>
      <w:ind w:leftChars="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emf"/><Relationship Id="rId26" Type="http://schemas.openxmlformats.org/officeDocument/2006/relationships/oleObject" Target="embeddings/oleObject8.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emf"/><Relationship Id="rId21" Type="http://schemas.openxmlformats.org/officeDocument/2006/relationships/oleObject" Target="embeddings/oleObject7.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C36B00-054D-4E86-AB24-3EBC8B18141C}">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14368</Words>
  <Characters>81899</Characters>
  <Lines>682</Lines>
  <Paragraphs>192</Paragraphs>
  <TotalTime>13</TotalTime>
  <ScaleCrop>false</ScaleCrop>
  <LinksUpToDate>false</LinksUpToDate>
  <CharactersWithSpaces>96075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2020-08-28T05:37:00Z</dcterms:created>
  <dc:creator>administrator</dc:creator>
  <cp:lastModifiedBy>良木</cp:lastModifiedBy>
  <dcterms:modified xsi:type="dcterms:W3CDTF">2020-12-28T06:33:45Z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