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57" w:lineRule="auto"/>
        <w:jc w:val="center"/>
        <w:rPr>
          <w:rFonts w:ascii="黑体" w:hAnsi="黑体" w:eastAsia="黑体"/>
          <w:b/>
          <w:bCs/>
          <w:spacing w:val="-6"/>
          <w:sz w:val="32"/>
          <w:szCs w:val="32"/>
        </w:rPr>
      </w:pPr>
      <w:r>
        <w:rPr>
          <w:rFonts w:hint="eastAsia" w:ascii="黑体" w:hAnsi="黑体" w:eastAsia="黑体"/>
          <w:b/>
          <w:bCs/>
          <w:sz w:val="32"/>
          <w:szCs w:val="32"/>
        </w:rPr>
        <w:t>中石化壳牌（江苏）石油销售有限公司吴江第十二加油站技改项目竣工环境保护验收</w:t>
      </w:r>
      <w:r>
        <w:rPr>
          <w:rFonts w:ascii="黑体" w:hAnsi="黑体" w:eastAsia="黑体"/>
          <w:b/>
          <w:bCs/>
          <w:spacing w:val="-6"/>
          <w:sz w:val="32"/>
          <w:szCs w:val="32"/>
        </w:rPr>
        <w:t>意见</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szCs w:val="28"/>
        </w:rPr>
        <w:t>依据《建设项目环境保护管理条例》（国务院令[2017]第682号）及《建设项目</w:t>
      </w:r>
      <w:r>
        <w:rPr>
          <w:rFonts w:hint="eastAsia" w:ascii="仿宋" w:hAnsi="仿宋"/>
          <w:color w:val="000000" w:themeColor="text1"/>
          <w:szCs w:val="28"/>
          <w14:textFill>
            <w14:solidFill>
              <w14:schemeClr w14:val="tx1"/>
            </w14:solidFill>
          </w14:textFill>
        </w:rPr>
        <w:t>竣工环境保护验收暂行办法》(国环规环评[2017]4号)等的规定，2021年1月2</w:t>
      </w:r>
      <w:r>
        <w:rPr>
          <w:rFonts w:hint="eastAsia" w:ascii="仿宋" w:hAnsi="仿宋"/>
          <w:color w:val="000000" w:themeColor="text1"/>
          <w:szCs w:val="28"/>
          <w:lang w:val="en-US" w:eastAsia="zh-CN"/>
          <w14:textFill>
            <w14:solidFill>
              <w14:schemeClr w14:val="tx1"/>
            </w14:solidFill>
          </w14:textFill>
        </w:rPr>
        <w:t>3</w:t>
      </w:r>
      <w:r>
        <w:rPr>
          <w:rFonts w:hint="eastAsia" w:ascii="仿宋" w:hAnsi="仿宋"/>
          <w:color w:val="000000" w:themeColor="text1"/>
          <w:szCs w:val="28"/>
          <w14:textFill>
            <w14:solidFill>
              <w14:schemeClr w14:val="tx1"/>
            </w14:solidFill>
          </w14:textFill>
        </w:rPr>
        <w:t>日，中石化壳牌（江苏）石油销售有限公司吴江第十二加油站组织验收监测单位（苏州昌禾环境监测有限公司）、验收监测报告表编制单位（苏州绿鹏环保科技有限公司）并邀请三位专家组成(名单附后)组成验收工作组对公司“吴江第十二加油站技改项目”进行竣工环境保护验收。验收工作组依照国家相关法律法规、建设项目竣工环境保护验收技术指南(污染影响类)的要求并对照项目环境影响登记表，开展了该项目的竣工环境保护验收工作，审阅了《中石化壳牌（江苏）石油销售有限公司吴江第十二加油站技改项目竣工环境保护验收监测报告表》(以下简称“验收监测报告表”</w:t>
      </w: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，检查了建设项目现场。验收工作组经认真讨论，提出整改要求及完善意见，现根据整改结果及完善后的“验收监测报告表”，提出竣工环境保护验收意见如下：</w:t>
      </w:r>
    </w:p>
    <w:p>
      <w:pPr>
        <w:shd w:val="clear" w:color="auto" w:fill="FFFFFF"/>
        <w:spacing w:after="0" w:line="320" w:lineRule="exact"/>
        <w:ind w:firstLine="441" w:firstLineChars="157"/>
        <w:jc w:val="both"/>
        <w:rPr>
          <w:rFonts w:ascii="仿宋" w:hAnsi="仿宋"/>
          <w:b/>
          <w:bCs/>
          <w:color w:val="000000" w:themeColor="text1"/>
          <w:szCs w:val="28"/>
          <w14:textFill>
            <w14:solidFill>
              <w14:schemeClr w14:val="tx1"/>
            </w14:solidFill>
          </w14:textFill>
        </w:rPr>
      </w:pPr>
      <w:r>
        <w:rPr>
          <w:rFonts w:hint="eastAsia" w:ascii="仿宋" w:hAnsi="仿宋"/>
          <w:b/>
          <w:bCs/>
          <w:color w:val="000000" w:themeColor="text1"/>
          <w:szCs w:val="28"/>
          <w14:textFill>
            <w14:solidFill>
              <w14:schemeClr w14:val="tx1"/>
            </w14:solidFill>
          </w14:textFill>
        </w:rPr>
        <w:t>一、工程建设基本情况</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(一) 建设地点、规模、主要建设内容</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项目建设地点：江苏省苏州市吴江区震泽镇范家坝村。</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建设规模及主要建设内容：</w:t>
      </w:r>
      <w:r>
        <w:rPr>
          <w:rFonts w:hint="eastAsia" w:ascii="仿宋" w:hAnsi="仿宋"/>
          <w:color w:val="000000" w:themeColor="text1"/>
          <w:szCs w:val="28"/>
          <w:lang w:val="en-US" w:eastAsia="zh-CN"/>
          <w14:textFill>
            <w14:solidFill>
              <w14:schemeClr w14:val="tx1"/>
            </w14:solidFill>
          </w14:textFill>
        </w:rPr>
        <w:t>本项目为技改项目，</w:t>
      </w:r>
      <w:r>
        <w:rPr>
          <w:rFonts w:hint="eastAsia" w:ascii="仿宋" w:hAnsi="仿宋"/>
          <w:color w:val="000000" w:themeColor="text1"/>
          <w:szCs w:val="28"/>
          <w14:textFill>
            <w14:solidFill>
              <w14:schemeClr w14:val="tx1"/>
            </w14:solidFill>
          </w14:textFill>
        </w:rPr>
        <w:t>零售汽油、柴油。主要建设2个汽油储罐、</w:t>
      </w:r>
      <w:r>
        <w:rPr>
          <w:rFonts w:ascii="仿宋" w:hAnsi="仿宋"/>
          <w:color w:val="000000" w:themeColor="text1"/>
          <w:szCs w:val="28"/>
          <w14:textFill>
            <w14:solidFill>
              <w14:schemeClr w14:val="tx1"/>
            </w14:solidFill>
          </w14:textFill>
        </w:rPr>
        <w:t>3</w:t>
      </w:r>
      <w:r>
        <w:rPr>
          <w:rFonts w:hint="eastAsia" w:ascii="仿宋" w:hAnsi="仿宋"/>
          <w:color w:val="000000" w:themeColor="text1"/>
          <w:szCs w:val="28"/>
          <w14:textFill>
            <w14:solidFill>
              <w14:schemeClr w14:val="tx1"/>
            </w14:solidFill>
          </w14:textFill>
        </w:rPr>
        <w:t>个柴油储罐(储罐容积均为30m</w:t>
      </w:r>
      <w:r>
        <w:rPr>
          <w:rFonts w:hint="eastAsia" w:ascii="仿宋" w:hAnsi="仿宋"/>
          <w:color w:val="000000" w:themeColor="text1"/>
          <w:szCs w:val="28"/>
          <w:vertAlign w:val="superscript"/>
          <w14:textFill>
            <w14:solidFill>
              <w14:schemeClr w14:val="tx1"/>
            </w14:solidFill>
          </w14:textFill>
        </w:rPr>
        <w:t>3</w:t>
      </w: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，加油机4台(加油枪</w:t>
      </w:r>
      <w:r>
        <w:rPr>
          <w:rFonts w:ascii="仿宋" w:hAnsi="仿宋"/>
          <w:color w:val="000000" w:themeColor="text1"/>
          <w:szCs w:val="28"/>
          <w14:textFill>
            <w14:solidFill>
              <w14:schemeClr w14:val="tx1"/>
            </w14:solidFill>
          </w14:textFill>
        </w:rPr>
        <w:t>16</w:t>
      </w:r>
      <w:r>
        <w:rPr>
          <w:rFonts w:hint="eastAsia" w:ascii="仿宋" w:hAnsi="仿宋"/>
          <w:color w:val="000000" w:themeColor="text1"/>
          <w:szCs w:val="28"/>
          <w14:textFill>
            <w14:solidFill>
              <w14:schemeClr w14:val="tx1"/>
            </w14:solidFill>
          </w14:textFill>
        </w:rPr>
        <w:t>把)及辅助设施。</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职工数及工作制度：职工10人，年工作</w:t>
      </w:r>
      <w:r>
        <w:rPr>
          <w:rFonts w:ascii="仿宋" w:hAnsi="仿宋"/>
          <w:color w:val="000000" w:themeColor="text1"/>
          <w:szCs w:val="28"/>
          <w14:textFill>
            <w14:solidFill>
              <w14:schemeClr w14:val="tx1"/>
            </w14:solidFill>
          </w14:textFill>
        </w:rPr>
        <w:t>365</w:t>
      </w:r>
      <w:r>
        <w:rPr>
          <w:rFonts w:hint="eastAsia" w:ascii="仿宋" w:hAnsi="仿宋"/>
          <w:color w:val="000000" w:themeColor="text1"/>
          <w:szCs w:val="28"/>
          <w14:textFill>
            <w14:solidFill>
              <w14:schemeClr w14:val="tx1"/>
            </w14:solidFill>
          </w14:textFill>
        </w:rPr>
        <w:t>天，日工作</w:t>
      </w:r>
      <w:r>
        <w:rPr>
          <w:rFonts w:ascii="仿宋" w:hAnsi="仿宋"/>
          <w:color w:val="000000" w:themeColor="text1"/>
          <w:szCs w:val="28"/>
          <w14:textFill>
            <w14:solidFill>
              <w14:schemeClr w14:val="tx1"/>
            </w14:solidFill>
          </w14:textFill>
        </w:rPr>
        <w:t>24</w:t>
      </w:r>
      <w:r>
        <w:rPr>
          <w:rFonts w:hint="eastAsia" w:ascii="仿宋" w:hAnsi="仿宋"/>
          <w:color w:val="000000" w:themeColor="text1"/>
          <w:szCs w:val="28"/>
          <w14:textFill>
            <w14:solidFill>
              <w14:schemeClr w14:val="tx1"/>
            </w14:solidFill>
          </w14:textFill>
        </w:rPr>
        <w:t>小时。</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(二) 环保审批情况及建设过程</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2</w:t>
      </w:r>
      <w:r>
        <w:rPr>
          <w:rFonts w:ascii="仿宋" w:hAnsi="仿宋"/>
          <w:color w:val="000000" w:themeColor="text1"/>
          <w:szCs w:val="28"/>
          <w14:textFill>
            <w14:solidFill>
              <w14:schemeClr w14:val="tx1"/>
            </w14:solidFill>
          </w14:textFill>
        </w:rPr>
        <w:t>018</w:t>
      </w:r>
      <w:r>
        <w:rPr>
          <w:rFonts w:hint="eastAsia" w:ascii="仿宋" w:hAnsi="仿宋"/>
          <w:color w:val="000000" w:themeColor="text1"/>
          <w:szCs w:val="28"/>
          <w14:textFill>
            <w14:solidFill>
              <w14:schemeClr w14:val="tx1"/>
            </w14:solidFill>
          </w14:textFill>
        </w:rPr>
        <w:t>年1</w:t>
      </w:r>
      <w:r>
        <w:rPr>
          <w:rFonts w:ascii="仿宋" w:hAnsi="仿宋"/>
          <w:color w:val="000000" w:themeColor="text1"/>
          <w:szCs w:val="28"/>
          <w14:textFill>
            <w14:solidFill>
              <w14:schemeClr w14:val="tx1"/>
            </w14:solidFill>
          </w14:textFill>
        </w:rPr>
        <w:t>0</w:t>
      </w:r>
      <w:r>
        <w:rPr>
          <w:rFonts w:hint="eastAsia" w:ascii="仿宋" w:hAnsi="仿宋"/>
          <w:color w:val="000000" w:themeColor="text1"/>
          <w:szCs w:val="28"/>
          <w14:textFill>
            <w14:solidFill>
              <w14:schemeClr w14:val="tx1"/>
            </w14:solidFill>
          </w14:textFill>
        </w:rPr>
        <w:t>月填报项目环境影响登记表，备案号为</w:t>
      </w:r>
      <w:r>
        <w:rPr>
          <w:rFonts w:ascii="仿宋" w:hAnsi="仿宋"/>
          <w:color w:val="000000" w:themeColor="text1"/>
          <w:szCs w:val="28"/>
          <w14:textFill>
            <w14:solidFill>
              <w14:schemeClr w14:val="tx1"/>
            </w14:solidFill>
          </w14:textFill>
        </w:rPr>
        <w:t>201832058400001338</w:t>
      </w:r>
      <w:r>
        <w:rPr>
          <w:rFonts w:hint="eastAsia" w:ascii="仿宋" w:hAnsi="仿宋"/>
          <w:color w:val="000000" w:themeColor="text1"/>
          <w:szCs w:val="28"/>
          <w14:textFill>
            <w14:solidFill>
              <w14:schemeClr w14:val="tx1"/>
            </w14:solidFill>
          </w14:textFill>
        </w:rPr>
        <w:t>。2</w:t>
      </w:r>
      <w:r>
        <w:rPr>
          <w:rFonts w:ascii="仿宋" w:hAnsi="仿宋"/>
          <w:color w:val="000000" w:themeColor="text1"/>
          <w:szCs w:val="28"/>
          <w14:textFill>
            <w14:solidFill>
              <w14:schemeClr w14:val="tx1"/>
            </w14:solidFill>
          </w14:textFill>
        </w:rPr>
        <w:t>018</w:t>
      </w:r>
      <w:r>
        <w:rPr>
          <w:rFonts w:hint="eastAsia" w:ascii="仿宋" w:hAnsi="仿宋"/>
          <w:color w:val="000000" w:themeColor="text1"/>
          <w:szCs w:val="28"/>
          <w14:textFill>
            <w14:solidFill>
              <w14:schemeClr w14:val="tx1"/>
            </w14:solidFill>
          </w14:textFill>
        </w:rPr>
        <w:t>年1</w:t>
      </w:r>
      <w:r>
        <w:rPr>
          <w:rFonts w:ascii="仿宋" w:hAnsi="仿宋"/>
          <w:color w:val="000000" w:themeColor="text1"/>
          <w:szCs w:val="28"/>
          <w14:textFill>
            <w14:solidFill>
              <w14:schemeClr w14:val="tx1"/>
            </w14:solidFill>
          </w14:textFill>
        </w:rPr>
        <w:t>1</w:t>
      </w:r>
      <w:r>
        <w:rPr>
          <w:rFonts w:hint="eastAsia" w:ascii="仿宋" w:hAnsi="仿宋"/>
          <w:color w:val="000000" w:themeColor="text1"/>
          <w:szCs w:val="28"/>
          <w14:textFill>
            <w14:solidFill>
              <w14:schemeClr w14:val="tx1"/>
            </w14:solidFill>
          </w14:textFill>
        </w:rPr>
        <w:t>月开工建设，2</w:t>
      </w:r>
      <w:r>
        <w:rPr>
          <w:rFonts w:ascii="仿宋" w:hAnsi="仿宋"/>
          <w:color w:val="000000" w:themeColor="text1"/>
          <w:szCs w:val="28"/>
          <w14:textFill>
            <w14:solidFill>
              <w14:schemeClr w14:val="tx1"/>
            </w14:solidFill>
          </w14:textFill>
        </w:rPr>
        <w:t>019</w:t>
      </w:r>
      <w:r>
        <w:rPr>
          <w:rFonts w:hint="eastAsia" w:ascii="仿宋" w:hAnsi="仿宋"/>
          <w:color w:val="000000" w:themeColor="text1"/>
          <w:szCs w:val="28"/>
          <w14:textFill>
            <w14:solidFill>
              <w14:schemeClr w14:val="tx1"/>
            </w14:solidFill>
          </w14:textFill>
        </w:rPr>
        <w:t>年1月竣工，2</w:t>
      </w:r>
      <w:r>
        <w:rPr>
          <w:rFonts w:ascii="仿宋" w:hAnsi="仿宋"/>
          <w:color w:val="000000" w:themeColor="text1"/>
          <w:szCs w:val="28"/>
          <w14:textFill>
            <w14:solidFill>
              <w14:schemeClr w14:val="tx1"/>
            </w14:solidFill>
          </w14:textFill>
        </w:rPr>
        <w:t>021</w:t>
      </w:r>
      <w:r>
        <w:rPr>
          <w:rFonts w:hint="eastAsia" w:ascii="仿宋" w:hAnsi="仿宋"/>
          <w:color w:val="000000" w:themeColor="text1"/>
          <w:szCs w:val="28"/>
          <w14:textFill>
            <w14:solidFill>
              <w14:schemeClr w14:val="tx1"/>
            </w14:solidFill>
          </w14:textFill>
        </w:rPr>
        <w:t>年1月委托苏州昌禾环境监测有限公司进行验收监测，根据验收监测数据报告，委托苏州绿鹏环保科技有限公司编制了该项目的“验收监测报告表”。</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该项目自报备以来无环境投诉、违法或处罚记录。</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2</w:t>
      </w:r>
      <w:r>
        <w:rPr>
          <w:rFonts w:ascii="仿宋" w:hAnsi="仿宋"/>
          <w:color w:val="000000" w:themeColor="text1"/>
          <w:szCs w:val="28"/>
          <w14:textFill>
            <w14:solidFill>
              <w14:schemeClr w14:val="tx1"/>
            </w14:solidFill>
          </w14:textFill>
        </w:rPr>
        <w:t>020</w:t>
      </w:r>
      <w:r>
        <w:rPr>
          <w:rFonts w:hint="eastAsia" w:ascii="仿宋" w:hAnsi="仿宋"/>
          <w:color w:val="000000" w:themeColor="text1"/>
          <w:szCs w:val="28"/>
          <w14:textFill>
            <w14:solidFill>
              <w14:schemeClr w14:val="tx1"/>
            </w14:solidFill>
          </w14:textFill>
        </w:rPr>
        <w:t>年5月申领了排污许可证，回执编号：9132050976913469XB001Z。</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三</w:t>
      </w: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投资情况</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环评登记表投资200万元，其中环保投资10万元，占比</w:t>
      </w:r>
      <w:r>
        <w:rPr>
          <w:rFonts w:ascii="仿宋" w:hAnsi="仿宋"/>
          <w:color w:val="000000" w:themeColor="text1"/>
          <w:szCs w:val="28"/>
          <w14:textFill>
            <w14:solidFill>
              <w14:schemeClr w14:val="tx1"/>
            </w14:solidFill>
          </w14:textFill>
        </w:rPr>
        <w:t>10</w:t>
      </w:r>
      <w:r>
        <w:rPr>
          <w:rFonts w:hint="eastAsia" w:ascii="仿宋" w:hAnsi="仿宋"/>
          <w:color w:val="000000" w:themeColor="text1"/>
          <w:szCs w:val="28"/>
          <w14:textFill>
            <w14:solidFill>
              <w14:schemeClr w14:val="tx1"/>
            </w14:solidFill>
          </w14:textFill>
        </w:rPr>
        <w:t>%；</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实际投资200万元，其中环保投资10万元，占比</w:t>
      </w:r>
      <w:r>
        <w:rPr>
          <w:rFonts w:ascii="仿宋" w:hAnsi="仿宋"/>
          <w:color w:val="000000" w:themeColor="text1"/>
          <w:szCs w:val="28"/>
          <w14:textFill>
            <w14:solidFill>
              <w14:schemeClr w14:val="tx1"/>
            </w14:solidFill>
          </w14:textFill>
        </w:rPr>
        <w:t>10</w:t>
      </w:r>
      <w:r>
        <w:rPr>
          <w:rFonts w:hint="eastAsia" w:ascii="仿宋" w:hAnsi="仿宋"/>
          <w:color w:val="000000" w:themeColor="text1"/>
          <w:szCs w:val="28"/>
          <w14:textFill>
            <w14:solidFill>
              <w14:schemeClr w14:val="tx1"/>
            </w14:solidFill>
          </w14:textFill>
        </w:rPr>
        <w:t>%。</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四</w:t>
      </w: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验收范围</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对“吴江第十二加油站技改项目”进行整体验收。</w:t>
      </w:r>
    </w:p>
    <w:p>
      <w:pPr>
        <w:shd w:val="clear" w:color="auto" w:fill="FFFFFF"/>
        <w:spacing w:after="0" w:line="320" w:lineRule="exact"/>
        <w:ind w:firstLine="441" w:firstLineChars="157"/>
        <w:jc w:val="both"/>
        <w:rPr>
          <w:rFonts w:ascii="仿宋" w:hAnsi="仿宋"/>
          <w:b/>
          <w:bCs/>
          <w:color w:val="000000" w:themeColor="text1"/>
          <w:szCs w:val="28"/>
          <w14:textFill>
            <w14:solidFill>
              <w14:schemeClr w14:val="tx1"/>
            </w14:solidFill>
          </w14:textFill>
        </w:rPr>
      </w:pPr>
      <w:r>
        <w:rPr>
          <w:rFonts w:hint="eastAsia" w:ascii="仿宋" w:hAnsi="仿宋"/>
          <w:b/>
          <w:bCs/>
          <w:color w:val="000000" w:themeColor="text1"/>
          <w:szCs w:val="28"/>
          <w14:textFill>
            <w14:solidFill>
              <w14:schemeClr w14:val="tx1"/>
            </w14:solidFill>
          </w14:textFill>
        </w:rPr>
        <w:t>二、工程变动情况</w:t>
      </w:r>
    </w:p>
    <w:p>
      <w:pPr>
        <w:shd w:val="clear" w:color="auto" w:fill="FFFFFF"/>
        <w:spacing w:after="0" w:line="320" w:lineRule="exact"/>
        <w:ind w:firstLine="439" w:firstLineChars="157"/>
        <w:jc w:val="both"/>
        <w:rPr>
          <w:rFonts w:ascii="仿宋" w:hAnsi="仿宋"/>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项目环境影响登记表中生活污水直接接入污水管网去污水厂处理，实际当地污水管网尚未建设接通，目前生活污水经化粪池处理后定期托运至污水处理厂处理，已签订三方协议，由苏州市顺通保洁服务有限公司托运至吴江经济技术开发区运东污水处理厂处理。项目登记表中未明确雨水处理要求，实际在雨水排放口设置三级隔油池处理后外排。</w:t>
      </w:r>
    </w:p>
    <w:p>
      <w:pPr>
        <w:shd w:val="clear" w:color="auto" w:fill="FFFFFF"/>
        <w:spacing w:after="0" w:line="320" w:lineRule="exact"/>
        <w:ind w:firstLine="439" w:firstLineChars="157"/>
        <w:jc w:val="both"/>
        <w:rPr>
          <w:rFonts w:ascii="仿宋" w:hAnsi="仿宋"/>
          <w:szCs w:val="28"/>
        </w:rPr>
      </w:pPr>
      <w:r>
        <w:rPr>
          <w:rFonts w:hint="eastAsia" w:ascii="仿宋" w:hAnsi="仿宋"/>
          <w:color w:val="000000" w:themeColor="text1"/>
          <w:szCs w:val="28"/>
          <w14:textFill>
            <w14:solidFill>
              <w14:schemeClr w14:val="tx1"/>
            </w14:solidFill>
          </w14:textFill>
        </w:rPr>
        <w:t>项目环境影响登记表中未明确危废类别及处置单位，实际将产生洗罐废液(每3-5年清洗一次</w:t>
      </w:r>
      <w:r>
        <w:rPr>
          <w:rFonts w:ascii="仿宋" w:hAnsi="仿宋"/>
          <w:color w:val="000000" w:themeColor="text1"/>
          <w:szCs w:val="28"/>
          <w14:textFill>
            <w14:solidFill>
              <w14:schemeClr w14:val="tx1"/>
            </w14:solidFill>
          </w14:textFill>
        </w:rPr>
        <w:t>)</w:t>
      </w:r>
      <w:r>
        <w:rPr>
          <w:rFonts w:hint="eastAsia" w:ascii="仿宋" w:hAnsi="仿宋"/>
          <w:color w:val="000000" w:themeColor="text1"/>
          <w:szCs w:val="28"/>
          <w14:textFill>
            <w14:solidFill>
              <w14:schemeClr w14:val="tx1"/>
            </w14:solidFill>
          </w14:textFill>
        </w:rPr>
        <w:t>、雨水隔油池废油等</w:t>
      </w:r>
      <w:r>
        <w:rPr>
          <w:rFonts w:hint="eastAsia" w:ascii="仿宋" w:hAnsi="仿宋"/>
          <w:szCs w:val="28"/>
        </w:rPr>
        <w:t>，委托江苏长山环保科技有限公司处置并已签订协议。登记表中生活垃圾由环卫部门统一收集进行无害化处理，实际委托吴江金山物业管理有限公司清运。</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验收监测报告表”对照江苏省环保厅《关于加强建设项目重大变动环评管理的通知》苏环办﹝2015﹞256号附件中“其他工业类建设项目重大变动清单”及《污染影响类建设项目重大变动清单(试行)》(环办环评函[2020]688号)》的规定，明确上述变动不属于重大变动，可纳入验收管理。</w:t>
      </w:r>
    </w:p>
    <w:p>
      <w:pPr>
        <w:shd w:val="clear" w:color="auto" w:fill="FFFFFF"/>
        <w:spacing w:after="0" w:line="320" w:lineRule="exact"/>
        <w:ind w:firstLine="441" w:firstLineChars="157"/>
        <w:jc w:val="both"/>
        <w:rPr>
          <w:rFonts w:ascii="仿宋" w:hAnsi="仿宋"/>
          <w:b/>
          <w:bCs/>
          <w:szCs w:val="28"/>
        </w:rPr>
      </w:pPr>
      <w:r>
        <w:rPr>
          <w:rFonts w:hint="eastAsia" w:ascii="仿宋" w:hAnsi="仿宋"/>
          <w:b/>
          <w:bCs/>
          <w:szCs w:val="28"/>
        </w:rPr>
        <w:t>三、环境保护设施建设情况</w:t>
      </w:r>
    </w:p>
    <w:p>
      <w:pPr>
        <w:shd w:val="clear" w:color="auto" w:fill="FFFFFF"/>
        <w:spacing w:after="0" w:line="320" w:lineRule="exact"/>
        <w:ind w:firstLine="439" w:firstLineChars="157"/>
        <w:jc w:val="both"/>
        <w:rPr>
          <w:rFonts w:ascii="仿宋" w:hAnsi="仿宋"/>
          <w:szCs w:val="28"/>
        </w:rPr>
      </w:pPr>
      <w:r>
        <w:rPr>
          <w:rFonts w:ascii="仿宋" w:hAnsi="仿宋"/>
          <w:szCs w:val="28"/>
        </w:rPr>
        <w:t>(</w:t>
      </w:r>
      <w:r>
        <w:rPr>
          <w:rFonts w:hint="eastAsia" w:ascii="仿宋" w:hAnsi="仿宋"/>
          <w:szCs w:val="28"/>
        </w:rPr>
        <w:t>一</w:t>
      </w:r>
      <w:r>
        <w:rPr>
          <w:rFonts w:ascii="仿宋" w:hAnsi="仿宋"/>
          <w:szCs w:val="28"/>
        </w:rPr>
        <w:t>)</w:t>
      </w:r>
      <w:r>
        <w:rPr>
          <w:rFonts w:hint="eastAsia" w:ascii="仿宋" w:hAnsi="仿宋"/>
          <w:szCs w:val="28"/>
        </w:rPr>
        <w:t>废水</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已签订三方协议，生活污水委托苏州市顺通保洁服务有限公司托运至吴江经济技术开发区运东污水处理厂处理。当地污水管网建成后立即接管。</w:t>
      </w:r>
    </w:p>
    <w:p>
      <w:pPr>
        <w:shd w:val="clear" w:color="auto" w:fill="FFFFFF"/>
        <w:spacing w:after="0" w:line="320" w:lineRule="exact"/>
        <w:ind w:firstLine="439" w:firstLineChars="157"/>
        <w:jc w:val="both"/>
        <w:rPr>
          <w:rFonts w:ascii="仿宋" w:hAnsi="仿宋"/>
          <w:szCs w:val="28"/>
        </w:rPr>
      </w:pPr>
      <w:r>
        <w:rPr>
          <w:rFonts w:ascii="仿宋" w:hAnsi="仿宋"/>
          <w:szCs w:val="28"/>
        </w:rPr>
        <w:t>(</w:t>
      </w:r>
      <w:r>
        <w:rPr>
          <w:rFonts w:hint="eastAsia" w:ascii="仿宋" w:hAnsi="仿宋"/>
          <w:szCs w:val="28"/>
        </w:rPr>
        <w:t>二</w:t>
      </w:r>
      <w:r>
        <w:rPr>
          <w:rFonts w:ascii="仿宋" w:hAnsi="仿宋"/>
          <w:szCs w:val="28"/>
        </w:rPr>
        <w:t>)</w:t>
      </w:r>
      <w:r>
        <w:rPr>
          <w:rFonts w:hint="eastAsia" w:ascii="仿宋" w:hAnsi="仿宋"/>
          <w:szCs w:val="28"/>
        </w:rPr>
        <w:t>废气</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本项目废气主要为卸油、储油和加油时排放的油气及油品的跑冒滴漏产生的排放（以非甲烷总烃计），已建设油气回收装置并</w:t>
      </w:r>
      <w:r>
        <w:rPr>
          <w:rFonts w:hint="eastAsia" w:ascii="仿宋" w:hAnsi="仿宋"/>
          <w:color w:val="000000" w:themeColor="text1"/>
          <w:szCs w:val="28"/>
          <w14:textFill>
            <w14:solidFill>
              <w14:schemeClr w14:val="tx1"/>
            </w14:solidFill>
          </w14:textFill>
        </w:rPr>
        <w:t>通过验收</w:t>
      </w:r>
      <w:r>
        <w:rPr>
          <w:rFonts w:hint="eastAsia" w:ascii="仿宋" w:hAnsi="仿宋"/>
          <w:szCs w:val="28"/>
        </w:rPr>
        <w:t>。回收处理后的尾气通过排放管排放，未收集的以无组织方式进入大气。</w:t>
      </w:r>
    </w:p>
    <w:p>
      <w:pPr>
        <w:shd w:val="clear" w:color="auto" w:fill="FFFFFF"/>
        <w:spacing w:after="0" w:line="320" w:lineRule="exact"/>
        <w:ind w:firstLine="439" w:firstLineChars="157"/>
        <w:jc w:val="both"/>
        <w:rPr>
          <w:rFonts w:ascii="仿宋" w:hAnsi="仿宋"/>
          <w:szCs w:val="28"/>
        </w:rPr>
      </w:pPr>
      <w:r>
        <w:rPr>
          <w:rFonts w:ascii="仿宋" w:hAnsi="仿宋"/>
          <w:szCs w:val="28"/>
        </w:rPr>
        <w:t>(</w:t>
      </w:r>
      <w:r>
        <w:rPr>
          <w:rFonts w:hint="eastAsia" w:ascii="仿宋" w:hAnsi="仿宋"/>
          <w:szCs w:val="28"/>
        </w:rPr>
        <w:t>三</w:t>
      </w:r>
      <w:r>
        <w:rPr>
          <w:rFonts w:ascii="仿宋" w:hAnsi="仿宋"/>
          <w:szCs w:val="28"/>
        </w:rPr>
        <w:t>)</w:t>
      </w:r>
      <w:r>
        <w:rPr>
          <w:rFonts w:hint="eastAsia" w:ascii="仿宋" w:hAnsi="仿宋"/>
          <w:szCs w:val="28"/>
        </w:rPr>
        <w:t>噪声</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本项目噪声主要是油品运输车辆噪声以及加油车辆的噪声，对加油车辆及油罐车运行时加强管理，保证车辆的有序通行。</w:t>
      </w:r>
    </w:p>
    <w:p>
      <w:pPr>
        <w:shd w:val="clear" w:color="auto" w:fill="FFFFFF"/>
        <w:spacing w:after="0" w:line="320" w:lineRule="exact"/>
        <w:ind w:firstLine="439" w:firstLineChars="157"/>
        <w:jc w:val="both"/>
        <w:rPr>
          <w:rFonts w:ascii="仿宋" w:hAnsi="仿宋"/>
          <w:szCs w:val="28"/>
        </w:rPr>
      </w:pPr>
      <w:r>
        <w:rPr>
          <w:rFonts w:ascii="仿宋" w:hAnsi="仿宋"/>
          <w:szCs w:val="28"/>
        </w:rPr>
        <w:t>(</w:t>
      </w:r>
      <w:r>
        <w:rPr>
          <w:rFonts w:hint="eastAsia" w:ascii="仿宋" w:hAnsi="仿宋"/>
          <w:szCs w:val="28"/>
        </w:rPr>
        <w:t>四</w:t>
      </w:r>
      <w:r>
        <w:rPr>
          <w:rFonts w:ascii="仿宋" w:hAnsi="仿宋"/>
          <w:szCs w:val="28"/>
        </w:rPr>
        <w:t>)</w:t>
      </w:r>
      <w:r>
        <w:rPr>
          <w:rFonts w:hint="eastAsia" w:ascii="仿宋" w:hAnsi="仿宋"/>
          <w:szCs w:val="28"/>
        </w:rPr>
        <w:t>固体废物</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本项目产生的危废主要有洗罐废液(每3-5年清洗一次</w:t>
      </w:r>
      <w:r>
        <w:rPr>
          <w:rFonts w:ascii="仿宋" w:hAnsi="仿宋"/>
          <w:szCs w:val="28"/>
        </w:rPr>
        <w:t>)</w:t>
      </w:r>
      <w:r>
        <w:rPr>
          <w:rFonts w:hint="eastAsia" w:ascii="仿宋" w:hAnsi="仿宋"/>
          <w:szCs w:val="28"/>
        </w:rPr>
        <w:t>、雨水隔油池废油等，将委托江苏长山环保科技有限公司处置并已签订协议。目前尚未产生危险废物。生活垃圾委托吴江金山物业管理有限公司清运，并由吴江经济技术开发区环卫管理处进行监督。</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(五</w:t>
      </w:r>
      <w:r>
        <w:rPr>
          <w:rFonts w:ascii="仿宋" w:hAnsi="仿宋"/>
          <w:szCs w:val="28"/>
        </w:rPr>
        <w:t>)</w:t>
      </w:r>
      <w:r>
        <w:rPr>
          <w:rFonts w:hint="eastAsia" w:ascii="仿宋" w:hAnsi="仿宋"/>
          <w:szCs w:val="28"/>
        </w:rPr>
        <w:t>其它污染防治措施</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各油罐均为地埋式，采用双层罐储存，地坪进行了防渗处理。</w:t>
      </w:r>
    </w:p>
    <w:p>
      <w:pPr>
        <w:shd w:val="clear" w:color="auto" w:fill="FFFFFF"/>
        <w:spacing w:after="0" w:line="320" w:lineRule="exact"/>
        <w:ind w:firstLine="441" w:firstLineChars="157"/>
        <w:jc w:val="both"/>
        <w:rPr>
          <w:rFonts w:ascii="仿宋" w:hAnsi="仿宋"/>
          <w:b/>
          <w:bCs/>
          <w:szCs w:val="28"/>
        </w:rPr>
      </w:pPr>
      <w:r>
        <w:rPr>
          <w:rFonts w:hint="eastAsia" w:ascii="仿宋" w:hAnsi="仿宋"/>
          <w:b/>
          <w:bCs/>
          <w:szCs w:val="28"/>
        </w:rPr>
        <w:t>四、环境保护设施调试效果</w:t>
      </w:r>
    </w:p>
    <w:p>
      <w:pPr>
        <w:shd w:val="clear" w:color="auto" w:fill="FFFFFF"/>
        <w:spacing w:after="0" w:line="320" w:lineRule="exact"/>
        <w:ind w:firstLine="439" w:firstLineChars="157"/>
        <w:jc w:val="both"/>
        <w:rPr>
          <w:rFonts w:ascii="仿宋" w:hAnsi="仿宋"/>
          <w:szCs w:val="28"/>
        </w:rPr>
      </w:pPr>
      <w:r>
        <w:rPr>
          <w:rFonts w:ascii="仿宋" w:hAnsi="仿宋"/>
          <w:szCs w:val="28"/>
        </w:rPr>
        <w:t>(</w:t>
      </w:r>
      <w:r>
        <w:rPr>
          <w:rFonts w:hint="eastAsia" w:ascii="仿宋" w:hAnsi="仿宋"/>
          <w:szCs w:val="28"/>
        </w:rPr>
        <w:t>一</w:t>
      </w:r>
      <w:r>
        <w:rPr>
          <w:rFonts w:ascii="仿宋" w:hAnsi="仿宋"/>
          <w:szCs w:val="28"/>
        </w:rPr>
        <w:t>)</w:t>
      </w:r>
      <w:r>
        <w:rPr>
          <w:rFonts w:hint="eastAsia" w:ascii="仿宋" w:hAnsi="仿宋"/>
          <w:szCs w:val="28"/>
        </w:rPr>
        <w:t>工况</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苏州昌禾环境监测有限公司</w:t>
      </w:r>
      <w:r>
        <w:rPr>
          <w:rFonts w:ascii="仿宋" w:hAnsi="仿宋"/>
          <w:szCs w:val="28"/>
        </w:rPr>
        <w:t>2021</w:t>
      </w:r>
      <w:r>
        <w:rPr>
          <w:rFonts w:hint="eastAsia" w:ascii="仿宋" w:hAnsi="仿宋"/>
          <w:szCs w:val="28"/>
        </w:rPr>
        <w:t>年</w:t>
      </w:r>
      <w:r>
        <w:rPr>
          <w:rFonts w:ascii="仿宋" w:hAnsi="仿宋"/>
          <w:szCs w:val="28"/>
        </w:rPr>
        <w:t>1</w:t>
      </w:r>
      <w:r>
        <w:rPr>
          <w:rFonts w:hint="eastAsia" w:ascii="仿宋" w:hAnsi="仿宋"/>
          <w:szCs w:val="28"/>
        </w:rPr>
        <w:t>月</w:t>
      </w:r>
      <w:r>
        <w:rPr>
          <w:rFonts w:ascii="仿宋" w:hAnsi="仿宋"/>
          <w:szCs w:val="28"/>
        </w:rPr>
        <w:t>16</w:t>
      </w:r>
      <w:r>
        <w:rPr>
          <w:rFonts w:hint="eastAsia" w:ascii="仿宋" w:hAnsi="仿宋"/>
          <w:szCs w:val="28"/>
        </w:rPr>
        <w:t>日～</w:t>
      </w:r>
      <w:r>
        <w:rPr>
          <w:rFonts w:ascii="仿宋" w:hAnsi="仿宋"/>
          <w:szCs w:val="28"/>
        </w:rPr>
        <w:t>17</w:t>
      </w:r>
      <w:r>
        <w:rPr>
          <w:rFonts w:hint="eastAsia" w:ascii="仿宋" w:hAnsi="仿宋"/>
          <w:szCs w:val="28"/>
        </w:rPr>
        <w:t>日进行验收监测期间本项目生产设备及环保治理设施运行状态正常，根据在用加油枪数量确定生产负荷为</w:t>
      </w:r>
      <w:r>
        <w:rPr>
          <w:rFonts w:ascii="仿宋" w:hAnsi="仿宋"/>
          <w:szCs w:val="28"/>
        </w:rPr>
        <w:t>75%</w:t>
      </w:r>
      <w:r>
        <w:rPr>
          <w:rFonts w:hint="eastAsia" w:ascii="仿宋" w:hAnsi="仿宋"/>
          <w:szCs w:val="28"/>
        </w:rPr>
        <w:t>-</w:t>
      </w:r>
      <w:r>
        <w:rPr>
          <w:rFonts w:ascii="仿宋" w:hAnsi="仿宋"/>
          <w:szCs w:val="28"/>
        </w:rPr>
        <w:t>87.5%</w:t>
      </w:r>
      <w:r>
        <w:rPr>
          <w:rFonts w:hint="eastAsia" w:ascii="仿宋" w:hAnsi="仿宋"/>
          <w:szCs w:val="28"/>
        </w:rPr>
        <w:t>，满足建设项目竣工环保验收监测工况条件的要求。</w:t>
      </w:r>
      <w:r>
        <w:rPr>
          <w:rFonts w:ascii="仿宋" w:hAnsi="仿宋"/>
          <w:szCs w:val="28"/>
        </w:rPr>
        <w:t xml:space="preserve"> </w:t>
      </w:r>
    </w:p>
    <w:p>
      <w:pPr>
        <w:shd w:val="clear" w:color="auto" w:fill="FFFFFF"/>
        <w:spacing w:after="0" w:line="320" w:lineRule="exact"/>
        <w:ind w:firstLine="439" w:firstLineChars="157"/>
        <w:jc w:val="both"/>
        <w:rPr>
          <w:rFonts w:ascii="仿宋" w:hAnsi="仿宋"/>
          <w:szCs w:val="28"/>
        </w:rPr>
      </w:pPr>
      <w:r>
        <w:rPr>
          <w:rFonts w:ascii="仿宋" w:hAnsi="仿宋"/>
          <w:szCs w:val="28"/>
        </w:rPr>
        <w:t>(</w:t>
      </w:r>
      <w:r>
        <w:rPr>
          <w:rFonts w:hint="eastAsia" w:ascii="仿宋" w:hAnsi="仿宋"/>
          <w:szCs w:val="28"/>
        </w:rPr>
        <w:t>二</w:t>
      </w:r>
      <w:r>
        <w:rPr>
          <w:rFonts w:ascii="仿宋" w:hAnsi="仿宋"/>
          <w:szCs w:val="28"/>
        </w:rPr>
        <w:t>)</w:t>
      </w:r>
      <w:r>
        <w:rPr>
          <w:rFonts w:hint="eastAsia" w:ascii="仿宋" w:hAnsi="仿宋"/>
          <w:szCs w:val="28"/>
        </w:rPr>
        <w:t>污染物排放情况</w:t>
      </w:r>
    </w:p>
    <w:p>
      <w:pPr>
        <w:shd w:val="clear" w:color="auto" w:fill="FFFFFF"/>
        <w:spacing w:after="0" w:line="320" w:lineRule="exact"/>
        <w:ind w:firstLine="439" w:firstLineChars="157"/>
        <w:jc w:val="both"/>
        <w:rPr>
          <w:rFonts w:ascii="仿宋" w:hAnsi="仿宋"/>
          <w:szCs w:val="28"/>
        </w:rPr>
      </w:pPr>
      <w:r>
        <w:rPr>
          <w:rFonts w:ascii="仿宋" w:hAnsi="仿宋"/>
          <w:szCs w:val="28"/>
        </w:rPr>
        <w:t>1</w:t>
      </w:r>
      <w:r>
        <w:rPr>
          <w:rFonts w:hint="eastAsia" w:ascii="仿宋" w:hAnsi="仿宋"/>
          <w:szCs w:val="28"/>
        </w:rPr>
        <w:t>．废气</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验收监测结果，非甲烷总烃厂界无组织排放监控点浓度全部符合《</w:t>
      </w:r>
      <w:r>
        <w:rPr>
          <w:rFonts w:ascii="仿宋" w:hAnsi="仿宋"/>
          <w:szCs w:val="28"/>
        </w:rPr>
        <w:t>GB16297-1996</w:t>
      </w:r>
      <w:r>
        <w:rPr>
          <w:rFonts w:hint="eastAsia" w:ascii="仿宋" w:hAnsi="仿宋"/>
          <w:szCs w:val="28"/>
        </w:rPr>
        <w:t>大气污染物综合排放标准》表2“无组织排放监控浓度限值”要求。厂内非甲烷总烃达到《GB37822-2019挥发性有机物无组织排放控制标准》表A.1限值要求。</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本项目油气回收装置建设时出口未设置采样位置及操作平台，现已投入试运行，出于安全及消防考虑，无法进行动火作业设置采样口及操作平台，故未对油气排放处理装置出口的污染因子（油气）进行监测。</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2．废水</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化粪池处理后托运生活污水水质验收监测结果，pH值范围及COD、SS浓度达到《GB8978-1996污水综合排放标准》表 4 三级标准，氨氮、总磷、总氮、石油类浓度达到《</w:t>
      </w:r>
      <w:r>
        <w:rPr>
          <w:rFonts w:ascii="仿宋" w:hAnsi="仿宋"/>
          <w:szCs w:val="28"/>
        </w:rPr>
        <w:t>GB31962-2015</w:t>
      </w:r>
      <w:r>
        <w:rPr>
          <w:rFonts w:hint="eastAsia" w:ascii="仿宋" w:hAnsi="仿宋"/>
          <w:szCs w:val="28"/>
        </w:rPr>
        <w:t>污水排入城镇下水道水质标准》表</w:t>
      </w:r>
      <w:r>
        <w:rPr>
          <w:rFonts w:ascii="仿宋" w:hAnsi="仿宋"/>
          <w:szCs w:val="28"/>
        </w:rPr>
        <w:t>1 B</w:t>
      </w:r>
      <w:r>
        <w:rPr>
          <w:rFonts w:hint="eastAsia" w:ascii="仿宋" w:hAnsi="仿宋"/>
          <w:szCs w:val="28"/>
        </w:rPr>
        <w:t>级限值。</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3．厂界噪声</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验收监测期间厂界的昼、夜间噪声监测结果均符合《</w:t>
      </w:r>
      <w:r>
        <w:rPr>
          <w:rFonts w:ascii="仿宋" w:hAnsi="仿宋"/>
          <w:szCs w:val="28"/>
        </w:rPr>
        <w:t>GB12348-2008</w:t>
      </w:r>
      <w:r>
        <w:rPr>
          <w:rFonts w:hint="eastAsia" w:ascii="仿宋" w:hAnsi="仿宋"/>
          <w:szCs w:val="28"/>
        </w:rPr>
        <w:t>工业企业厂界环境噪声排放标准》</w:t>
      </w:r>
      <w:r>
        <w:rPr>
          <w:rFonts w:ascii="仿宋" w:hAnsi="仿宋"/>
          <w:szCs w:val="28"/>
        </w:rPr>
        <w:t>2</w:t>
      </w:r>
      <w:r>
        <w:rPr>
          <w:rFonts w:hint="eastAsia" w:ascii="仿宋" w:hAnsi="仿宋"/>
          <w:szCs w:val="28"/>
        </w:rPr>
        <w:t>类标准。</w:t>
      </w:r>
    </w:p>
    <w:p>
      <w:pPr>
        <w:shd w:val="clear" w:color="auto" w:fill="FFFFFF"/>
        <w:spacing w:after="0" w:line="320" w:lineRule="exact"/>
        <w:ind w:firstLine="439" w:firstLineChars="157"/>
        <w:jc w:val="both"/>
        <w:rPr>
          <w:rFonts w:ascii="仿宋" w:hAnsi="仿宋"/>
          <w:szCs w:val="28"/>
        </w:rPr>
      </w:pPr>
      <w:r>
        <w:rPr>
          <w:rFonts w:ascii="仿宋" w:hAnsi="仿宋"/>
          <w:szCs w:val="28"/>
        </w:rPr>
        <w:t>4</w:t>
      </w:r>
      <w:r>
        <w:rPr>
          <w:rFonts w:hint="eastAsia" w:ascii="仿宋" w:hAnsi="仿宋"/>
          <w:szCs w:val="28"/>
        </w:rPr>
        <w:t>．固废</w:t>
      </w:r>
    </w:p>
    <w:p>
      <w:pPr>
        <w:shd w:val="clear" w:color="auto" w:fill="FFFFFF"/>
        <w:spacing w:after="0" w:line="320" w:lineRule="exact"/>
        <w:ind w:firstLine="439" w:firstLineChars="157"/>
        <w:jc w:val="both"/>
        <w:rPr>
          <w:rFonts w:ascii="仿宋" w:hAnsi="仿宋"/>
          <w:szCs w:val="28"/>
        </w:rPr>
      </w:pPr>
      <w:bookmarkStart w:id="0" w:name="_Toc22524"/>
      <w:bookmarkStart w:id="1" w:name="_Toc19906"/>
      <w:r>
        <w:rPr>
          <w:rFonts w:hint="eastAsia" w:ascii="仿宋" w:hAnsi="仿宋"/>
          <w:szCs w:val="28"/>
        </w:rPr>
        <w:t>调查了验收监测期间固废产生情况，洗罐废液(每3-5年清洗一次)、雨水隔油池废油</w:t>
      </w:r>
      <w:r>
        <w:rPr>
          <w:rFonts w:hint="eastAsia" w:ascii="仿宋" w:hAnsi="仿宋"/>
          <w:color w:val="000000" w:themeColor="text1"/>
          <w:szCs w:val="28"/>
          <w14:textFill>
            <w14:solidFill>
              <w14:schemeClr w14:val="tx1"/>
            </w14:solidFill>
          </w14:textFill>
        </w:rPr>
        <w:t>等尚未产生。</w:t>
      </w:r>
      <w:r>
        <w:rPr>
          <w:rFonts w:hint="eastAsia" w:ascii="仿宋" w:hAnsi="仿宋"/>
          <w:szCs w:val="28"/>
        </w:rPr>
        <w:t>生活垃圾</w:t>
      </w:r>
      <w:bookmarkEnd w:id="0"/>
      <w:bookmarkEnd w:id="1"/>
      <w:r>
        <w:rPr>
          <w:rFonts w:hint="eastAsia" w:ascii="仿宋" w:hAnsi="仿宋"/>
          <w:szCs w:val="28"/>
        </w:rPr>
        <w:t>委托吴江金山物业管理有限公司清运。</w:t>
      </w:r>
    </w:p>
    <w:p>
      <w:pPr>
        <w:shd w:val="clear" w:color="auto" w:fill="FFFFFF"/>
        <w:spacing w:after="0" w:line="320" w:lineRule="exact"/>
        <w:ind w:firstLine="441" w:firstLineChars="157"/>
        <w:jc w:val="both"/>
        <w:rPr>
          <w:rFonts w:ascii="仿宋" w:hAnsi="仿宋"/>
          <w:b/>
          <w:bCs/>
          <w:szCs w:val="28"/>
        </w:rPr>
      </w:pPr>
      <w:r>
        <w:rPr>
          <w:rFonts w:hint="eastAsia" w:ascii="仿宋" w:hAnsi="仿宋"/>
          <w:b/>
          <w:bCs/>
          <w:szCs w:val="28"/>
        </w:rPr>
        <w:t>五、总量控制</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本项目环境影响登记表及申邻的排污许可证均</w:t>
      </w:r>
      <w:bookmarkStart w:id="2" w:name="_GoBack"/>
      <w:bookmarkEnd w:id="2"/>
      <w:r>
        <w:rPr>
          <w:rFonts w:hint="eastAsia" w:ascii="仿宋" w:hAnsi="仿宋"/>
          <w:szCs w:val="28"/>
        </w:rPr>
        <w:t>未提出总量控制要求。</w:t>
      </w:r>
    </w:p>
    <w:p>
      <w:pPr>
        <w:shd w:val="clear" w:color="auto" w:fill="FFFFFF"/>
        <w:spacing w:after="0" w:line="320" w:lineRule="exact"/>
        <w:ind w:firstLine="441" w:firstLineChars="157"/>
        <w:jc w:val="both"/>
        <w:rPr>
          <w:rFonts w:ascii="仿宋" w:hAnsi="仿宋"/>
          <w:b/>
          <w:bCs/>
          <w:szCs w:val="28"/>
        </w:rPr>
      </w:pPr>
      <w:r>
        <w:rPr>
          <w:rFonts w:hint="eastAsia" w:ascii="仿宋" w:hAnsi="仿宋"/>
          <w:b/>
          <w:bCs/>
          <w:szCs w:val="28"/>
        </w:rPr>
        <w:t>六、验收结论</w:t>
      </w:r>
    </w:p>
    <w:p>
      <w:pPr>
        <w:pStyle w:val="50"/>
        <w:spacing w:line="320" w:lineRule="exact"/>
      </w:pPr>
      <w:r>
        <w:rPr>
          <w:rFonts w:hint="eastAsia"/>
        </w:rPr>
        <w:t>该项目执行了环保“三同时”制度，与环境影响登记表相比未发生重大变动，落实了各项污染防治措施，污染治理设施运行正常，验收监测数据表明主要污染物达标排放。对照《建设项目竣工环境保护验收暂行办法》，验收组经现场检查和认真评议，同意“</w:t>
      </w:r>
      <w:r>
        <w:rPr>
          <w:rFonts w:hint="eastAsia"/>
          <w:szCs w:val="28"/>
        </w:rPr>
        <w:t>中石化壳牌（江苏）石油销售有限公司吴江第十二加油站技改项目</w:t>
      </w:r>
      <w:r>
        <w:rPr>
          <w:rFonts w:hint="eastAsia"/>
        </w:rPr>
        <w:t>”竣工环境保护验收合格。</w:t>
      </w:r>
    </w:p>
    <w:p>
      <w:pPr>
        <w:shd w:val="clear" w:color="auto" w:fill="FFFFFF"/>
        <w:spacing w:after="0" w:line="320" w:lineRule="exact"/>
        <w:ind w:firstLine="441" w:firstLineChars="157"/>
        <w:jc w:val="both"/>
        <w:rPr>
          <w:rFonts w:ascii="仿宋" w:hAnsi="仿宋"/>
          <w:b/>
          <w:bCs/>
          <w:szCs w:val="28"/>
        </w:rPr>
      </w:pPr>
      <w:r>
        <w:rPr>
          <w:rFonts w:hint="eastAsia" w:ascii="仿宋" w:hAnsi="仿宋"/>
          <w:b/>
          <w:bCs/>
          <w:szCs w:val="28"/>
        </w:rPr>
        <w:t>七、后续要求</w:t>
      </w:r>
    </w:p>
    <w:p>
      <w:pPr>
        <w:pStyle w:val="50"/>
        <w:spacing w:line="320" w:lineRule="exact"/>
      </w:pPr>
      <w:r>
        <w:rPr>
          <w:rFonts w:hint="eastAsia"/>
        </w:rPr>
        <w:t>1．项目所在地污水管网建成后，应立即接管。</w:t>
      </w:r>
    </w:p>
    <w:p>
      <w:pPr>
        <w:pStyle w:val="50"/>
        <w:spacing w:line="320" w:lineRule="exact"/>
      </w:pPr>
      <w:r>
        <w:rPr>
          <w:rFonts w:hint="eastAsia"/>
        </w:rPr>
        <w:t>2．《GB20952—2020加油站大气污染物排放标准》将于2</w:t>
      </w:r>
      <w:r>
        <w:t>021</w:t>
      </w:r>
      <w:r>
        <w:rPr>
          <w:rFonts w:hint="eastAsia"/>
        </w:rPr>
        <w:t>年4月1日实施，应做好新标准的衔接工作，按该标准规定的日期执行新排放标准，目前排污许可证中规定的内容与新标准不一致的，应当在新标准规定执行的时限前变更排污许可证。</w:t>
      </w:r>
    </w:p>
    <w:p>
      <w:pPr>
        <w:pStyle w:val="50"/>
        <w:spacing w:line="320" w:lineRule="exact"/>
      </w:pPr>
      <w:r>
        <w:t>3</w:t>
      </w:r>
      <w:r>
        <w:rPr>
          <w:rFonts w:hint="eastAsia"/>
        </w:rPr>
        <w:t>．健全、完善的环境管理制度，有专人负责环境保护工作，建立并健全内部污染防治设施运行和管理责任制度，确保环境治理设施安全、稳定、有效运行。</w:t>
      </w:r>
    </w:p>
    <w:p>
      <w:pPr>
        <w:pStyle w:val="50"/>
        <w:spacing w:line="320" w:lineRule="exact"/>
      </w:pPr>
      <w:r>
        <w:t>4</w:t>
      </w:r>
      <w:r>
        <w:rPr>
          <w:rFonts w:hint="eastAsia"/>
        </w:rPr>
        <w:t>．</w:t>
      </w:r>
      <w:r>
        <w:rPr>
          <w:rFonts w:hint="eastAsia" w:ascii="宋体" w:hAnsi="宋体"/>
          <w:szCs w:val="28"/>
        </w:rPr>
        <w:t>识别本项目的潜在环境风险因素、安全事故引发的环境风险，编制环境风险应急预案并备案。按预案要求，完善环境风险防范措施及应急设施的建设，提高应对突发性环境事件的能力，强化与上级管理部门及周边企业的应急联动。确保环境风险可控。</w:t>
      </w:r>
    </w:p>
    <w:p>
      <w:pPr>
        <w:pStyle w:val="50"/>
        <w:spacing w:line="320" w:lineRule="exact"/>
      </w:pPr>
      <w:r>
        <w:rPr>
          <w:rFonts w:hint="eastAsia"/>
        </w:rPr>
        <w:t>危废暂存前必须达到稳定的要求，定期对油气污染治理设施的运行、危废的产生、暂存过程进行安全风险辨识、管控。</w:t>
      </w:r>
    </w:p>
    <w:p>
      <w:pPr>
        <w:pStyle w:val="50"/>
        <w:spacing w:line="320" w:lineRule="exact"/>
      </w:pPr>
      <w:r>
        <w:t>5</w:t>
      </w:r>
      <w:r>
        <w:rPr>
          <w:rFonts w:hint="eastAsia"/>
        </w:rPr>
        <w:t>．按照《HJ819-2017排污单位自行监测技术指南总则》要求，做好后续的自行监测工作。</w:t>
      </w:r>
    </w:p>
    <w:p>
      <w:pPr>
        <w:shd w:val="clear" w:color="auto" w:fill="FFFFFF"/>
        <w:spacing w:after="0" w:line="320" w:lineRule="exact"/>
        <w:ind w:firstLine="441" w:firstLineChars="157"/>
        <w:jc w:val="both"/>
        <w:rPr>
          <w:rFonts w:ascii="仿宋" w:hAnsi="仿宋"/>
          <w:b/>
          <w:bCs/>
          <w:szCs w:val="28"/>
        </w:rPr>
      </w:pPr>
      <w:r>
        <w:rPr>
          <w:rFonts w:hint="eastAsia" w:ascii="仿宋" w:hAnsi="仿宋"/>
          <w:b/>
          <w:bCs/>
          <w:szCs w:val="28"/>
        </w:rPr>
        <w:t>八、验收组成员</w:t>
      </w:r>
    </w:p>
    <w:p>
      <w:pPr>
        <w:shd w:val="clear" w:color="auto" w:fill="FFFFFF"/>
        <w:spacing w:after="0" w:line="320" w:lineRule="exact"/>
        <w:ind w:firstLine="439" w:firstLineChars="157"/>
        <w:jc w:val="both"/>
        <w:rPr>
          <w:rFonts w:ascii="仿宋" w:hAnsi="仿宋"/>
          <w:szCs w:val="28"/>
        </w:rPr>
      </w:pPr>
      <w:r>
        <w:rPr>
          <w:rFonts w:hint="eastAsia" w:ascii="仿宋" w:hAnsi="仿宋"/>
          <w:szCs w:val="28"/>
        </w:rPr>
        <w:t>验收组成员名单附后。</w:t>
      </w:r>
    </w:p>
    <w:p>
      <w:pPr>
        <w:shd w:val="clear" w:color="auto" w:fill="FFFFFF"/>
        <w:spacing w:after="0" w:line="320" w:lineRule="exact"/>
        <w:ind w:firstLine="439" w:firstLineChars="157"/>
        <w:jc w:val="both"/>
        <w:rPr>
          <w:rFonts w:ascii="仿宋" w:hAnsi="仿宋"/>
          <w:szCs w:val="28"/>
        </w:rPr>
      </w:pPr>
    </w:p>
    <w:p>
      <w:pPr>
        <w:shd w:val="clear" w:color="auto" w:fill="FFFFFF"/>
        <w:spacing w:after="0" w:line="320" w:lineRule="exact"/>
        <w:ind w:firstLine="439" w:firstLineChars="157"/>
        <w:jc w:val="both"/>
        <w:rPr>
          <w:rFonts w:ascii="仿宋" w:hAnsi="仿宋"/>
          <w:szCs w:val="28"/>
        </w:rPr>
      </w:pPr>
    </w:p>
    <w:p>
      <w:pPr>
        <w:shd w:val="clear" w:color="auto" w:fill="FFFFFF"/>
        <w:spacing w:after="0" w:line="320" w:lineRule="exact"/>
        <w:ind w:left="4360" w:leftChars="157" w:hanging="3920" w:hangingChars="1400"/>
        <w:jc w:val="both"/>
        <w:rPr>
          <w:rFonts w:ascii="仿宋" w:hAnsi="仿宋"/>
          <w:color w:val="000000" w:themeColor="text1"/>
          <w:szCs w:val="28"/>
          <w14:textFill>
            <w14:solidFill>
              <w14:schemeClr w14:val="tx1"/>
            </w14:solidFill>
          </w14:textFill>
        </w:rPr>
      </w:pPr>
      <w:r>
        <w:rPr>
          <w:rFonts w:ascii="仿宋" w:hAnsi="仿宋"/>
          <w:szCs w:val="28"/>
        </w:rPr>
        <w:t xml:space="preserve">             </w:t>
      </w:r>
      <w:r>
        <w:rPr>
          <w:rFonts w:hint="eastAsia" w:ascii="仿宋" w:hAnsi="仿宋"/>
          <w:szCs w:val="28"/>
        </w:rPr>
        <w:t>中石化壳牌（江苏）石油销售有限公司吴江第十二加油站</w:t>
      </w:r>
      <w:r>
        <w:rPr>
          <w:rFonts w:ascii="仿宋" w:hAnsi="仿宋" w:cs="Arial"/>
          <w:szCs w:val="28"/>
        </w:rPr>
        <w:t>2021</w:t>
      </w:r>
      <w:r>
        <w:rPr>
          <w:rFonts w:hint="eastAsia" w:ascii="仿宋" w:hAnsi="仿宋" w:cs="Arial"/>
          <w:color w:val="000000" w:themeColor="text1"/>
          <w:szCs w:val="28"/>
          <w14:textFill>
            <w14:solidFill>
              <w14:schemeClr w14:val="tx1"/>
            </w14:solidFill>
          </w14:textFill>
        </w:rPr>
        <w:t>年</w:t>
      </w:r>
      <w:r>
        <w:rPr>
          <w:rFonts w:ascii="仿宋" w:hAnsi="仿宋" w:cs="Arial"/>
          <w:color w:val="000000" w:themeColor="text1"/>
          <w:szCs w:val="28"/>
          <w14:textFill>
            <w14:solidFill>
              <w14:schemeClr w14:val="tx1"/>
            </w14:solidFill>
          </w14:textFill>
        </w:rPr>
        <w:t>1</w:t>
      </w:r>
      <w:r>
        <w:rPr>
          <w:rFonts w:hint="eastAsia" w:ascii="仿宋" w:hAnsi="仿宋" w:cs="Arial"/>
          <w:color w:val="000000" w:themeColor="text1"/>
          <w:szCs w:val="28"/>
          <w14:textFill>
            <w14:solidFill>
              <w14:schemeClr w14:val="tx1"/>
            </w14:solidFill>
          </w14:textFill>
        </w:rPr>
        <w:t>月</w:t>
      </w:r>
      <w:r>
        <w:rPr>
          <w:rFonts w:ascii="仿宋" w:hAnsi="仿宋" w:cs="Arial"/>
          <w:color w:val="000000" w:themeColor="text1"/>
          <w:szCs w:val="28"/>
          <w14:textFill>
            <w14:solidFill>
              <w14:schemeClr w14:val="tx1"/>
            </w14:solidFill>
          </w14:textFill>
        </w:rPr>
        <w:t>2</w:t>
      </w:r>
      <w:r>
        <w:rPr>
          <w:rFonts w:hint="eastAsia" w:ascii="仿宋" w:hAnsi="仿宋" w:cs="Arial"/>
          <w:color w:val="000000" w:themeColor="text1"/>
          <w:szCs w:val="28"/>
          <w:lang w:val="en-US" w:eastAsia="zh-CN"/>
          <w14:textFill>
            <w14:solidFill>
              <w14:schemeClr w14:val="tx1"/>
            </w14:solidFill>
          </w14:textFill>
        </w:rPr>
        <w:t>3</w:t>
      </w:r>
      <w:r>
        <w:rPr>
          <w:rFonts w:hint="eastAsia" w:ascii="仿宋" w:hAnsi="仿宋" w:cs="Arial"/>
          <w:color w:val="000000" w:themeColor="text1"/>
          <w:szCs w:val="28"/>
          <w14:textFill>
            <w14:solidFill>
              <w14:schemeClr w14:val="tx1"/>
            </w14:solidFill>
          </w14:textFill>
        </w:rPr>
        <w:t>日</w:t>
      </w:r>
    </w:p>
    <w:sectPr>
      <w:headerReference r:id="rId3" w:type="default"/>
      <w:footerReference r:id="rId4" w:type="default"/>
      <w:pgSz w:w="11906" w:h="16838"/>
      <w:pgMar w:top="1440" w:right="1230"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82"/>
    <w:rsid w:val="00001913"/>
    <w:rsid w:val="00006A39"/>
    <w:rsid w:val="00007D6D"/>
    <w:rsid w:val="000102D7"/>
    <w:rsid w:val="00012AEE"/>
    <w:rsid w:val="00014EC6"/>
    <w:rsid w:val="0002447D"/>
    <w:rsid w:val="00024737"/>
    <w:rsid w:val="0002617A"/>
    <w:rsid w:val="00036754"/>
    <w:rsid w:val="00040066"/>
    <w:rsid w:val="0004159F"/>
    <w:rsid w:val="0004561E"/>
    <w:rsid w:val="00047F68"/>
    <w:rsid w:val="000512A4"/>
    <w:rsid w:val="00053938"/>
    <w:rsid w:val="0005571D"/>
    <w:rsid w:val="00055A1F"/>
    <w:rsid w:val="0005756C"/>
    <w:rsid w:val="00060951"/>
    <w:rsid w:val="000622D5"/>
    <w:rsid w:val="00062B63"/>
    <w:rsid w:val="00065952"/>
    <w:rsid w:val="00075906"/>
    <w:rsid w:val="00077392"/>
    <w:rsid w:val="00077F79"/>
    <w:rsid w:val="00080860"/>
    <w:rsid w:val="00084352"/>
    <w:rsid w:val="0009151F"/>
    <w:rsid w:val="00091CB2"/>
    <w:rsid w:val="00092230"/>
    <w:rsid w:val="000A3555"/>
    <w:rsid w:val="000A390F"/>
    <w:rsid w:val="000B1A26"/>
    <w:rsid w:val="000C4908"/>
    <w:rsid w:val="000C491E"/>
    <w:rsid w:val="000D1106"/>
    <w:rsid w:val="000D4EE7"/>
    <w:rsid w:val="000D676E"/>
    <w:rsid w:val="000D7A9C"/>
    <w:rsid w:val="000E1F07"/>
    <w:rsid w:val="000E2388"/>
    <w:rsid w:val="000E5CF5"/>
    <w:rsid w:val="000E6E79"/>
    <w:rsid w:val="000F0266"/>
    <w:rsid w:val="00106133"/>
    <w:rsid w:val="00114359"/>
    <w:rsid w:val="00116003"/>
    <w:rsid w:val="001169BB"/>
    <w:rsid w:val="00120338"/>
    <w:rsid w:val="001235A5"/>
    <w:rsid w:val="001264EB"/>
    <w:rsid w:val="00130531"/>
    <w:rsid w:val="001312A5"/>
    <w:rsid w:val="001348E7"/>
    <w:rsid w:val="00136274"/>
    <w:rsid w:val="00136435"/>
    <w:rsid w:val="00141941"/>
    <w:rsid w:val="0014299A"/>
    <w:rsid w:val="00143D58"/>
    <w:rsid w:val="00150EB7"/>
    <w:rsid w:val="00151F73"/>
    <w:rsid w:val="001543CD"/>
    <w:rsid w:val="00154E5D"/>
    <w:rsid w:val="00156979"/>
    <w:rsid w:val="00162A7A"/>
    <w:rsid w:val="00163CC6"/>
    <w:rsid w:val="00166658"/>
    <w:rsid w:val="00171D48"/>
    <w:rsid w:val="00171EBA"/>
    <w:rsid w:val="0017448D"/>
    <w:rsid w:val="00175F33"/>
    <w:rsid w:val="00176AE8"/>
    <w:rsid w:val="001813C6"/>
    <w:rsid w:val="00184A32"/>
    <w:rsid w:val="001875B0"/>
    <w:rsid w:val="00191C72"/>
    <w:rsid w:val="001941F9"/>
    <w:rsid w:val="00197E23"/>
    <w:rsid w:val="001A0E67"/>
    <w:rsid w:val="001A144A"/>
    <w:rsid w:val="001A163A"/>
    <w:rsid w:val="001A57E8"/>
    <w:rsid w:val="001A63ED"/>
    <w:rsid w:val="001A67E6"/>
    <w:rsid w:val="001A774A"/>
    <w:rsid w:val="001C0A17"/>
    <w:rsid w:val="001C2D1B"/>
    <w:rsid w:val="001C4741"/>
    <w:rsid w:val="001C75FF"/>
    <w:rsid w:val="001D051C"/>
    <w:rsid w:val="001D3352"/>
    <w:rsid w:val="001D5C40"/>
    <w:rsid w:val="001E418F"/>
    <w:rsid w:val="001E4A71"/>
    <w:rsid w:val="001E6F2C"/>
    <w:rsid w:val="001E7182"/>
    <w:rsid w:val="001F0A98"/>
    <w:rsid w:val="001F303A"/>
    <w:rsid w:val="00206475"/>
    <w:rsid w:val="00207B4C"/>
    <w:rsid w:val="00217EF5"/>
    <w:rsid w:val="00220DB2"/>
    <w:rsid w:val="00223F53"/>
    <w:rsid w:val="002240B9"/>
    <w:rsid w:val="0022751C"/>
    <w:rsid w:val="00227C7C"/>
    <w:rsid w:val="00230C26"/>
    <w:rsid w:val="00230F9A"/>
    <w:rsid w:val="0023174A"/>
    <w:rsid w:val="0023422D"/>
    <w:rsid w:val="002404FF"/>
    <w:rsid w:val="00242402"/>
    <w:rsid w:val="00243B37"/>
    <w:rsid w:val="002454BD"/>
    <w:rsid w:val="00247F67"/>
    <w:rsid w:val="00255A7F"/>
    <w:rsid w:val="00256886"/>
    <w:rsid w:val="002578C5"/>
    <w:rsid w:val="00257F83"/>
    <w:rsid w:val="00260D94"/>
    <w:rsid w:val="002612D1"/>
    <w:rsid w:val="00264317"/>
    <w:rsid w:val="00264E58"/>
    <w:rsid w:val="00267AFA"/>
    <w:rsid w:val="002710DC"/>
    <w:rsid w:val="00271CDD"/>
    <w:rsid w:val="00273AD9"/>
    <w:rsid w:val="0028013E"/>
    <w:rsid w:val="002818B7"/>
    <w:rsid w:val="00281E10"/>
    <w:rsid w:val="00283DE5"/>
    <w:rsid w:val="00293169"/>
    <w:rsid w:val="00296876"/>
    <w:rsid w:val="002A0B5A"/>
    <w:rsid w:val="002A1B0D"/>
    <w:rsid w:val="002B22CE"/>
    <w:rsid w:val="002B4832"/>
    <w:rsid w:val="002B4835"/>
    <w:rsid w:val="002B529D"/>
    <w:rsid w:val="002C4DEC"/>
    <w:rsid w:val="002D22D6"/>
    <w:rsid w:val="002D2CDF"/>
    <w:rsid w:val="002D343E"/>
    <w:rsid w:val="002D6762"/>
    <w:rsid w:val="002E5DEE"/>
    <w:rsid w:val="002E6708"/>
    <w:rsid w:val="002E70E8"/>
    <w:rsid w:val="002E7A6A"/>
    <w:rsid w:val="002F0034"/>
    <w:rsid w:val="002F5C21"/>
    <w:rsid w:val="002F615D"/>
    <w:rsid w:val="0030618B"/>
    <w:rsid w:val="00307FE4"/>
    <w:rsid w:val="00310F8E"/>
    <w:rsid w:val="00312F73"/>
    <w:rsid w:val="003134D8"/>
    <w:rsid w:val="003149CB"/>
    <w:rsid w:val="00320160"/>
    <w:rsid w:val="0032055E"/>
    <w:rsid w:val="00323DE7"/>
    <w:rsid w:val="00324166"/>
    <w:rsid w:val="00343CB8"/>
    <w:rsid w:val="003471F8"/>
    <w:rsid w:val="003508AD"/>
    <w:rsid w:val="00351693"/>
    <w:rsid w:val="00351E14"/>
    <w:rsid w:val="00352973"/>
    <w:rsid w:val="00353022"/>
    <w:rsid w:val="00355B9F"/>
    <w:rsid w:val="00360D64"/>
    <w:rsid w:val="00361079"/>
    <w:rsid w:val="00362A2A"/>
    <w:rsid w:val="003633C1"/>
    <w:rsid w:val="00365312"/>
    <w:rsid w:val="00372734"/>
    <w:rsid w:val="00373FF6"/>
    <w:rsid w:val="00375BC1"/>
    <w:rsid w:val="003816EA"/>
    <w:rsid w:val="00382AC8"/>
    <w:rsid w:val="003857D4"/>
    <w:rsid w:val="0039698E"/>
    <w:rsid w:val="003A70B8"/>
    <w:rsid w:val="003A740A"/>
    <w:rsid w:val="003B043A"/>
    <w:rsid w:val="003C0652"/>
    <w:rsid w:val="003C22BD"/>
    <w:rsid w:val="003C3551"/>
    <w:rsid w:val="003C4AC1"/>
    <w:rsid w:val="003C4B0B"/>
    <w:rsid w:val="003C586E"/>
    <w:rsid w:val="003C636A"/>
    <w:rsid w:val="003D2986"/>
    <w:rsid w:val="003F3B5C"/>
    <w:rsid w:val="003F45DF"/>
    <w:rsid w:val="003F47D1"/>
    <w:rsid w:val="003F546F"/>
    <w:rsid w:val="003F7D17"/>
    <w:rsid w:val="00404AD9"/>
    <w:rsid w:val="004103B8"/>
    <w:rsid w:val="00410C2B"/>
    <w:rsid w:val="0041418A"/>
    <w:rsid w:val="00416D6F"/>
    <w:rsid w:val="00416F9F"/>
    <w:rsid w:val="004219FB"/>
    <w:rsid w:val="004234EE"/>
    <w:rsid w:val="00424315"/>
    <w:rsid w:val="00425B7B"/>
    <w:rsid w:val="00425C9A"/>
    <w:rsid w:val="00434C75"/>
    <w:rsid w:val="00436407"/>
    <w:rsid w:val="0043641D"/>
    <w:rsid w:val="00441F88"/>
    <w:rsid w:val="00442939"/>
    <w:rsid w:val="00447003"/>
    <w:rsid w:val="00447D12"/>
    <w:rsid w:val="004511F7"/>
    <w:rsid w:val="004536FE"/>
    <w:rsid w:val="004552E8"/>
    <w:rsid w:val="00466A48"/>
    <w:rsid w:val="00473A6F"/>
    <w:rsid w:val="00480804"/>
    <w:rsid w:val="00481CCC"/>
    <w:rsid w:val="00486088"/>
    <w:rsid w:val="0048714D"/>
    <w:rsid w:val="004947F3"/>
    <w:rsid w:val="004A0033"/>
    <w:rsid w:val="004A1C17"/>
    <w:rsid w:val="004A60EF"/>
    <w:rsid w:val="004A69E5"/>
    <w:rsid w:val="004A74B4"/>
    <w:rsid w:val="004B47ED"/>
    <w:rsid w:val="004C4764"/>
    <w:rsid w:val="004C7BC2"/>
    <w:rsid w:val="004D0EF8"/>
    <w:rsid w:val="004D5D8B"/>
    <w:rsid w:val="004D6116"/>
    <w:rsid w:val="004D6F34"/>
    <w:rsid w:val="004E4079"/>
    <w:rsid w:val="004E42EC"/>
    <w:rsid w:val="004F3196"/>
    <w:rsid w:val="004F48E4"/>
    <w:rsid w:val="004F69C6"/>
    <w:rsid w:val="005022BA"/>
    <w:rsid w:val="0050545B"/>
    <w:rsid w:val="00511FC5"/>
    <w:rsid w:val="00512882"/>
    <w:rsid w:val="00513B55"/>
    <w:rsid w:val="00513C8B"/>
    <w:rsid w:val="005148F8"/>
    <w:rsid w:val="005249AC"/>
    <w:rsid w:val="0053453F"/>
    <w:rsid w:val="00534DA8"/>
    <w:rsid w:val="00535498"/>
    <w:rsid w:val="0053585C"/>
    <w:rsid w:val="00541F0D"/>
    <w:rsid w:val="005444C2"/>
    <w:rsid w:val="00546811"/>
    <w:rsid w:val="0055055F"/>
    <w:rsid w:val="00555C90"/>
    <w:rsid w:val="005604E2"/>
    <w:rsid w:val="00573418"/>
    <w:rsid w:val="0057751C"/>
    <w:rsid w:val="00595D36"/>
    <w:rsid w:val="005971D7"/>
    <w:rsid w:val="005A0D8F"/>
    <w:rsid w:val="005A219A"/>
    <w:rsid w:val="005A2C48"/>
    <w:rsid w:val="005A555D"/>
    <w:rsid w:val="005B1E7A"/>
    <w:rsid w:val="005B366C"/>
    <w:rsid w:val="005B69D8"/>
    <w:rsid w:val="005B6F46"/>
    <w:rsid w:val="005B7578"/>
    <w:rsid w:val="005C426F"/>
    <w:rsid w:val="005C4A81"/>
    <w:rsid w:val="005C4E0C"/>
    <w:rsid w:val="005C527A"/>
    <w:rsid w:val="005D0859"/>
    <w:rsid w:val="005D306F"/>
    <w:rsid w:val="005D396D"/>
    <w:rsid w:val="005D5C04"/>
    <w:rsid w:val="005D74E4"/>
    <w:rsid w:val="005E0A02"/>
    <w:rsid w:val="005E2A15"/>
    <w:rsid w:val="005E45C5"/>
    <w:rsid w:val="005F03AB"/>
    <w:rsid w:val="005F06F0"/>
    <w:rsid w:val="005F1AFA"/>
    <w:rsid w:val="005F4D9F"/>
    <w:rsid w:val="00602C70"/>
    <w:rsid w:val="00603E15"/>
    <w:rsid w:val="00615096"/>
    <w:rsid w:val="00617D1C"/>
    <w:rsid w:val="00617E9E"/>
    <w:rsid w:val="00623655"/>
    <w:rsid w:val="00623EF4"/>
    <w:rsid w:val="00625360"/>
    <w:rsid w:val="00625B43"/>
    <w:rsid w:val="00625D54"/>
    <w:rsid w:val="006266C1"/>
    <w:rsid w:val="006271D7"/>
    <w:rsid w:val="00631566"/>
    <w:rsid w:val="0063783E"/>
    <w:rsid w:val="00644944"/>
    <w:rsid w:val="00644ABA"/>
    <w:rsid w:val="00650D52"/>
    <w:rsid w:val="00653C8D"/>
    <w:rsid w:val="00657CA3"/>
    <w:rsid w:val="006600A3"/>
    <w:rsid w:val="00670418"/>
    <w:rsid w:val="00675B08"/>
    <w:rsid w:val="00675D68"/>
    <w:rsid w:val="006773DF"/>
    <w:rsid w:val="00677F1E"/>
    <w:rsid w:val="00686678"/>
    <w:rsid w:val="00690612"/>
    <w:rsid w:val="00691AC0"/>
    <w:rsid w:val="0069595B"/>
    <w:rsid w:val="00696D71"/>
    <w:rsid w:val="006A2CF4"/>
    <w:rsid w:val="006A3F76"/>
    <w:rsid w:val="006A633D"/>
    <w:rsid w:val="006B6C63"/>
    <w:rsid w:val="006B6CD9"/>
    <w:rsid w:val="006C1900"/>
    <w:rsid w:val="006C19A3"/>
    <w:rsid w:val="006C2636"/>
    <w:rsid w:val="006C4B09"/>
    <w:rsid w:val="006D01A2"/>
    <w:rsid w:val="006D0C02"/>
    <w:rsid w:val="006D0F85"/>
    <w:rsid w:val="006D2A79"/>
    <w:rsid w:val="006D2F6C"/>
    <w:rsid w:val="006D388C"/>
    <w:rsid w:val="006D6D91"/>
    <w:rsid w:val="006E211E"/>
    <w:rsid w:val="006E69EC"/>
    <w:rsid w:val="006F1046"/>
    <w:rsid w:val="006F1CDC"/>
    <w:rsid w:val="006F23F3"/>
    <w:rsid w:val="00701066"/>
    <w:rsid w:val="00701CB2"/>
    <w:rsid w:val="007032A3"/>
    <w:rsid w:val="00707590"/>
    <w:rsid w:val="00711C3D"/>
    <w:rsid w:val="00717A08"/>
    <w:rsid w:val="00721093"/>
    <w:rsid w:val="00721BA4"/>
    <w:rsid w:val="007247E0"/>
    <w:rsid w:val="00726628"/>
    <w:rsid w:val="0072686F"/>
    <w:rsid w:val="007277CA"/>
    <w:rsid w:val="007326C6"/>
    <w:rsid w:val="00736251"/>
    <w:rsid w:val="00736611"/>
    <w:rsid w:val="00745D4B"/>
    <w:rsid w:val="00754986"/>
    <w:rsid w:val="007555DF"/>
    <w:rsid w:val="0077166B"/>
    <w:rsid w:val="00774C20"/>
    <w:rsid w:val="00777200"/>
    <w:rsid w:val="00780063"/>
    <w:rsid w:val="0078389E"/>
    <w:rsid w:val="007853B7"/>
    <w:rsid w:val="00785814"/>
    <w:rsid w:val="00791878"/>
    <w:rsid w:val="00792D5C"/>
    <w:rsid w:val="007A0B06"/>
    <w:rsid w:val="007A558F"/>
    <w:rsid w:val="007B0BE9"/>
    <w:rsid w:val="007B28FE"/>
    <w:rsid w:val="007B3647"/>
    <w:rsid w:val="007B4B63"/>
    <w:rsid w:val="007B7BF7"/>
    <w:rsid w:val="007C1F37"/>
    <w:rsid w:val="007C27DA"/>
    <w:rsid w:val="007C7419"/>
    <w:rsid w:val="007D0908"/>
    <w:rsid w:val="007D603A"/>
    <w:rsid w:val="007E0922"/>
    <w:rsid w:val="007E7F51"/>
    <w:rsid w:val="007F1EC2"/>
    <w:rsid w:val="007F3B27"/>
    <w:rsid w:val="007F5A5F"/>
    <w:rsid w:val="008009EF"/>
    <w:rsid w:val="0080786C"/>
    <w:rsid w:val="00811456"/>
    <w:rsid w:val="008119DF"/>
    <w:rsid w:val="00812A4C"/>
    <w:rsid w:val="008166B6"/>
    <w:rsid w:val="00821463"/>
    <w:rsid w:val="00821D64"/>
    <w:rsid w:val="008226E7"/>
    <w:rsid w:val="00823A75"/>
    <w:rsid w:val="00825A13"/>
    <w:rsid w:val="00826E13"/>
    <w:rsid w:val="00827F84"/>
    <w:rsid w:val="00831D69"/>
    <w:rsid w:val="008320D8"/>
    <w:rsid w:val="0083268B"/>
    <w:rsid w:val="008417C5"/>
    <w:rsid w:val="00843A07"/>
    <w:rsid w:val="008455A3"/>
    <w:rsid w:val="00846032"/>
    <w:rsid w:val="008466DE"/>
    <w:rsid w:val="00853044"/>
    <w:rsid w:val="00863643"/>
    <w:rsid w:val="008646F3"/>
    <w:rsid w:val="00866961"/>
    <w:rsid w:val="008726F8"/>
    <w:rsid w:val="00874641"/>
    <w:rsid w:val="00875619"/>
    <w:rsid w:val="00881029"/>
    <w:rsid w:val="008821E6"/>
    <w:rsid w:val="00883EBB"/>
    <w:rsid w:val="00884006"/>
    <w:rsid w:val="0089218E"/>
    <w:rsid w:val="0089296F"/>
    <w:rsid w:val="00895449"/>
    <w:rsid w:val="008A2DDE"/>
    <w:rsid w:val="008A49BC"/>
    <w:rsid w:val="008A5DE3"/>
    <w:rsid w:val="008B0C15"/>
    <w:rsid w:val="008B189D"/>
    <w:rsid w:val="008B1F84"/>
    <w:rsid w:val="008C03B0"/>
    <w:rsid w:val="008C11B3"/>
    <w:rsid w:val="008C3BDB"/>
    <w:rsid w:val="008C76E3"/>
    <w:rsid w:val="008D130E"/>
    <w:rsid w:val="008D3F61"/>
    <w:rsid w:val="008D792B"/>
    <w:rsid w:val="008E431F"/>
    <w:rsid w:val="008E4802"/>
    <w:rsid w:val="008F283B"/>
    <w:rsid w:val="009002CB"/>
    <w:rsid w:val="00900E6C"/>
    <w:rsid w:val="00911966"/>
    <w:rsid w:val="0092456A"/>
    <w:rsid w:val="00924D40"/>
    <w:rsid w:val="0092530B"/>
    <w:rsid w:val="00925780"/>
    <w:rsid w:val="00935A22"/>
    <w:rsid w:val="00937FE3"/>
    <w:rsid w:val="009540BF"/>
    <w:rsid w:val="0095701B"/>
    <w:rsid w:val="00960E77"/>
    <w:rsid w:val="00962DD4"/>
    <w:rsid w:val="00972685"/>
    <w:rsid w:val="00977EAE"/>
    <w:rsid w:val="00981DC8"/>
    <w:rsid w:val="00982497"/>
    <w:rsid w:val="00984FA1"/>
    <w:rsid w:val="00990871"/>
    <w:rsid w:val="00991FBC"/>
    <w:rsid w:val="009966CE"/>
    <w:rsid w:val="00996E47"/>
    <w:rsid w:val="00996FAF"/>
    <w:rsid w:val="009A044E"/>
    <w:rsid w:val="009A4734"/>
    <w:rsid w:val="009B0763"/>
    <w:rsid w:val="009B30AC"/>
    <w:rsid w:val="009B37D9"/>
    <w:rsid w:val="009B3811"/>
    <w:rsid w:val="009C018A"/>
    <w:rsid w:val="009C246A"/>
    <w:rsid w:val="009D28DF"/>
    <w:rsid w:val="009D3558"/>
    <w:rsid w:val="009D3F09"/>
    <w:rsid w:val="009D4B48"/>
    <w:rsid w:val="009D7AC3"/>
    <w:rsid w:val="009E2CA4"/>
    <w:rsid w:val="009E4620"/>
    <w:rsid w:val="009E46FD"/>
    <w:rsid w:val="009E5932"/>
    <w:rsid w:val="009E7326"/>
    <w:rsid w:val="00A048AC"/>
    <w:rsid w:val="00A0749A"/>
    <w:rsid w:val="00A078C0"/>
    <w:rsid w:val="00A12F73"/>
    <w:rsid w:val="00A151A3"/>
    <w:rsid w:val="00A156E0"/>
    <w:rsid w:val="00A23F7F"/>
    <w:rsid w:val="00A30245"/>
    <w:rsid w:val="00A304AA"/>
    <w:rsid w:val="00A309EB"/>
    <w:rsid w:val="00A31A3C"/>
    <w:rsid w:val="00A33188"/>
    <w:rsid w:val="00A35065"/>
    <w:rsid w:val="00A41BBB"/>
    <w:rsid w:val="00A527AF"/>
    <w:rsid w:val="00A549BF"/>
    <w:rsid w:val="00A60997"/>
    <w:rsid w:val="00A65EC9"/>
    <w:rsid w:val="00A66BAB"/>
    <w:rsid w:val="00A7344A"/>
    <w:rsid w:val="00A734AB"/>
    <w:rsid w:val="00A774FC"/>
    <w:rsid w:val="00A856C6"/>
    <w:rsid w:val="00A85E90"/>
    <w:rsid w:val="00A9092F"/>
    <w:rsid w:val="00A92E8D"/>
    <w:rsid w:val="00A949F6"/>
    <w:rsid w:val="00AA0347"/>
    <w:rsid w:val="00AA2637"/>
    <w:rsid w:val="00AA35A5"/>
    <w:rsid w:val="00AA387C"/>
    <w:rsid w:val="00AA393E"/>
    <w:rsid w:val="00AA7861"/>
    <w:rsid w:val="00AB1AFA"/>
    <w:rsid w:val="00AB4287"/>
    <w:rsid w:val="00AB56A1"/>
    <w:rsid w:val="00AB6BC9"/>
    <w:rsid w:val="00AC0F46"/>
    <w:rsid w:val="00AC1D26"/>
    <w:rsid w:val="00AC1E05"/>
    <w:rsid w:val="00AC5801"/>
    <w:rsid w:val="00AC6180"/>
    <w:rsid w:val="00AC6628"/>
    <w:rsid w:val="00AC67C7"/>
    <w:rsid w:val="00AC736C"/>
    <w:rsid w:val="00AD031F"/>
    <w:rsid w:val="00AD1F41"/>
    <w:rsid w:val="00AD2CC9"/>
    <w:rsid w:val="00AD3E28"/>
    <w:rsid w:val="00AD7176"/>
    <w:rsid w:val="00AF49A6"/>
    <w:rsid w:val="00AF4F8B"/>
    <w:rsid w:val="00AF530F"/>
    <w:rsid w:val="00B01FE6"/>
    <w:rsid w:val="00B05622"/>
    <w:rsid w:val="00B06129"/>
    <w:rsid w:val="00B11CF7"/>
    <w:rsid w:val="00B11DE8"/>
    <w:rsid w:val="00B12F7F"/>
    <w:rsid w:val="00B15667"/>
    <w:rsid w:val="00B17A71"/>
    <w:rsid w:val="00B20C76"/>
    <w:rsid w:val="00B244BA"/>
    <w:rsid w:val="00B24729"/>
    <w:rsid w:val="00B3214C"/>
    <w:rsid w:val="00B34DF9"/>
    <w:rsid w:val="00B36438"/>
    <w:rsid w:val="00B37E1F"/>
    <w:rsid w:val="00B4433F"/>
    <w:rsid w:val="00B50B55"/>
    <w:rsid w:val="00B52489"/>
    <w:rsid w:val="00B5465A"/>
    <w:rsid w:val="00B54B6A"/>
    <w:rsid w:val="00B5506A"/>
    <w:rsid w:val="00B57D5E"/>
    <w:rsid w:val="00B63060"/>
    <w:rsid w:val="00B63AFE"/>
    <w:rsid w:val="00B64AEE"/>
    <w:rsid w:val="00B6563D"/>
    <w:rsid w:val="00B66F9B"/>
    <w:rsid w:val="00B73C47"/>
    <w:rsid w:val="00B87AA9"/>
    <w:rsid w:val="00B92C5A"/>
    <w:rsid w:val="00B93408"/>
    <w:rsid w:val="00BA5F00"/>
    <w:rsid w:val="00BB0A7B"/>
    <w:rsid w:val="00BB1F28"/>
    <w:rsid w:val="00BB6EE8"/>
    <w:rsid w:val="00BB6F66"/>
    <w:rsid w:val="00BC00E4"/>
    <w:rsid w:val="00BC02EF"/>
    <w:rsid w:val="00BC0918"/>
    <w:rsid w:val="00BC15A6"/>
    <w:rsid w:val="00BC1A1F"/>
    <w:rsid w:val="00BC2F3C"/>
    <w:rsid w:val="00BC7E00"/>
    <w:rsid w:val="00BE2D89"/>
    <w:rsid w:val="00BF0671"/>
    <w:rsid w:val="00BF093B"/>
    <w:rsid w:val="00BF3AE3"/>
    <w:rsid w:val="00BF504D"/>
    <w:rsid w:val="00BF58B3"/>
    <w:rsid w:val="00C0120D"/>
    <w:rsid w:val="00C04DF8"/>
    <w:rsid w:val="00C06B65"/>
    <w:rsid w:val="00C10920"/>
    <w:rsid w:val="00C1276D"/>
    <w:rsid w:val="00C171DF"/>
    <w:rsid w:val="00C20B62"/>
    <w:rsid w:val="00C23253"/>
    <w:rsid w:val="00C24777"/>
    <w:rsid w:val="00C25D16"/>
    <w:rsid w:val="00C268C6"/>
    <w:rsid w:val="00C27CF5"/>
    <w:rsid w:val="00C3139B"/>
    <w:rsid w:val="00C3447D"/>
    <w:rsid w:val="00C37FC1"/>
    <w:rsid w:val="00C452B1"/>
    <w:rsid w:val="00C455BB"/>
    <w:rsid w:val="00C50EF6"/>
    <w:rsid w:val="00C51FF8"/>
    <w:rsid w:val="00C62530"/>
    <w:rsid w:val="00C6401E"/>
    <w:rsid w:val="00C64D8E"/>
    <w:rsid w:val="00C65C2A"/>
    <w:rsid w:val="00C72B75"/>
    <w:rsid w:val="00C746C3"/>
    <w:rsid w:val="00C765DD"/>
    <w:rsid w:val="00C76DEF"/>
    <w:rsid w:val="00C85149"/>
    <w:rsid w:val="00C90D02"/>
    <w:rsid w:val="00C90FED"/>
    <w:rsid w:val="00C9155F"/>
    <w:rsid w:val="00C926C4"/>
    <w:rsid w:val="00C92BE1"/>
    <w:rsid w:val="00C93785"/>
    <w:rsid w:val="00C94B13"/>
    <w:rsid w:val="00CA1A81"/>
    <w:rsid w:val="00CA2A3C"/>
    <w:rsid w:val="00CA4DFF"/>
    <w:rsid w:val="00CB2595"/>
    <w:rsid w:val="00CC42C5"/>
    <w:rsid w:val="00CC5E96"/>
    <w:rsid w:val="00CC6327"/>
    <w:rsid w:val="00CD356D"/>
    <w:rsid w:val="00CD7441"/>
    <w:rsid w:val="00CE04AF"/>
    <w:rsid w:val="00CE1605"/>
    <w:rsid w:val="00CE295C"/>
    <w:rsid w:val="00CE6890"/>
    <w:rsid w:val="00CF11E7"/>
    <w:rsid w:val="00CF25A0"/>
    <w:rsid w:val="00CF687F"/>
    <w:rsid w:val="00CF7E67"/>
    <w:rsid w:val="00D017B3"/>
    <w:rsid w:val="00D03043"/>
    <w:rsid w:val="00D064AC"/>
    <w:rsid w:val="00D06AE0"/>
    <w:rsid w:val="00D102AF"/>
    <w:rsid w:val="00D10807"/>
    <w:rsid w:val="00D11FEA"/>
    <w:rsid w:val="00D14D5A"/>
    <w:rsid w:val="00D24AD7"/>
    <w:rsid w:val="00D252FB"/>
    <w:rsid w:val="00D263EC"/>
    <w:rsid w:val="00D27AC4"/>
    <w:rsid w:val="00D27EA3"/>
    <w:rsid w:val="00D30C9E"/>
    <w:rsid w:val="00D31DFB"/>
    <w:rsid w:val="00D33741"/>
    <w:rsid w:val="00D36B19"/>
    <w:rsid w:val="00D425B6"/>
    <w:rsid w:val="00D45BC6"/>
    <w:rsid w:val="00D51199"/>
    <w:rsid w:val="00D541AF"/>
    <w:rsid w:val="00D55B2D"/>
    <w:rsid w:val="00D55F97"/>
    <w:rsid w:val="00D6007A"/>
    <w:rsid w:val="00D62450"/>
    <w:rsid w:val="00D65FAC"/>
    <w:rsid w:val="00D73349"/>
    <w:rsid w:val="00D814B0"/>
    <w:rsid w:val="00D81593"/>
    <w:rsid w:val="00D8709F"/>
    <w:rsid w:val="00D91E9B"/>
    <w:rsid w:val="00D9367D"/>
    <w:rsid w:val="00D94BC9"/>
    <w:rsid w:val="00D95709"/>
    <w:rsid w:val="00D95E40"/>
    <w:rsid w:val="00DA2295"/>
    <w:rsid w:val="00DB05A8"/>
    <w:rsid w:val="00DB0E54"/>
    <w:rsid w:val="00DB3301"/>
    <w:rsid w:val="00DB4EEF"/>
    <w:rsid w:val="00DB73F1"/>
    <w:rsid w:val="00DC3A6C"/>
    <w:rsid w:val="00DC6CAE"/>
    <w:rsid w:val="00DD00FC"/>
    <w:rsid w:val="00DD3273"/>
    <w:rsid w:val="00DD6333"/>
    <w:rsid w:val="00DE3300"/>
    <w:rsid w:val="00DE3EEF"/>
    <w:rsid w:val="00DE54EC"/>
    <w:rsid w:val="00DE6164"/>
    <w:rsid w:val="00DE6D36"/>
    <w:rsid w:val="00DF0B75"/>
    <w:rsid w:val="00DF1D15"/>
    <w:rsid w:val="00E009AF"/>
    <w:rsid w:val="00E111A7"/>
    <w:rsid w:val="00E12981"/>
    <w:rsid w:val="00E12BD0"/>
    <w:rsid w:val="00E15779"/>
    <w:rsid w:val="00E170ED"/>
    <w:rsid w:val="00E20F12"/>
    <w:rsid w:val="00E21F6C"/>
    <w:rsid w:val="00E23171"/>
    <w:rsid w:val="00E30052"/>
    <w:rsid w:val="00E30850"/>
    <w:rsid w:val="00E3272C"/>
    <w:rsid w:val="00E377AA"/>
    <w:rsid w:val="00E421E0"/>
    <w:rsid w:val="00E44DD0"/>
    <w:rsid w:val="00E454E3"/>
    <w:rsid w:val="00E57B8E"/>
    <w:rsid w:val="00E57F83"/>
    <w:rsid w:val="00E611D1"/>
    <w:rsid w:val="00E63ABD"/>
    <w:rsid w:val="00E65817"/>
    <w:rsid w:val="00E6642D"/>
    <w:rsid w:val="00E7044C"/>
    <w:rsid w:val="00E7738A"/>
    <w:rsid w:val="00E86E77"/>
    <w:rsid w:val="00E87221"/>
    <w:rsid w:val="00E93025"/>
    <w:rsid w:val="00E93B4C"/>
    <w:rsid w:val="00E95429"/>
    <w:rsid w:val="00E95E28"/>
    <w:rsid w:val="00E971B1"/>
    <w:rsid w:val="00EA0944"/>
    <w:rsid w:val="00EA0C52"/>
    <w:rsid w:val="00EA218E"/>
    <w:rsid w:val="00EA2CE5"/>
    <w:rsid w:val="00EA304B"/>
    <w:rsid w:val="00EA3429"/>
    <w:rsid w:val="00EA5EFC"/>
    <w:rsid w:val="00EA73D4"/>
    <w:rsid w:val="00EA7698"/>
    <w:rsid w:val="00EB3794"/>
    <w:rsid w:val="00EB700B"/>
    <w:rsid w:val="00EC085D"/>
    <w:rsid w:val="00ED12A3"/>
    <w:rsid w:val="00ED4628"/>
    <w:rsid w:val="00EE15B6"/>
    <w:rsid w:val="00EF6209"/>
    <w:rsid w:val="00EF7CBE"/>
    <w:rsid w:val="00F0035D"/>
    <w:rsid w:val="00F010AF"/>
    <w:rsid w:val="00F05E31"/>
    <w:rsid w:val="00F07728"/>
    <w:rsid w:val="00F12907"/>
    <w:rsid w:val="00F12DDB"/>
    <w:rsid w:val="00F17C6C"/>
    <w:rsid w:val="00F21EEA"/>
    <w:rsid w:val="00F25ED8"/>
    <w:rsid w:val="00F31E3E"/>
    <w:rsid w:val="00F37019"/>
    <w:rsid w:val="00F37B89"/>
    <w:rsid w:val="00F46412"/>
    <w:rsid w:val="00F47B63"/>
    <w:rsid w:val="00F51543"/>
    <w:rsid w:val="00F53A4B"/>
    <w:rsid w:val="00F60DF9"/>
    <w:rsid w:val="00F70E51"/>
    <w:rsid w:val="00F717AB"/>
    <w:rsid w:val="00F91100"/>
    <w:rsid w:val="00F92D51"/>
    <w:rsid w:val="00FA1902"/>
    <w:rsid w:val="00FA47E3"/>
    <w:rsid w:val="00FA574C"/>
    <w:rsid w:val="00FC5357"/>
    <w:rsid w:val="00FC7AE9"/>
    <w:rsid w:val="00FD1A7D"/>
    <w:rsid w:val="00FD1E13"/>
    <w:rsid w:val="00FE5CA9"/>
    <w:rsid w:val="00FE6CBE"/>
    <w:rsid w:val="00FF3215"/>
    <w:rsid w:val="00FF47C3"/>
    <w:rsid w:val="00FF6169"/>
    <w:rsid w:val="00FF6F7C"/>
    <w:rsid w:val="018F147C"/>
    <w:rsid w:val="026E775E"/>
    <w:rsid w:val="04A1431C"/>
    <w:rsid w:val="04CD3835"/>
    <w:rsid w:val="0A0440D4"/>
    <w:rsid w:val="0E697856"/>
    <w:rsid w:val="0FA27437"/>
    <w:rsid w:val="14CA0E17"/>
    <w:rsid w:val="19101988"/>
    <w:rsid w:val="1AFE2E86"/>
    <w:rsid w:val="1B9A3B02"/>
    <w:rsid w:val="1C770AF6"/>
    <w:rsid w:val="20792338"/>
    <w:rsid w:val="272C573A"/>
    <w:rsid w:val="276A34A9"/>
    <w:rsid w:val="27856989"/>
    <w:rsid w:val="298E49E0"/>
    <w:rsid w:val="2E492ED8"/>
    <w:rsid w:val="2ECD7C58"/>
    <w:rsid w:val="2FCE0EAE"/>
    <w:rsid w:val="31932072"/>
    <w:rsid w:val="335E225C"/>
    <w:rsid w:val="34F36309"/>
    <w:rsid w:val="39044AEB"/>
    <w:rsid w:val="39A165FF"/>
    <w:rsid w:val="3BDF1EDD"/>
    <w:rsid w:val="3D7B5830"/>
    <w:rsid w:val="3E517121"/>
    <w:rsid w:val="3ECD00BD"/>
    <w:rsid w:val="3FFA7F30"/>
    <w:rsid w:val="406F348E"/>
    <w:rsid w:val="436A115D"/>
    <w:rsid w:val="4EBC6B43"/>
    <w:rsid w:val="4FF11D8E"/>
    <w:rsid w:val="55396076"/>
    <w:rsid w:val="55EA180E"/>
    <w:rsid w:val="58766E9D"/>
    <w:rsid w:val="5BD25A31"/>
    <w:rsid w:val="63591EBC"/>
    <w:rsid w:val="64D84A17"/>
    <w:rsid w:val="65114BF8"/>
    <w:rsid w:val="6A3F2CBC"/>
    <w:rsid w:val="72C936DA"/>
    <w:rsid w:val="77AE12B8"/>
    <w:rsid w:val="7E1B0EB1"/>
    <w:rsid w:val="7FA1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qFormat="1" w:unhideWhenUsed="0" w:uiPriority="99" w:name="macro"/>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 w:cs="Times New Roman"/>
      <w:sz w:val="28"/>
      <w:szCs w:val="22"/>
      <w:lang w:val="en-US" w:eastAsia="zh-CN" w:bidi="ar-SA"/>
    </w:rPr>
  </w:style>
  <w:style w:type="paragraph" w:styleId="3">
    <w:name w:val="heading 1"/>
    <w:basedOn w:val="1"/>
    <w:next w:val="1"/>
    <w:link w:val="30"/>
    <w:qFormat/>
    <w:locked/>
    <w:uiPriority w:val="9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9"/>
    <w:pPr>
      <w:widowControl w:val="0"/>
      <w:adjustRightInd/>
      <w:snapToGrid/>
      <w:spacing w:after="0"/>
      <w:jc w:val="both"/>
      <w:outlineLvl w:val="1"/>
    </w:pPr>
    <w:rPr>
      <w:rFonts w:ascii="Times New Roman" w:hAnsi="Times New Roman" w:eastAsia="宋体"/>
      <w:sz w:val="20"/>
      <w:szCs w:val="21"/>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macro"/>
    <w:link w:val="29"/>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5">
    <w:name w:val="annotation text"/>
    <w:basedOn w:val="1"/>
    <w:link w:val="26"/>
    <w:semiHidden/>
    <w:qFormat/>
    <w:uiPriority w:val="99"/>
  </w:style>
  <w:style w:type="paragraph" w:styleId="6">
    <w:name w:val="Body Text"/>
    <w:basedOn w:val="1"/>
    <w:link w:val="39"/>
    <w:qFormat/>
    <w:uiPriority w:val="99"/>
    <w:pPr>
      <w:ind w:left="100"/>
    </w:pPr>
    <w:rPr>
      <w:szCs w:val="28"/>
    </w:rPr>
  </w:style>
  <w:style w:type="paragraph" w:styleId="7">
    <w:name w:val="Body Text Indent"/>
    <w:basedOn w:val="1"/>
    <w:link w:val="36"/>
    <w:qFormat/>
    <w:uiPriority w:val="99"/>
    <w:pPr>
      <w:spacing w:after="120"/>
      <w:ind w:left="420" w:leftChars="200"/>
    </w:pPr>
  </w:style>
  <w:style w:type="paragraph" w:styleId="8">
    <w:name w:val="Date"/>
    <w:basedOn w:val="1"/>
    <w:next w:val="1"/>
    <w:link w:val="49"/>
    <w:semiHidden/>
    <w:unhideWhenUsed/>
    <w:qFormat/>
    <w:locked/>
    <w:uiPriority w:val="99"/>
    <w:pPr>
      <w:ind w:left="100" w:leftChars="2500"/>
    </w:pPr>
  </w:style>
  <w:style w:type="paragraph" w:styleId="9">
    <w:name w:val="Body Text Indent 2"/>
    <w:basedOn w:val="1"/>
    <w:link w:val="27"/>
    <w:qFormat/>
    <w:uiPriority w:val="99"/>
    <w:pPr>
      <w:widowControl w:val="0"/>
      <w:adjustRightInd/>
      <w:snapToGrid/>
      <w:spacing w:after="0" w:line="440" w:lineRule="exact"/>
      <w:ind w:firstLine="480" w:firstLineChars="200"/>
      <w:jc w:val="both"/>
    </w:pPr>
    <w:rPr>
      <w:rFonts w:ascii="Times New Roman" w:hAnsi="Times New Roman" w:eastAsia="宋体"/>
      <w:sz w:val="24"/>
      <w:szCs w:val="24"/>
    </w:rPr>
  </w:style>
  <w:style w:type="paragraph" w:styleId="10">
    <w:name w:val="Balloon Text"/>
    <w:basedOn w:val="1"/>
    <w:link w:val="42"/>
    <w:semiHidden/>
    <w:qFormat/>
    <w:uiPriority w:val="99"/>
    <w:pPr>
      <w:spacing w:after="0"/>
    </w:pPr>
    <w:rPr>
      <w:sz w:val="18"/>
      <w:szCs w:val="18"/>
    </w:rPr>
  </w:style>
  <w:style w:type="paragraph" w:styleId="11">
    <w:name w:val="footer"/>
    <w:basedOn w:val="1"/>
    <w:link w:val="43"/>
    <w:qFormat/>
    <w:uiPriority w:val="99"/>
    <w:pPr>
      <w:tabs>
        <w:tab w:val="center" w:pos="4153"/>
        <w:tab w:val="right" w:pos="8306"/>
      </w:tabs>
    </w:pPr>
    <w:rPr>
      <w:sz w:val="18"/>
      <w:szCs w:val="18"/>
    </w:rPr>
  </w:style>
  <w:style w:type="paragraph" w:styleId="12">
    <w:name w:val="header"/>
    <w:basedOn w:val="1"/>
    <w:next w:val="1"/>
    <w:link w:val="38"/>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99"/>
    <w:pPr>
      <w:widowControl w:val="0"/>
      <w:adjustRightInd/>
      <w:snapToGrid/>
      <w:spacing w:after="0"/>
      <w:jc w:val="both"/>
    </w:pPr>
    <w:rPr>
      <w:rFonts w:ascii="Times New Roman" w:hAnsi="Times New Roman" w:eastAsia="宋体"/>
      <w:kern w:val="2"/>
      <w:sz w:val="21"/>
      <w:szCs w:val="24"/>
    </w:rPr>
  </w:style>
  <w:style w:type="paragraph" w:styleId="14">
    <w:name w:val="index heading"/>
    <w:basedOn w:val="1"/>
    <w:next w:val="15"/>
    <w:qFormat/>
    <w:uiPriority w:val="99"/>
    <w:pPr>
      <w:spacing w:after="0"/>
    </w:pPr>
    <w:rPr>
      <w:rFonts w:eastAsia="宋体"/>
      <w:szCs w:val="20"/>
    </w:rPr>
  </w:style>
  <w:style w:type="paragraph" w:styleId="15">
    <w:name w:val="index 1"/>
    <w:basedOn w:val="1"/>
    <w:next w:val="1"/>
    <w:semiHidden/>
    <w:qFormat/>
    <w:uiPriority w:val="99"/>
  </w:style>
  <w:style w:type="paragraph" w:styleId="16">
    <w:name w:val="toc 2"/>
    <w:basedOn w:val="1"/>
    <w:next w:val="1"/>
    <w:qFormat/>
    <w:uiPriority w:val="0"/>
    <w:pPr>
      <w:ind w:left="420" w:leftChars="200"/>
    </w:pPr>
  </w:style>
  <w:style w:type="paragraph" w:styleId="17">
    <w:name w:val="annotation subject"/>
    <w:basedOn w:val="5"/>
    <w:next w:val="5"/>
    <w:link w:val="25"/>
    <w:semiHidden/>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locked/>
    <w:uiPriority w:val="99"/>
    <w:rPr>
      <w:rFonts w:cs="Times New Roman"/>
    </w:rPr>
  </w:style>
  <w:style w:type="character" w:styleId="22">
    <w:name w:val="annotation reference"/>
    <w:basedOn w:val="20"/>
    <w:semiHidden/>
    <w:qFormat/>
    <w:uiPriority w:val="99"/>
    <w:rPr>
      <w:rFonts w:cs="Times New Roman"/>
      <w:sz w:val="21"/>
      <w:szCs w:val="21"/>
    </w:rPr>
  </w:style>
  <w:style w:type="character" w:customStyle="1" w:styleId="23">
    <w:name w:val="表格文字 Char"/>
    <w:link w:val="24"/>
    <w:qFormat/>
    <w:locked/>
    <w:uiPriority w:val="99"/>
    <w:rPr>
      <w:rFonts w:ascii="宋体" w:hAnsi="宋体" w:eastAsia="宋体"/>
      <w:sz w:val="22"/>
      <w:lang w:val="en-US" w:eastAsia="zh-CN"/>
    </w:rPr>
  </w:style>
  <w:style w:type="paragraph" w:customStyle="1" w:styleId="24">
    <w:name w:val="表格文字"/>
    <w:basedOn w:val="1"/>
    <w:link w:val="23"/>
    <w:qFormat/>
    <w:uiPriority w:val="99"/>
    <w:pPr>
      <w:adjustRightInd/>
      <w:snapToGrid/>
      <w:spacing w:after="0" w:line="400" w:lineRule="exact"/>
      <w:jc w:val="center"/>
    </w:pPr>
    <w:rPr>
      <w:rFonts w:ascii="宋体" w:hAnsi="宋体" w:eastAsia="宋体"/>
      <w:szCs w:val="20"/>
    </w:rPr>
  </w:style>
  <w:style w:type="character" w:customStyle="1" w:styleId="25">
    <w:name w:val="批注主题 字符"/>
    <w:basedOn w:val="26"/>
    <w:link w:val="17"/>
    <w:semiHidden/>
    <w:qFormat/>
    <w:locked/>
    <w:uiPriority w:val="99"/>
    <w:rPr>
      <w:rFonts w:ascii="Tahoma" w:hAnsi="Tahoma" w:eastAsia="微软雅黑" w:cs="Times New Roman"/>
      <w:b/>
      <w:bCs/>
      <w:sz w:val="22"/>
      <w:szCs w:val="22"/>
    </w:rPr>
  </w:style>
  <w:style w:type="character" w:customStyle="1" w:styleId="26">
    <w:name w:val="批注文字 字符"/>
    <w:basedOn w:val="20"/>
    <w:link w:val="5"/>
    <w:semiHidden/>
    <w:qFormat/>
    <w:locked/>
    <w:uiPriority w:val="99"/>
    <w:rPr>
      <w:rFonts w:ascii="Tahoma" w:hAnsi="Tahoma" w:eastAsia="微软雅黑" w:cs="Times New Roman"/>
      <w:sz w:val="22"/>
      <w:szCs w:val="22"/>
    </w:rPr>
  </w:style>
  <w:style w:type="character" w:customStyle="1" w:styleId="27">
    <w:name w:val="正文文本缩进 2 字符"/>
    <w:basedOn w:val="20"/>
    <w:link w:val="9"/>
    <w:qFormat/>
    <w:locked/>
    <w:uiPriority w:val="99"/>
    <w:rPr>
      <w:rFonts w:ascii="Times New Roman" w:hAnsi="Times New Roman" w:cs="Times New Roman"/>
      <w:sz w:val="24"/>
    </w:rPr>
  </w:style>
  <w:style w:type="character" w:customStyle="1" w:styleId="28">
    <w:name w:val="宏文本 Char1"/>
    <w:semiHidden/>
    <w:qFormat/>
    <w:uiPriority w:val="99"/>
    <w:rPr>
      <w:rFonts w:ascii="Courier New" w:hAnsi="Courier New" w:eastAsia="宋体"/>
      <w:kern w:val="0"/>
      <w:sz w:val="24"/>
    </w:rPr>
  </w:style>
  <w:style w:type="character" w:customStyle="1" w:styleId="29">
    <w:name w:val="宏文本 字符"/>
    <w:basedOn w:val="20"/>
    <w:link w:val="2"/>
    <w:semiHidden/>
    <w:qFormat/>
    <w:locked/>
    <w:uiPriority w:val="99"/>
    <w:rPr>
      <w:rFonts w:ascii="Courier New" w:hAnsi="Courier New" w:cs="Times New Roman"/>
      <w:sz w:val="24"/>
      <w:szCs w:val="24"/>
      <w:lang w:val="en-US" w:eastAsia="zh-CN" w:bidi="ar-SA"/>
    </w:rPr>
  </w:style>
  <w:style w:type="character" w:customStyle="1" w:styleId="30">
    <w:name w:val="标题 1 字符"/>
    <w:basedOn w:val="20"/>
    <w:link w:val="3"/>
    <w:qFormat/>
    <w:locked/>
    <w:uiPriority w:val="99"/>
    <w:rPr>
      <w:rFonts w:ascii="Tahoma" w:hAnsi="Tahoma" w:eastAsia="微软雅黑" w:cs="Times New Roman"/>
      <w:b/>
      <w:bCs/>
      <w:kern w:val="44"/>
      <w:sz w:val="44"/>
      <w:szCs w:val="44"/>
    </w:rPr>
  </w:style>
  <w:style w:type="character" w:customStyle="1" w:styleId="31">
    <w:name w:val="样式1 Char"/>
    <w:link w:val="32"/>
    <w:qFormat/>
    <w:locked/>
    <w:uiPriority w:val="99"/>
    <w:rPr>
      <w:b/>
      <w:kern w:val="2"/>
      <w:sz w:val="28"/>
    </w:rPr>
  </w:style>
  <w:style w:type="paragraph" w:customStyle="1" w:styleId="32">
    <w:name w:val="样式1"/>
    <w:basedOn w:val="1"/>
    <w:link w:val="31"/>
    <w:qFormat/>
    <w:uiPriority w:val="99"/>
    <w:pPr>
      <w:widowControl w:val="0"/>
      <w:adjustRightInd/>
      <w:snapToGrid/>
      <w:spacing w:after="0" w:line="300" w:lineRule="auto"/>
      <w:jc w:val="center"/>
      <w:outlineLvl w:val="0"/>
    </w:pPr>
    <w:rPr>
      <w:rFonts w:ascii="Times New Roman" w:hAnsi="Times New Roman" w:eastAsia="宋体"/>
      <w:b/>
      <w:kern w:val="2"/>
      <w:szCs w:val="20"/>
    </w:rPr>
  </w:style>
  <w:style w:type="character" w:customStyle="1" w:styleId="33">
    <w:name w:val="标题 2 字符"/>
    <w:basedOn w:val="20"/>
    <w:link w:val="4"/>
    <w:qFormat/>
    <w:locked/>
    <w:uiPriority w:val="99"/>
    <w:rPr>
      <w:rFonts w:ascii="Times New Roman" w:hAnsi="Times New Roman" w:eastAsia="宋体" w:cs="Times New Roman"/>
      <w:sz w:val="21"/>
    </w:rPr>
  </w:style>
  <w:style w:type="character" w:customStyle="1" w:styleId="34">
    <w:name w:val="1、正文 Char"/>
    <w:link w:val="35"/>
    <w:qFormat/>
    <w:locked/>
    <w:uiPriority w:val="99"/>
  </w:style>
  <w:style w:type="paragraph" w:customStyle="1" w:styleId="35">
    <w:name w:val="1、正文"/>
    <w:basedOn w:val="1"/>
    <w:link w:val="34"/>
    <w:qFormat/>
    <w:uiPriority w:val="99"/>
    <w:pPr>
      <w:widowControl w:val="0"/>
      <w:adjustRightInd/>
      <w:snapToGrid/>
      <w:spacing w:after="0" w:line="360" w:lineRule="auto"/>
      <w:ind w:firstLine="480" w:firstLineChars="200"/>
      <w:jc w:val="both"/>
    </w:pPr>
    <w:rPr>
      <w:rFonts w:ascii="Times New Roman" w:hAnsi="Times New Roman" w:eastAsia="宋体"/>
      <w:sz w:val="20"/>
      <w:szCs w:val="20"/>
    </w:rPr>
  </w:style>
  <w:style w:type="character" w:customStyle="1" w:styleId="36">
    <w:name w:val="正文文本缩进 字符"/>
    <w:basedOn w:val="20"/>
    <w:link w:val="7"/>
    <w:semiHidden/>
    <w:qFormat/>
    <w:locked/>
    <w:uiPriority w:val="99"/>
    <w:rPr>
      <w:rFonts w:ascii="Tahoma" w:hAnsi="Tahoma" w:eastAsia="微软雅黑" w:cs="Times New Roman"/>
      <w:sz w:val="22"/>
      <w:szCs w:val="22"/>
    </w:rPr>
  </w:style>
  <w:style w:type="character" w:customStyle="1" w:styleId="37">
    <w:name w:val="正文文本缩进 2 Char1"/>
    <w:semiHidden/>
    <w:qFormat/>
    <w:uiPriority w:val="99"/>
    <w:rPr>
      <w:rFonts w:ascii="Tahoma" w:hAnsi="Tahoma" w:eastAsia="微软雅黑"/>
      <w:kern w:val="0"/>
      <w:sz w:val="22"/>
    </w:rPr>
  </w:style>
  <w:style w:type="character" w:customStyle="1" w:styleId="38">
    <w:name w:val="页眉 字符"/>
    <w:basedOn w:val="20"/>
    <w:link w:val="12"/>
    <w:qFormat/>
    <w:locked/>
    <w:uiPriority w:val="99"/>
    <w:rPr>
      <w:rFonts w:ascii="Tahoma" w:hAnsi="Tahoma" w:eastAsia="微软雅黑" w:cs="Times New Roman"/>
      <w:kern w:val="0"/>
      <w:sz w:val="18"/>
    </w:rPr>
  </w:style>
  <w:style w:type="character" w:customStyle="1" w:styleId="39">
    <w:name w:val="正文文本 字符"/>
    <w:basedOn w:val="20"/>
    <w:link w:val="6"/>
    <w:semiHidden/>
    <w:qFormat/>
    <w:locked/>
    <w:uiPriority w:val="99"/>
    <w:rPr>
      <w:rFonts w:ascii="Tahoma" w:hAnsi="Tahoma" w:eastAsia="微软雅黑" w:cs="Times New Roman"/>
      <w:sz w:val="22"/>
      <w:szCs w:val="22"/>
    </w:rPr>
  </w:style>
  <w:style w:type="character" w:customStyle="1" w:styleId="40">
    <w:name w:val="@正文 Char"/>
    <w:link w:val="41"/>
    <w:qFormat/>
    <w:locked/>
    <w:uiPriority w:val="99"/>
    <w:rPr>
      <w:rFonts w:ascii="Calibri" w:hAnsi="Calibri" w:eastAsia="宋体"/>
      <w:lang w:val="en-US" w:eastAsia="zh-CN"/>
    </w:rPr>
  </w:style>
  <w:style w:type="paragraph" w:customStyle="1" w:styleId="41">
    <w:name w:val="@正文"/>
    <w:basedOn w:val="3"/>
    <w:link w:val="40"/>
    <w:qFormat/>
    <w:uiPriority w:val="99"/>
    <w:pPr>
      <w:widowControl w:val="0"/>
      <w:adjustRightInd/>
      <w:snapToGrid/>
      <w:spacing w:before="0" w:after="0" w:line="360" w:lineRule="auto"/>
      <w:ind w:firstLine="482" w:firstLineChars="200"/>
      <w:jc w:val="both"/>
      <w:outlineLvl w:val="9"/>
    </w:pPr>
    <w:rPr>
      <w:rFonts w:ascii="Calibri" w:hAnsi="Calibri" w:eastAsia="宋体"/>
      <w:b w:val="0"/>
      <w:bCs w:val="0"/>
      <w:kern w:val="0"/>
      <w:sz w:val="20"/>
      <w:szCs w:val="20"/>
    </w:rPr>
  </w:style>
  <w:style w:type="character" w:customStyle="1" w:styleId="42">
    <w:name w:val="批注框文本 字符"/>
    <w:basedOn w:val="20"/>
    <w:link w:val="10"/>
    <w:semiHidden/>
    <w:qFormat/>
    <w:locked/>
    <w:uiPriority w:val="99"/>
    <w:rPr>
      <w:rFonts w:ascii="Tahoma" w:hAnsi="Tahoma" w:eastAsia="微软雅黑" w:cs="Times New Roman"/>
      <w:kern w:val="0"/>
      <w:sz w:val="18"/>
    </w:rPr>
  </w:style>
  <w:style w:type="character" w:customStyle="1" w:styleId="43">
    <w:name w:val="页脚 字符"/>
    <w:basedOn w:val="20"/>
    <w:link w:val="11"/>
    <w:qFormat/>
    <w:locked/>
    <w:uiPriority w:val="99"/>
    <w:rPr>
      <w:rFonts w:ascii="Tahoma" w:hAnsi="Tahoma" w:eastAsia="微软雅黑" w:cs="Times New Roman"/>
      <w:kern w:val="0"/>
      <w:sz w:val="18"/>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1正文"/>
    <w:basedOn w:val="1"/>
    <w:qFormat/>
    <w:uiPriority w:val="99"/>
    <w:pPr>
      <w:keepNext/>
      <w:keepLines/>
      <w:widowControl w:val="0"/>
      <w:adjustRightInd/>
      <w:snapToGrid/>
      <w:spacing w:after="0" w:line="360" w:lineRule="auto"/>
      <w:jc w:val="both"/>
    </w:pPr>
    <w:rPr>
      <w:rFonts w:ascii="Calibri" w:hAnsi="Calibri" w:eastAsia="宋体"/>
      <w:sz w:val="20"/>
      <w:szCs w:val="20"/>
    </w:rPr>
  </w:style>
  <w:style w:type="paragraph" w:customStyle="1" w:styleId="46">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47">
    <w:name w:val="No Spacing"/>
    <w:qFormat/>
    <w:uiPriority w:val="99"/>
    <w:pPr>
      <w:widowControl w:val="0"/>
      <w:snapToGrid w:val="0"/>
      <w:jc w:val="center"/>
    </w:pPr>
    <w:rPr>
      <w:rFonts w:ascii="Times New Roman" w:hAnsi="Times New Roman" w:eastAsia="宋体" w:cs="Times New Roman"/>
      <w:kern w:val="2"/>
      <w:sz w:val="21"/>
      <w:lang w:val="en-US" w:eastAsia="zh-CN" w:bidi="ar-SA"/>
    </w:rPr>
  </w:style>
  <w:style w:type="paragraph" w:customStyle="1" w:styleId="48">
    <w:name w:val="简单回函地址"/>
    <w:basedOn w:val="1"/>
    <w:qFormat/>
    <w:uiPriority w:val="99"/>
    <w:pPr>
      <w:widowControl w:val="0"/>
      <w:snapToGrid/>
      <w:spacing w:after="0"/>
      <w:jc w:val="both"/>
      <w:textAlignment w:val="baseline"/>
    </w:pPr>
    <w:rPr>
      <w:rFonts w:ascii="Arial" w:hAnsi="Times New Roman" w:eastAsia="Times New Roman"/>
      <w:spacing w:val="-6"/>
      <w:szCs w:val="20"/>
    </w:rPr>
  </w:style>
  <w:style w:type="character" w:customStyle="1" w:styleId="49">
    <w:name w:val="日期 字符"/>
    <w:basedOn w:val="20"/>
    <w:link w:val="8"/>
    <w:semiHidden/>
    <w:qFormat/>
    <w:uiPriority w:val="99"/>
    <w:rPr>
      <w:rFonts w:ascii="Tahoma" w:hAnsi="Tahoma" w:eastAsia="微软雅黑"/>
      <w:sz w:val="22"/>
      <w:szCs w:val="22"/>
    </w:rPr>
  </w:style>
  <w:style w:type="paragraph" w:customStyle="1" w:styleId="50">
    <w:name w:val="样式 样式 样式 正文缩进1 + 仿宋 首行缩进:  2 字符 + 首行缩进:  2 字符 + 行距: 固定值 15 磅"/>
    <w:basedOn w:val="1"/>
    <w:qFormat/>
    <w:uiPriority w:val="0"/>
    <w:pPr>
      <w:widowControl w:val="0"/>
      <w:adjustRightInd/>
      <w:snapToGrid/>
      <w:spacing w:after="0" w:line="300" w:lineRule="exact"/>
      <w:ind w:firstLine="560" w:firstLineChars="200"/>
    </w:pPr>
    <w:rPr>
      <w:rFonts w:ascii="仿宋" w:hAnsi="仿宋" w:cs="宋体"/>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462</Words>
  <Characters>2640</Characters>
  <Lines>22</Lines>
  <Paragraphs>6</Paragraphs>
  <TotalTime>13</TotalTime>
  <ScaleCrop>false</ScaleCrop>
  <LinksUpToDate>false</LinksUpToDate>
  <CharactersWithSpaces>3096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2021-01-29T01:38:00Z</dcterms:created>
  <dc:creator>ThinkPad</dc:creator>
  <cp:lastModifiedBy>Diu Diu</cp:lastModifiedBy>
  <cp:lastPrinted>2018-11-19T13:24:00Z</cp:lastPrinted>
  <dcterms:modified xsi:type="dcterms:W3CDTF">2021-01-29T04:35:02Z</dcterms:modified>
  <dc:title>《特不同音响（苏州）有限公司年产扬声器900万只搬迁项目》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