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中石化壳牌（江苏）石油销售有限公司吴江第十五加油站技改项目</w:t>
      </w:r>
    </w:p>
    <w:p>
      <w:pPr>
        <w:spacing w:line="46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竣工环境保护验收意见</w:t>
      </w:r>
    </w:p>
    <w:p>
      <w:pPr>
        <w:pStyle w:val="2"/>
      </w:pP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>
        <w:rPr>
          <w:rFonts w:hint="eastAsia" w:ascii="Times New Roman" w:hAnsi="Times New Roman" w:cs="Times New Roman"/>
          <w:sz w:val="24"/>
          <w:lang w:val="en-US" w:eastAsia="zh-CN"/>
        </w:rPr>
        <w:t>21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>23</w:t>
      </w:r>
      <w:r>
        <w:rPr>
          <w:rFonts w:ascii="Times New Roman" w:hAnsi="Times New Roman" w:cs="Times New Roman"/>
          <w:sz w:val="24"/>
        </w:rPr>
        <w:t>日，</w:t>
      </w:r>
      <w:r>
        <w:rPr>
          <w:rFonts w:hint="eastAsia" w:ascii="Times New Roman" w:hAnsi="Times New Roman" w:cs="Times New Roman"/>
          <w:sz w:val="24"/>
          <w:lang w:val="en-US" w:eastAsia="zh-CN"/>
        </w:rPr>
        <w:t>中石化壳牌（江苏）石油销售有限公司</w:t>
      </w:r>
      <w:r>
        <w:rPr>
          <w:rFonts w:hint="eastAsia" w:ascii="Times New Roman" w:hAnsi="Times New Roman" w:cs="Times New Roman"/>
          <w:sz w:val="24"/>
        </w:rPr>
        <w:t>根据</w:t>
      </w:r>
      <w:r>
        <w:rPr>
          <w:rFonts w:hint="eastAsia" w:ascii="Times New Roman" w:hAnsi="Times New Roman" w:cs="Times New Roman"/>
          <w:sz w:val="24"/>
          <w:lang w:val="en-US" w:eastAsia="zh-CN"/>
        </w:rPr>
        <w:t>苏州绿鹏环保科技有限公司编制的</w:t>
      </w:r>
      <w:r>
        <w:rPr>
          <w:rFonts w:hint="eastAsia" w:ascii="Times New Roman" w:hAnsi="Times New Roman" w:cs="Times New Roman"/>
          <w:sz w:val="24"/>
        </w:rPr>
        <w:t>《</w:t>
      </w:r>
      <w:r>
        <w:rPr>
          <w:rFonts w:hint="eastAsia" w:ascii="Times New Roman" w:hAnsi="Times New Roman" w:cs="Times New Roman"/>
          <w:sz w:val="24"/>
          <w:lang w:val="en-US" w:eastAsia="zh-CN"/>
        </w:rPr>
        <w:t>中石化壳牌（江苏）石油销售有限公司吴江第十五加油站技改项目</w:t>
      </w:r>
      <w:r>
        <w:rPr>
          <w:rFonts w:hint="eastAsia" w:ascii="Times New Roman" w:hAnsi="Times New Roman" w:cs="Times New Roman"/>
          <w:sz w:val="24"/>
        </w:rPr>
        <w:t>竣工环境保护验收监测报告</w:t>
      </w:r>
      <w:r>
        <w:rPr>
          <w:rFonts w:hint="eastAsia" w:ascii="Times New Roman" w:hAnsi="Times New Roman" w:cs="Times New Roman"/>
          <w:sz w:val="24"/>
          <w:lang w:eastAsia="zh-CN"/>
        </w:rPr>
        <w:t>表</w:t>
      </w:r>
      <w:r>
        <w:rPr>
          <w:rFonts w:hint="eastAsia" w:ascii="Times New Roman" w:hAnsi="Times New Roman" w:cs="Times New Roman"/>
          <w:sz w:val="24"/>
        </w:rPr>
        <w:t>》</w:t>
      </w:r>
      <w:r>
        <w:rPr>
          <w:rFonts w:hint="eastAsia" w:ascii="Times New Roman" w:hAnsi="Times New Roman" w:cs="Times New Roman"/>
          <w:sz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</w:rPr>
        <w:t>（20</w:t>
      </w:r>
      <w:r>
        <w:rPr>
          <w:rFonts w:hint="eastAsia" w:ascii="Times New Roman" w:hAnsi="Times New Roman" w:cs="Times New Roman"/>
          <w:sz w:val="24"/>
          <w:lang w:val="en-US" w:eastAsia="zh-CN"/>
        </w:rPr>
        <w:t>21</w:t>
      </w:r>
      <w:r>
        <w:rPr>
          <w:rFonts w:hint="default" w:ascii="Times New Roman" w:hAnsi="Times New Roman" w:cs="Times New Roman"/>
          <w:sz w:val="24"/>
        </w:rPr>
        <w:t>）</w:t>
      </w:r>
      <w:r>
        <w:rPr>
          <w:rFonts w:hint="eastAsia" w:ascii="Times New Roman" w:hAnsi="Times New Roman" w:cs="Times New Roman"/>
          <w:sz w:val="24"/>
          <w:lang w:val="en-US" w:eastAsia="zh-CN"/>
        </w:rPr>
        <w:t>绿鹏</w:t>
      </w:r>
      <w:r>
        <w:rPr>
          <w:rFonts w:hint="default" w:ascii="Times New Roman" w:hAnsi="Times New Roman" w:cs="Times New Roman"/>
          <w:sz w:val="24"/>
        </w:rPr>
        <w:t>（验收）字第（0</w:t>
      </w:r>
      <w:r>
        <w:rPr>
          <w:rFonts w:hint="default" w:ascii="Times New Roman" w:hAnsi="Times New Roman" w:cs="Times New Roman"/>
          <w:sz w:val="24"/>
          <w:lang w:val="en-US" w:eastAsia="zh-CN"/>
        </w:rPr>
        <w:t>0</w:t>
      </w:r>
      <w:r>
        <w:rPr>
          <w:rFonts w:hint="eastAsia" w:ascii="Times New Roman" w:hAnsi="Times New Roman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cs="Times New Roman"/>
          <w:sz w:val="24"/>
        </w:rPr>
        <w:t>）号</w:t>
      </w:r>
      <w:r>
        <w:rPr>
          <w:rFonts w:hint="eastAsia" w:ascii="Times New Roman" w:hAnsi="Times New Roman" w:cs="Times New Roman"/>
          <w:sz w:val="24"/>
          <w:lang w:eastAsia="zh-CN"/>
        </w:rPr>
        <w:t>）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按照《建设项目竣工环境保护验收暂行办法》(国环规环评[2017]4号)、国家有关法律法规、本项目环境影响登记表等，组织验收工作组对项目进行竣工环境保护验收。验收工作组由监测单位(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苏州昌禾环境检测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有限公司</w:t>
      </w:r>
      <w:r>
        <w:rPr>
          <w:rFonts w:ascii="Times New Roman" w:hAnsi="Times New Roman" w:cs="Times New Roman"/>
          <w:sz w:val="24"/>
        </w:rPr>
        <w:t>)</w:t>
      </w:r>
      <w:r>
        <w:rPr>
          <w:rFonts w:hint="eastAsia" w:ascii="Times New Roman" w:hAnsi="Times New Roman" w:cs="Times New Roman"/>
          <w:sz w:val="24"/>
          <w:lang w:eastAsia="zh-CN"/>
        </w:rPr>
        <w:t>、环保技术服务单位（苏州绿鹏环保科技有限公司）</w:t>
      </w:r>
      <w:r>
        <w:rPr>
          <w:rFonts w:ascii="Times New Roman" w:hAnsi="Times New Roman" w:cs="Times New Roman"/>
          <w:sz w:val="24"/>
        </w:rPr>
        <w:t>的代表及</w:t>
      </w:r>
      <w:r>
        <w:rPr>
          <w:rFonts w:hint="eastAsia" w:ascii="Times New Roman" w:hAnsi="Times New Roman" w:cs="Times New Roman"/>
          <w:sz w:val="24"/>
          <w:lang w:val="en-US" w:eastAsia="zh-CN"/>
        </w:rPr>
        <w:t>三</w:t>
      </w:r>
      <w:r>
        <w:rPr>
          <w:rFonts w:ascii="Times New Roman" w:hAnsi="Times New Roman" w:cs="Times New Roman"/>
          <w:sz w:val="24"/>
        </w:rPr>
        <w:t>位专家组成(名单附后)。验收工作组踏勘了建设项目现场，听取了建设单位对项目环境保护执行情况的</w:t>
      </w:r>
      <w:r>
        <w:rPr>
          <w:rFonts w:hint="eastAsia" w:ascii="Times New Roman" w:hAnsi="Times New Roman" w:cs="Times New Roman"/>
          <w:sz w:val="24"/>
        </w:rPr>
        <w:t>介绍</w:t>
      </w:r>
      <w:r>
        <w:rPr>
          <w:rFonts w:ascii="Times New Roman" w:hAnsi="Times New Roman" w:cs="Times New Roman"/>
          <w:sz w:val="24"/>
        </w:rPr>
        <w:t>和验收监测单位对项目竣工环境保护验收监测情况的汇报，审阅并核实了有关资料，经认真讨论，提出竣工环保验收意见如下：</w:t>
      </w:r>
    </w:p>
    <w:p>
      <w:pPr>
        <w:spacing w:line="360" w:lineRule="auto"/>
        <w:ind w:firstLine="470" w:firstLineChars="19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一、工程建设基本情况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（一）建设地点、规模、主要建设内容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建设地点：</w:t>
      </w:r>
      <w:r>
        <w:rPr>
          <w:rFonts w:hint="eastAsia" w:ascii="Times New Roman" w:hAnsi="Times New Roman" w:cs="Times New Roman"/>
          <w:sz w:val="24"/>
          <w:lang w:val="en-US" w:eastAsia="zh-CN"/>
        </w:rPr>
        <w:t>江苏省苏州市吴江区横扇镇庄浦桥西</w:t>
      </w:r>
      <w:r>
        <w:rPr>
          <w:rFonts w:hint="eastAsia" w:ascii="Times New Roman" w:hAnsi="Times New Roman" w:cs="Times New Roman"/>
          <w:sz w:val="24"/>
        </w:rPr>
        <w:t>，</w:t>
      </w:r>
      <w:r>
        <w:rPr>
          <w:rFonts w:hint="eastAsia" w:ascii="Times New Roman" w:hAnsi="Times New Roman" w:cs="Times New Roman"/>
          <w:sz w:val="24"/>
          <w:lang w:eastAsia="zh-CN"/>
        </w:rPr>
        <w:t>占地</w:t>
      </w:r>
      <w:r>
        <w:rPr>
          <w:rFonts w:ascii="Times New Roman" w:hAnsi="Times New Roman" w:cs="Times New Roman"/>
          <w:sz w:val="24"/>
        </w:rPr>
        <w:t>面积</w:t>
      </w:r>
      <w:r>
        <w:rPr>
          <w:rFonts w:hint="eastAsia" w:ascii="Times New Roman" w:hAnsi="Times New Roman" w:cs="Times New Roman"/>
          <w:sz w:val="24"/>
          <w:lang w:val="en-US" w:eastAsia="zh-CN"/>
        </w:rPr>
        <w:t>1500</w:t>
      </w:r>
      <w:r>
        <w:rPr>
          <w:rFonts w:ascii="Times New Roman" w:hAnsi="Times New Roman" w:cs="Times New Roman"/>
          <w:sz w:val="24"/>
        </w:rPr>
        <w:t>m</w:t>
      </w: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68" w:firstLineChars="195"/>
        <w:jc w:val="left"/>
        <w:rPr>
          <w:rFonts w:hint="eastAsia" w:ascii="Times New Roman" w:hAnsi="Times New Roman" w:cs="Times New Roman" w:eastAsiaTheme="minorEastAsia"/>
          <w:sz w:val="24"/>
          <w:lang w:eastAsia="zh-CN"/>
        </w:rPr>
      </w:pPr>
      <w:r>
        <w:rPr>
          <w:rFonts w:hint="eastAsia" w:ascii="Times New Roman" w:hAnsi="Times New Roman" w:cs="Times New Roman"/>
          <w:sz w:val="24"/>
        </w:rPr>
        <w:t>建设规模、主要建设内容：环评设计建设</w:t>
      </w:r>
      <w:r>
        <w:rPr>
          <w:rFonts w:hint="eastAsia" w:ascii="Times New Roman" w:hAnsi="Times New Roman" w:cs="Times New Roman"/>
          <w:sz w:val="24"/>
          <w:lang w:val="en-US" w:eastAsia="zh-CN"/>
        </w:rPr>
        <w:t>2个汽油储罐、2个柴油储罐，各储罐容积30m3，加油机4台（加油枪8把）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pStyle w:val="12"/>
        <w:spacing w:line="240" w:lineRule="atLeast"/>
        <w:ind w:firstLine="352" w:firstLineChars="147"/>
        <w:jc w:val="both"/>
        <w:rPr>
          <w:rFonts w:ascii="Times New Roman" w:hAnsi="Times New Roman" w:eastAsiaTheme="minorEastAsia"/>
          <w:b w:val="0"/>
          <w:kern w:val="2"/>
          <w:sz w:val="24"/>
          <w:szCs w:val="22"/>
        </w:rPr>
      </w:pPr>
      <w:r>
        <w:rPr>
          <w:rFonts w:hint="eastAsia" w:ascii="Times New Roman" w:hAnsi="Times New Roman" w:eastAsiaTheme="minorEastAsia"/>
          <w:b w:val="0"/>
          <w:kern w:val="2"/>
          <w:sz w:val="24"/>
          <w:szCs w:val="22"/>
        </w:rPr>
        <w:t>本项目已配备主要生产设备为：</w:t>
      </w:r>
    </w:p>
    <w:p>
      <w:pPr>
        <w:pStyle w:val="12"/>
        <w:spacing w:line="240" w:lineRule="atLeast"/>
      </w:pPr>
      <w:r>
        <w:t>表1  主要设备设施一览表</w:t>
      </w:r>
    </w:p>
    <w:tbl>
      <w:tblPr>
        <w:tblStyle w:val="4"/>
        <w:tblW w:w="8812" w:type="dxa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2"/>
        <w:gridCol w:w="1461"/>
        <w:gridCol w:w="1170"/>
        <w:gridCol w:w="1711"/>
        <w:gridCol w:w="1082"/>
        <w:gridCol w:w="1476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设备名称</w:t>
            </w:r>
          </w:p>
        </w:tc>
        <w:tc>
          <w:tcPr>
            <w:tcW w:w="263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登记数量</w:t>
            </w:r>
          </w:p>
        </w:tc>
        <w:tc>
          <w:tcPr>
            <w:tcW w:w="279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zh-CN"/>
              </w:rPr>
              <w:t>实际建设</w:t>
            </w:r>
          </w:p>
        </w:tc>
        <w:tc>
          <w:tcPr>
            <w:tcW w:w="14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变化情况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型号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数量（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zh-CN"/>
              </w:rPr>
              <w:t>型号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Cs w:val="21"/>
                <w:lang w:val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zh-CN"/>
              </w:rPr>
              <w:t>数量（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台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汽油储罐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2（个）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2（个）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柴油储罐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2（个）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2（个）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加油机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台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zh-CN"/>
              </w:rPr>
              <w:t>）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加油枪</w:t>
            </w:r>
          </w:p>
        </w:tc>
        <w:tc>
          <w:tcPr>
            <w:tcW w:w="14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8（把）</w:t>
            </w:r>
          </w:p>
        </w:tc>
        <w:tc>
          <w:tcPr>
            <w:tcW w:w="171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8（把）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（二）建设过程及环保审批情况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中石化壳牌（江苏）石</w:t>
      </w:r>
      <w:r>
        <w:rPr>
          <w:rFonts w:hint="eastAsia" w:ascii="Times New Roman" w:hAnsi="Times New Roman" w:cs="Times New Roman"/>
          <w:sz w:val="24"/>
          <w:lang w:val="en-US" w:eastAsia="zh-CN"/>
        </w:rPr>
        <w:t>油销售有限公司于2018年10月填写了环境影响登记表，本项目</w:t>
      </w:r>
      <w:r>
        <w:rPr>
          <w:rFonts w:hint="default" w:ascii="Times New Roman" w:hAnsi="Times New Roman" w:cs="Times New Roman"/>
          <w:sz w:val="24"/>
          <w:lang w:val="en-US" w:eastAsia="zh-CN"/>
        </w:rPr>
        <w:t>于20</w:t>
      </w:r>
      <w:r>
        <w:rPr>
          <w:rFonts w:hint="eastAsia" w:ascii="Times New Roman" w:hAnsi="Times New Roman" w:cs="Times New Roman"/>
          <w:sz w:val="24"/>
          <w:lang w:val="en-US" w:eastAsia="zh-CN"/>
        </w:rPr>
        <w:t>18</w:t>
      </w:r>
      <w:r>
        <w:rPr>
          <w:rFonts w:hint="default" w:ascii="Times New Roman" w:hAnsi="Times New Roman" w:cs="Times New Roman"/>
          <w:sz w:val="24"/>
          <w:lang w:val="en-US" w:eastAsia="zh-CN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10</w:t>
      </w:r>
      <w:r>
        <w:rPr>
          <w:rFonts w:hint="default" w:ascii="Times New Roman" w:hAnsi="Times New Roman" w:cs="Times New Roman"/>
          <w:sz w:val="24"/>
          <w:lang w:val="en-US" w:eastAsia="zh-CN"/>
        </w:rPr>
        <w:t>月</w:t>
      </w:r>
      <w:r>
        <w:rPr>
          <w:rFonts w:hint="eastAsia" w:ascii="Times New Roman" w:hAnsi="Times New Roman" w:cs="Times New Roman"/>
          <w:sz w:val="24"/>
          <w:lang w:val="en-US" w:eastAsia="zh-CN"/>
        </w:rPr>
        <w:t>19日完成环境影响登记表备案，备案号：201832058400001346。本项目</w:t>
      </w:r>
      <w:r>
        <w:rPr>
          <w:rFonts w:ascii="Times New Roman" w:hAnsi="Times New Roman" w:cs="Times New Roman"/>
          <w:sz w:val="24"/>
        </w:rPr>
        <w:t>于20</w:t>
      </w:r>
      <w:r>
        <w:rPr>
          <w:rFonts w:hint="eastAsia" w:ascii="Times New Roman" w:hAnsi="Times New Roman" w:cs="Times New Roman"/>
          <w:sz w:val="24"/>
          <w:lang w:val="en-US" w:eastAsia="zh-CN"/>
        </w:rPr>
        <w:t>18</w:t>
      </w:r>
      <w:r>
        <w:rPr>
          <w:rFonts w:ascii="Times New Roman" w:hAnsi="Times New Roman" w:cs="Times New Roman"/>
          <w:sz w:val="24"/>
        </w:rPr>
        <w:t>年</w:t>
      </w:r>
      <w:r>
        <w:rPr>
          <w:rFonts w:hint="eastAsia" w:ascii="Times New Roman" w:hAnsi="Times New Roman" w:cs="Times New Roman"/>
          <w:sz w:val="24"/>
          <w:lang w:val="en-US" w:eastAsia="zh-CN"/>
        </w:rPr>
        <w:t>11</w:t>
      </w:r>
      <w:r>
        <w:rPr>
          <w:rFonts w:ascii="Times New Roman" w:hAnsi="Times New Roman" w:cs="Times New Roman"/>
          <w:sz w:val="24"/>
        </w:rPr>
        <w:t>月开工建设，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2019年01月</w:t>
      </w:r>
      <w:r>
        <w:rPr>
          <w:rFonts w:ascii="Times New Roman" w:hAnsi="Times New Roman" w:cs="Times New Roman"/>
          <w:sz w:val="24"/>
        </w:rPr>
        <w:t>开始调试。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苏州昌禾环境检测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有限公司</w:t>
      </w:r>
      <w:r>
        <w:rPr>
          <w:rFonts w:hint="eastAsia" w:ascii="Times New Roman" w:hAnsi="Times New Roman" w:eastAsia="宋体" w:cs="Times New Roman"/>
          <w:sz w:val="24"/>
        </w:rPr>
        <w:t>于</w:t>
      </w:r>
      <w:r>
        <w:rPr>
          <w:rFonts w:hint="eastAsia" w:ascii="Times New Roman" w:hAnsi="Times New Roman" w:cs="Times New Roman"/>
          <w:sz w:val="24"/>
          <w:lang w:eastAsia="zh-CN"/>
        </w:rPr>
        <w:t>2021.01.16</w:t>
      </w:r>
      <w:r>
        <w:rPr>
          <w:rFonts w:hint="eastAsia" w:ascii="Times New Roman" w:hAnsi="Times New Roman" w:cs="Times New Roman"/>
          <w:sz w:val="24"/>
          <w:lang w:val="en-US" w:eastAsia="zh-CN"/>
        </w:rPr>
        <w:t>-2021.01.17</w:t>
      </w:r>
      <w:r>
        <w:rPr>
          <w:rFonts w:hint="eastAsia" w:ascii="Times New Roman" w:hAnsi="Times New Roman" w:cs="Times New Roman"/>
          <w:sz w:val="24"/>
        </w:rPr>
        <w:t>日</w:t>
      </w:r>
      <w:r>
        <w:rPr>
          <w:rFonts w:hint="eastAsia" w:ascii="Times New Roman" w:hAnsi="Times New Roman" w:eastAsia="宋体" w:cs="Times New Roman"/>
          <w:sz w:val="24"/>
        </w:rPr>
        <w:t>进行</w:t>
      </w:r>
      <w:r>
        <w:rPr>
          <w:rFonts w:ascii="Times New Roman" w:hAnsi="Times New Roman" w:cs="Times New Roman"/>
          <w:sz w:val="24"/>
        </w:rPr>
        <w:t>了竣工验收检测并出具检测报告。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（三）投资情况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项目实</w:t>
      </w:r>
      <w:r>
        <w:rPr>
          <w:rFonts w:hint="eastAsia" w:ascii="Times New Roman" w:hAnsi="Times New Roman" w:cs="Times New Roman"/>
          <w:sz w:val="24"/>
        </w:rPr>
        <w:t>际</w:t>
      </w:r>
      <w:r>
        <w:rPr>
          <w:rFonts w:ascii="Times New Roman" w:hAnsi="Times New Roman" w:eastAsia="宋体" w:cs="Times New Roman"/>
          <w:sz w:val="24"/>
        </w:rPr>
        <w:t>总投资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</w:rPr>
        <w:t>0万元，其中环保投资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20</w:t>
      </w:r>
      <w:r>
        <w:rPr>
          <w:rFonts w:ascii="Times New Roman" w:hAnsi="Times New Roman" w:eastAsia="宋体" w:cs="Times New Roman"/>
          <w:sz w:val="24"/>
        </w:rPr>
        <w:t>万元</w:t>
      </w:r>
      <w:r>
        <w:rPr>
          <w:rFonts w:hint="eastAsia" w:ascii="Times New Roman" w:hAnsi="Times New Roman" w:eastAsia="宋体" w:cs="Times New Roman"/>
          <w:sz w:val="24"/>
        </w:rPr>
        <w:t>，环保投资占总投资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10</w:t>
      </w:r>
      <w:r>
        <w:rPr>
          <w:rFonts w:hint="eastAsia" w:ascii="Times New Roman" w:hAnsi="Times New Roman" w:eastAsia="宋体" w:cs="Times New Roman"/>
          <w:sz w:val="24"/>
        </w:rPr>
        <w:t>%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（四）验收范围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本次验收范围为“</w:t>
      </w:r>
      <w:r>
        <w:rPr>
          <w:rFonts w:hint="eastAsia" w:ascii="Times New Roman" w:hAnsi="Times New Roman" w:cs="Times New Roman"/>
          <w:sz w:val="24"/>
          <w:lang w:val="en-US" w:eastAsia="zh-CN"/>
        </w:rPr>
        <w:t>备案号：201832058400001346</w:t>
      </w:r>
      <w:r>
        <w:rPr>
          <w:rFonts w:ascii="Times New Roman" w:hAnsi="Times New Roman" w:cs="Times New Roman"/>
          <w:sz w:val="24"/>
        </w:rPr>
        <w:t>”对应的</w:t>
      </w:r>
      <w:r>
        <w:rPr>
          <w:rFonts w:hint="eastAsia" w:ascii="Times New Roman" w:hAnsi="Times New Roman" w:cs="Times New Roman"/>
          <w:sz w:val="24"/>
        </w:rPr>
        <w:t>建设</w:t>
      </w:r>
      <w:r>
        <w:rPr>
          <w:rFonts w:hint="eastAsia" w:ascii="Times New Roman" w:hAnsi="Times New Roman" w:cs="Times New Roman"/>
          <w:sz w:val="24"/>
          <w:lang w:eastAsia="zh-CN"/>
        </w:rPr>
        <w:t>内容</w:t>
      </w:r>
      <w:r>
        <w:rPr>
          <w:rFonts w:hint="eastAsia" w:ascii="Times New Roman" w:hAnsi="Times New Roman" w:cs="Times New Roman"/>
          <w:sz w:val="24"/>
        </w:rPr>
        <w:t>。</w:t>
      </w:r>
    </w:p>
    <w:p>
      <w:pPr>
        <w:spacing w:line="360" w:lineRule="auto"/>
        <w:ind w:firstLine="470" w:firstLineChars="19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二、工程变动情况</w:t>
      </w:r>
    </w:p>
    <w:p>
      <w:pPr>
        <w:pStyle w:val="8"/>
        <w:spacing w:line="360" w:lineRule="auto"/>
        <w:ind w:firstLine="480" w:firstLineChars="200"/>
        <w:jc w:val="left"/>
        <w:rPr>
          <w:rFonts w:hint="eastAsia" w:ascii="Times New Roman" w:hAnsi="Times New Roman" w:cs="Times New Roman" w:eastAsiaTheme="minorEastAsia"/>
          <w:b w:val="0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cs="Times New Roman" w:eastAsiaTheme="minorEastAsia"/>
          <w:b w:val="0"/>
          <w:kern w:val="2"/>
          <w:sz w:val="24"/>
          <w:szCs w:val="22"/>
          <w:lang w:val="en-US" w:eastAsia="zh-CN" w:bidi="ar-SA"/>
        </w:rPr>
        <w:t>无。</w:t>
      </w:r>
    </w:p>
    <w:p>
      <w:pPr>
        <w:spacing w:line="360" w:lineRule="auto"/>
        <w:ind w:firstLine="470" w:firstLineChars="19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三、环境保护设施建设情况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（一）废水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480" w:firstLineChars="200"/>
        <w:textAlignment w:val="auto"/>
        <w:outlineLvl w:val="9"/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本项目用水为员工生活用水，污水经化粪池预处理后由市政污水管网接入污水处理厂进行处理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。</w:t>
      </w:r>
      <w:r>
        <w:rPr>
          <w:rFonts w:hint="eastAsia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附协议。企业已设置隔油池，雨水经隔油池预处理后排入雨水管网</w:t>
      </w:r>
      <w:r>
        <w:rPr>
          <w:rFonts w:hint="default" w:ascii="Times New Roman" w:hAnsi="Times New Roman" w:eastAsia="宋体" w:cs="Times New Roman"/>
          <w:kern w:val="2"/>
          <w:sz w:val="24"/>
          <w:szCs w:val="22"/>
          <w:lang w:val="en-US" w:eastAsia="zh-CN" w:bidi="ar-SA"/>
        </w:rPr>
        <w:t>。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（二）废气</w:t>
      </w:r>
    </w:p>
    <w:p>
      <w:pPr>
        <w:spacing w:line="360" w:lineRule="auto"/>
        <w:ind w:firstLine="468" w:firstLineChars="195"/>
        <w:jc w:val="left"/>
        <w:rPr>
          <w:rFonts w:hint="eastAsia" w:ascii="Times New Roman" w:hAnsi="Times New Roman" w:eastAsia="宋体" w:cs="Times New Roman"/>
          <w:sz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</w:rPr>
        <w:t>本项目废气主要运输、储存、加油过程中产生的非甲烷总烃，以无组织排放。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加油机上已安装油气</w:t>
      </w:r>
      <w:r>
        <w:rPr>
          <w:rFonts w:hint="eastAsia" w:ascii="Times New Roman" w:hAnsi="Times New Roman" w:eastAsia="宋体" w:cs="Times New Roman"/>
          <w:sz w:val="24"/>
        </w:rPr>
        <w:t>回收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装置用以回收加油、卸油和储存汽油过程中产生的油气。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（三）噪声</w:t>
      </w:r>
    </w:p>
    <w:p>
      <w:pPr>
        <w:spacing w:line="360" w:lineRule="auto"/>
        <w:ind w:firstLine="480" w:firstLineChars="200"/>
        <w:jc w:val="left"/>
        <w:rPr>
          <w:rFonts w:hint="eastAsia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  <w:lang w:val="en-US" w:eastAsia="zh-CN"/>
        </w:rPr>
        <w:t>本项目噪声源主要为</w:t>
      </w:r>
      <w:r>
        <w:rPr>
          <w:rFonts w:hint="eastAsia" w:ascii="Times New Roman" w:hAnsi="Times New Roman" w:cs="Times New Roman"/>
          <w:sz w:val="24"/>
          <w:lang w:val="en-US" w:eastAsia="zh-CN"/>
        </w:rPr>
        <w:t>生产设备、公辅工程产生的</w:t>
      </w:r>
      <w:r>
        <w:rPr>
          <w:rFonts w:hint="default" w:ascii="Times New Roman" w:hAnsi="Times New Roman" w:cs="Times New Roman"/>
          <w:sz w:val="24"/>
          <w:lang w:val="en-US" w:eastAsia="zh-CN"/>
        </w:rPr>
        <w:t>噪声。处理措施：选用低噪声的设备，并采取</w:t>
      </w:r>
      <w:r>
        <w:rPr>
          <w:rFonts w:hint="eastAsia" w:ascii="Times New Roman" w:hAnsi="Times New Roman" w:cs="Times New Roman"/>
          <w:sz w:val="24"/>
          <w:lang w:val="en-US" w:eastAsia="zh-CN"/>
        </w:rPr>
        <w:t>消声、隔声</w:t>
      </w:r>
      <w:r>
        <w:rPr>
          <w:rFonts w:hint="default" w:ascii="Times New Roman" w:hAnsi="Times New Roman" w:cs="Times New Roman"/>
          <w:sz w:val="24"/>
          <w:lang w:val="en-US" w:eastAsia="zh-CN"/>
        </w:rPr>
        <w:t>等措施。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（四）固体废物</w:t>
      </w:r>
    </w:p>
    <w:p>
      <w:pPr>
        <w:spacing w:line="360" w:lineRule="auto"/>
        <w:ind w:firstLine="468" w:firstLineChars="195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本项目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产生</w:t>
      </w:r>
      <w:r>
        <w:rPr>
          <w:rFonts w:hint="eastAsia" w:ascii="Times New Roman" w:hAnsi="Times New Roman" w:cs="Times New Roman"/>
          <w:sz w:val="24"/>
          <w:lang w:val="en-US" w:eastAsia="zh-CN"/>
        </w:rPr>
        <w:t>危废为含油废水，定期委托江苏长山环保科技有限公司处置；职工生活垃圾，委托吴江金山物业管理有限公司处置。</w:t>
      </w:r>
    </w:p>
    <w:p>
      <w:pPr>
        <w:spacing w:line="360" w:lineRule="auto"/>
        <w:ind w:firstLine="482" w:firstLineChars="200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四、环境保护设施调试情况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根据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苏州昌禾环境检测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有限公司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/>
        </w:rPr>
        <w:t>出具的</w:t>
      </w:r>
      <w:r>
        <w:rPr>
          <w:rFonts w:ascii="Times New Roman" w:hAnsi="Times New Roman" w:cs="Times New Roman"/>
          <w:sz w:val="24"/>
        </w:rPr>
        <w:t>“验收</w:t>
      </w:r>
      <w:r>
        <w:rPr>
          <w:rFonts w:hint="eastAsia" w:ascii="Times New Roman" w:hAnsi="Times New Roman" w:cs="Times New Roman"/>
          <w:sz w:val="24"/>
          <w:lang w:eastAsia="zh-CN"/>
        </w:rPr>
        <w:t>检</w:t>
      </w:r>
      <w:r>
        <w:rPr>
          <w:rFonts w:ascii="Times New Roman" w:hAnsi="Times New Roman" w:cs="Times New Roman"/>
          <w:sz w:val="24"/>
        </w:rPr>
        <w:t>测报告”</w:t>
      </w:r>
      <w:r>
        <w:rPr>
          <w:rFonts w:hint="eastAsia" w:ascii="Times New Roman" w:hAnsi="Times New Roman" w:cs="Times New Roman"/>
          <w:sz w:val="24"/>
          <w:lang w:eastAsia="zh-CN"/>
        </w:rPr>
        <w:t>（编号：</w:t>
      </w:r>
      <w:r>
        <w:rPr>
          <w:rFonts w:hint="eastAsia" w:ascii="Times New Roman" w:hAnsi="Times New Roman" w:cs="Times New Roman"/>
          <w:sz w:val="24"/>
          <w:lang w:val="en-US" w:eastAsia="zh-CN"/>
        </w:rPr>
        <w:t>CH2101039）</w:t>
      </w:r>
      <w:r>
        <w:rPr>
          <w:rFonts w:ascii="Times New Roman" w:hAnsi="Times New Roman" w:cs="Times New Roman"/>
          <w:sz w:val="24"/>
        </w:rPr>
        <w:t>，验收监测期间</w:t>
      </w:r>
      <w:r>
        <w:rPr>
          <w:rFonts w:hint="eastAsia" w:ascii="Times New Roman" w:hAnsi="Times New Roman" w:cs="Times New Roman"/>
          <w:sz w:val="24"/>
          <w:lang w:eastAsia="zh-CN"/>
        </w:rPr>
        <w:t>（2021.01.16</w:t>
      </w:r>
      <w:r>
        <w:rPr>
          <w:rFonts w:hint="eastAsia" w:ascii="Times New Roman" w:hAnsi="Times New Roman" w:cs="Times New Roman"/>
          <w:sz w:val="24"/>
          <w:lang w:val="en-US" w:eastAsia="zh-CN"/>
        </w:rPr>
        <w:t>-2021.01.17）</w:t>
      </w:r>
      <w:r>
        <w:rPr>
          <w:rFonts w:ascii="Times New Roman" w:hAnsi="Times New Roman" w:cs="Times New Roman"/>
          <w:sz w:val="24"/>
        </w:rPr>
        <w:t>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1、</w:t>
      </w:r>
      <w:r>
        <w:rPr>
          <w:rFonts w:ascii="Times New Roman" w:hAnsi="Times New Roman" w:cs="Times New Roman"/>
          <w:sz w:val="24"/>
        </w:rPr>
        <w:t>废气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本项目无组织废气监测结果表明，非甲烷总烃最大排放浓度监测值满足</w:t>
      </w:r>
      <w:r>
        <w:rPr>
          <w:rFonts w:hint="eastAsia" w:ascii="Times New Roman" w:hAnsi="Times New Roman" w:eastAsia="宋体" w:cs="Times New Roman"/>
          <w:sz w:val="24"/>
        </w:rPr>
        <w:t>《大气污染物综合排放标准》（GB16297-1996）表 2中</w:t>
      </w:r>
      <w:r>
        <w:rPr>
          <w:rFonts w:ascii="Times New Roman" w:hAnsi="Times New Roman" w:eastAsia="宋体" w:cs="Times New Roman"/>
          <w:sz w:val="24"/>
        </w:rPr>
        <w:t>无组织排放监控浓度限值的要求</w:t>
      </w:r>
      <w:r>
        <w:rPr>
          <w:rFonts w:hint="eastAsia" w:ascii="Times New Roman" w:hAnsi="Times New Roman" w:cs="Times New Roman"/>
          <w:sz w:val="24"/>
        </w:rPr>
        <w:t>。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厂区内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无组织</w:t>
      </w:r>
      <w:r>
        <w:rPr>
          <w:rFonts w:hint="eastAsia" w:eastAsia="宋体" w:cs="Times New Roman"/>
          <w:color w:val="auto"/>
          <w:sz w:val="24"/>
          <w:lang w:val="en-US" w:eastAsia="zh-CN"/>
        </w:rPr>
        <w:t>非甲烷总烃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最大排放浓度满足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《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挥发性有机物无组织排放控制标准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》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（GB37822-2019）表A.1</w:t>
      </w: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>限值标准</w:t>
      </w:r>
      <w:r>
        <w:rPr>
          <w:rFonts w:hint="eastAsia" w:ascii="Times New Roman" w:hAnsi="Times New Roman" w:cs="Times New Roman"/>
          <w:color w:val="000000"/>
          <w:sz w:val="24"/>
          <w:lang w:val="en-US" w:eastAsia="zh-CN"/>
        </w:rPr>
        <w:t>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2、废水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本项目</w:t>
      </w:r>
      <w:r>
        <w:rPr>
          <w:rFonts w:hint="default" w:ascii="Times New Roman" w:hAnsi="Times New Roman" w:eastAsia="宋体" w:cs="Times New Roman"/>
          <w:color w:val="auto"/>
          <w:sz w:val="24"/>
          <w:lang w:val="en-US" w:eastAsia="zh-CN"/>
        </w:rPr>
        <w:t>化粪池中</w:t>
      </w:r>
      <w:r>
        <w:rPr>
          <w:rFonts w:hint="eastAsia" w:ascii="Times New Roman" w:hAnsi="Times New Roman" w:eastAsia="宋体" w:cs="Times New Roman"/>
          <w:sz w:val="24"/>
        </w:rPr>
        <w:t>pH值、化学需氧量、悬浮物日均值排放浓度均达到《污水综合排放标准》（GB 8978-1996）表4三级标准，氨氮、总磷</w:t>
      </w:r>
      <w:r>
        <w:rPr>
          <w:rFonts w:hint="eastAsia" w:ascii="Times New Roman" w:hAnsi="Times New Roman" w:eastAsia="宋体" w:cs="Times New Roman"/>
          <w:sz w:val="24"/>
          <w:lang w:eastAsia="zh-CN"/>
        </w:rPr>
        <w:t>、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总氮、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val="en-US" w:eastAsia="zh-CN"/>
        </w:rPr>
        <w:t>石油类</w:t>
      </w:r>
      <w:r>
        <w:rPr>
          <w:rFonts w:hint="eastAsia" w:ascii="Times New Roman" w:hAnsi="Times New Roman" w:eastAsia="宋体" w:cs="Times New Roman"/>
          <w:sz w:val="24"/>
        </w:rPr>
        <w:t>日均值排放浓度均达到《污水排入城镇下水道水质标准》（GB/T 31962-2015）表1中B级标准。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</w:rPr>
        <w:t>噪声</w:t>
      </w:r>
    </w:p>
    <w:p>
      <w:pPr>
        <w:snapToGrid w:val="0"/>
        <w:spacing w:line="360" w:lineRule="auto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该公司东、南、西、北厂界昼</w:t>
      </w:r>
      <w:r>
        <w:rPr>
          <w:rFonts w:hint="eastAsia" w:ascii="Times New Roman" w:hAnsi="Times New Roman" w:eastAsia="宋体" w:cs="Times New Roman"/>
          <w:sz w:val="24"/>
        </w:rPr>
        <w:t>夜间</w:t>
      </w:r>
      <w:r>
        <w:rPr>
          <w:rFonts w:ascii="Times New Roman" w:hAnsi="Times New Roman" w:cs="Times New Roman"/>
          <w:sz w:val="24"/>
        </w:rPr>
        <w:t>环境噪声监测值均达到《工业企业厂界环境噪声排放标准》（GB 12348-2008）</w:t>
      </w:r>
      <w:r>
        <w:rPr>
          <w:rFonts w:hint="eastAsia" w:ascii="Times New Roman" w:hAnsi="Times New Roman" w:cs="Times New Roman"/>
          <w:sz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</w:rPr>
        <w:t>类标准的限值要求。</w:t>
      </w:r>
    </w:p>
    <w:p>
      <w:pPr>
        <w:spacing w:line="360" w:lineRule="auto"/>
        <w:ind w:firstLine="470" w:firstLineChars="195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五、验收结论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本项目执行了国家环境保护“三同时”的要求，各项污染物排放均达相应排放标准，项目验收工作组认为“</w:t>
      </w:r>
      <w:r>
        <w:rPr>
          <w:rFonts w:hint="eastAsia" w:ascii="Times New Roman" w:hAnsi="Times New Roman" w:cs="Times New Roman"/>
          <w:sz w:val="24"/>
          <w:lang w:val="en-US" w:eastAsia="zh-CN"/>
        </w:rPr>
        <w:t>中石化壳牌（江苏）石油销售有限公司吴江第十五加油站技改项目</w:t>
      </w:r>
      <w:r>
        <w:rPr>
          <w:rFonts w:ascii="Times New Roman" w:hAnsi="Times New Roman" w:eastAsia="宋体" w:cs="Times New Roman"/>
          <w:sz w:val="24"/>
          <w:szCs w:val="24"/>
        </w:rPr>
        <w:t>”</w:t>
      </w:r>
      <w:r>
        <w:rPr>
          <w:rFonts w:hint="eastAsia" w:ascii="Times New Roman" w:hAnsi="Times New Roman" w:eastAsia="宋体" w:cs="Times New Roman"/>
          <w:sz w:val="24"/>
          <w:szCs w:val="24"/>
        </w:rPr>
        <w:t>环保设施竣工验收合格。</w:t>
      </w:r>
    </w:p>
    <w:p>
      <w:pPr>
        <w:spacing w:line="360" w:lineRule="auto"/>
        <w:ind w:firstLine="470" w:firstLineChars="195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六、验收工作组人员信息</w:t>
      </w:r>
    </w:p>
    <w:p>
      <w:pPr>
        <w:spacing w:line="360" w:lineRule="auto"/>
        <w:ind w:firstLine="468" w:firstLineChars="195"/>
        <w:jc w:val="left"/>
        <w:rPr>
          <w:rFonts w:hint="eastAsia" w:ascii="Times New Roman" w:hAnsi="Times New Roman" w:cs="Times New Roman" w:eastAsiaTheme="minorEastAsia"/>
          <w:color w:val="FF0000"/>
          <w:sz w:val="24"/>
          <w:lang w:eastAsia="zh-CN"/>
        </w:rPr>
      </w:pPr>
      <w:r>
        <w:rPr>
          <w:rFonts w:ascii="Times New Roman" w:hAnsi="Times New Roman" w:cs="Times New Roman"/>
          <w:sz w:val="24"/>
        </w:rPr>
        <w:t>验收工作组人员名单附后。</w:t>
      </w:r>
    </w:p>
    <w:p>
      <w:pPr>
        <w:ind w:firstLine="5400" w:firstLineChars="2250"/>
        <w:rPr>
          <w:rFonts w:ascii="Times New Roman" w:hAnsi="Times New Roman" w:cs="Times New Roman"/>
          <w:sz w:val="24"/>
        </w:rPr>
      </w:pPr>
    </w:p>
    <w:p>
      <w:pPr>
        <w:pStyle w:val="8"/>
        <w:spacing w:line="360" w:lineRule="auto"/>
        <w:jc w:val="right"/>
        <w:outlineLvl w:val="9"/>
        <w:rPr>
          <w:rFonts w:ascii="Times New Roman" w:hAnsi="Times New Roman" w:cs="Times New Roman"/>
          <w:b w:val="0"/>
          <w:sz w:val="24"/>
          <w:szCs w:val="22"/>
        </w:rPr>
      </w:pPr>
      <w:r>
        <w:rPr>
          <w:rFonts w:hint="eastAsia" w:ascii="Times New Roman" w:hAnsi="Times New Roman" w:eastAsia="宋体" w:cs="Times New Roman"/>
          <w:b w:val="0"/>
          <w:kern w:val="2"/>
          <w:sz w:val="24"/>
          <w:szCs w:val="24"/>
          <w:lang w:val="en-US" w:eastAsia="zh-CN" w:bidi="ar-SA"/>
        </w:rPr>
        <w:t>中石化壳牌（江苏）石油销售有限公司</w:t>
      </w:r>
    </w:p>
    <w:p>
      <w:pPr>
        <w:pStyle w:val="8"/>
        <w:spacing w:line="360" w:lineRule="auto"/>
        <w:ind w:firstLine="6240" w:firstLineChars="2600"/>
        <w:jc w:val="both"/>
        <w:outlineLvl w:val="9"/>
        <w:rPr>
          <w:rFonts w:ascii="Times New Roman" w:hAnsi="Times New Roman" w:cs="Times New Roman"/>
          <w:b w:val="0"/>
          <w:sz w:val="24"/>
          <w:szCs w:val="22"/>
        </w:rPr>
      </w:pPr>
      <w:r>
        <w:rPr>
          <w:rFonts w:ascii="Times New Roman" w:hAnsi="Times New Roman" w:cs="Times New Roman"/>
          <w:b w:val="0"/>
          <w:sz w:val="24"/>
          <w:szCs w:val="22"/>
        </w:rPr>
        <w:t>20</w:t>
      </w:r>
      <w:r>
        <w:rPr>
          <w:rFonts w:hint="eastAsia" w:ascii="Times New Roman" w:hAnsi="Times New Roman" w:cs="Times New Roman"/>
          <w:b w:val="0"/>
          <w:sz w:val="24"/>
          <w:szCs w:val="22"/>
          <w:lang w:val="en-US" w:eastAsia="zh-CN"/>
        </w:rPr>
        <w:t>21</w:t>
      </w:r>
      <w:r>
        <w:rPr>
          <w:rFonts w:ascii="Times New Roman" w:hAnsi="Times New Roman" w:cs="Times New Roman"/>
          <w:b w:val="0"/>
          <w:sz w:val="24"/>
          <w:szCs w:val="22"/>
        </w:rPr>
        <w:t>年</w:t>
      </w:r>
      <w:r>
        <w:rPr>
          <w:rFonts w:hint="eastAsia" w:ascii="Times New Roman" w:hAnsi="Times New Roman" w:cs="Times New Roman"/>
          <w:b w:val="0"/>
          <w:sz w:val="24"/>
          <w:szCs w:val="22"/>
          <w:lang w:val="en-US" w:eastAsia="zh-CN"/>
        </w:rPr>
        <w:t>1</w:t>
      </w:r>
      <w:r>
        <w:rPr>
          <w:rFonts w:ascii="Times New Roman" w:hAnsi="Times New Roman" w:cs="Times New Roman"/>
          <w:b w:val="0"/>
          <w:sz w:val="24"/>
          <w:szCs w:val="22"/>
        </w:rPr>
        <w:t>月</w:t>
      </w:r>
      <w:r>
        <w:rPr>
          <w:rFonts w:hint="eastAsia" w:ascii="Times New Roman" w:hAnsi="Times New Roman" w:cs="Times New Roman"/>
          <w:b w:val="0"/>
          <w:sz w:val="24"/>
          <w:szCs w:val="22"/>
          <w:lang w:val="en-US" w:eastAsia="zh-CN"/>
        </w:rPr>
        <w:t>23</w:t>
      </w:r>
      <w:r>
        <w:rPr>
          <w:rFonts w:ascii="Times New Roman" w:hAnsi="Times New Roman" w:cs="Times New Roman"/>
          <w:b w:val="0"/>
          <w:sz w:val="24"/>
          <w:szCs w:val="22"/>
        </w:rPr>
        <w:t>日</w:t>
      </w:r>
    </w:p>
    <w:p>
      <w:pPr>
        <w:pStyle w:val="8"/>
        <w:spacing w:line="360" w:lineRule="auto"/>
        <w:ind w:firstLine="6240" w:firstLineChars="2600"/>
        <w:jc w:val="both"/>
        <w:outlineLvl w:val="9"/>
        <w:rPr>
          <w:rFonts w:ascii="Times New Roman" w:hAnsi="Times New Roman" w:cs="Times New Roman"/>
          <w:b w:val="0"/>
          <w:sz w:val="24"/>
          <w:szCs w:val="2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2D1"/>
    <w:rsid w:val="000317AD"/>
    <w:rsid w:val="00061850"/>
    <w:rsid w:val="00072610"/>
    <w:rsid w:val="000728C1"/>
    <w:rsid w:val="000F1D16"/>
    <w:rsid w:val="0012272C"/>
    <w:rsid w:val="001306AE"/>
    <w:rsid w:val="00143317"/>
    <w:rsid w:val="001C02CC"/>
    <w:rsid w:val="001D6FA1"/>
    <w:rsid w:val="002C255F"/>
    <w:rsid w:val="00321454"/>
    <w:rsid w:val="00446AA8"/>
    <w:rsid w:val="00475954"/>
    <w:rsid w:val="005129A3"/>
    <w:rsid w:val="00550D5F"/>
    <w:rsid w:val="00574FBA"/>
    <w:rsid w:val="00661FA0"/>
    <w:rsid w:val="006D141A"/>
    <w:rsid w:val="00790CE4"/>
    <w:rsid w:val="007D3226"/>
    <w:rsid w:val="0082683A"/>
    <w:rsid w:val="009314A6"/>
    <w:rsid w:val="009A1992"/>
    <w:rsid w:val="009A7FD4"/>
    <w:rsid w:val="00AC03AC"/>
    <w:rsid w:val="00B035EB"/>
    <w:rsid w:val="00B652D1"/>
    <w:rsid w:val="00BF31E6"/>
    <w:rsid w:val="00C03000"/>
    <w:rsid w:val="00C1592A"/>
    <w:rsid w:val="00C37B42"/>
    <w:rsid w:val="00CB3B9B"/>
    <w:rsid w:val="00D216BE"/>
    <w:rsid w:val="00D928E6"/>
    <w:rsid w:val="00DA3F80"/>
    <w:rsid w:val="00E30D67"/>
    <w:rsid w:val="00E46234"/>
    <w:rsid w:val="00EB1A92"/>
    <w:rsid w:val="00F0405B"/>
    <w:rsid w:val="00F72270"/>
    <w:rsid w:val="0160319F"/>
    <w:rsid w:val="0D0A2B94"/>
    <w:rsid w:val="19DD72C9"/>
    <w:rsid w:val="3A7F0EEE"/>
    <w:rsid w:val="47BE4CAC"/>
    <w:rsid w:val="49E94223"/>
    <w:rsid w:val="4A747A30"/>
    <w:rsid w:val="4AC82EED"/>
    <w:rsid w:val="4B7249F3"/>
    <w:rsid w:val="694B1135"/>
    <w:rsid w:val="775C6CC8"/>
    <w:rsid w:val="7F66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nhideWhenUsed/>
    <w:qFormat/>
    <w:uiPriority w:val="0"/>
    <w:pPr>
      <w:spacing w:after="120"/>
    </w:pPr>
  </w:style>
  <w:style w:type="paragraph" w:styleId="3">
    <w:name w:val="Normal Indent"/>
    <w:basedOn w:val="1"/>
    <w:link w:val="16"/>
    <w:qFormat/>
    <w:uiPriority w:val="0"/>
    <w:pPr>
      <w:ind w:firstLine="200" w:firstLineChars="200"/>
    </w:pPr>
    <w:rPr>
      <w:rFonts w:ascii="宋体" w:hAnsi="宋体" w:cs="宋体"/>
      <w:sz w:val="28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 Char"/>
    <w:basedOn w:val="6"/>
    <w:link w:val="2"/>
    <w:qFormat/>
    <w:uiPriority w:val="0"/>
  </w:style>
  <w:style w:type="paragraph" w:customStyle="1" w:styleId="8">
    <w:name w:val="样式1"/>
    <w:basedOn w:val="1"/>
    <w:qFormat/>
    <w:uiPriority w:val="0"/>
    <w:pPr>
      <w:spacing w:line="300" w:lineRule="auto"/>
      <w:jc w:val="center"/>
      <w:outlineLvl w:val="0"/>
    </w:pPr>
    <w:rPr>
      <w:b/>
      <w:sz w:val="28"/>
      <w:szCs w:val="28"/>
    </w:rPr>
  </w:style>
  <w:style w:type="paragraph" w:customStyle="1" w:styleId="9">
    <w:name w:val="样式2"/>
    <w:basedOn w:val="1"/>
    <w:qFormat/>
    <w:uiPriority w:val="0"/>
    <w:pPr>
      <w:spacing w:line="300" w:lineRule="auto"/>
      <w:outlineLvl w:val="1"/>
    </w:pPr>
    <w:rPr>
      <w:b/>
    </w:rPr>
  </w:style>
  <w:style w:type="character" w:customStyle="1" w:styleId="10">
    <w:name w:val="表格文字5号 Char Char"/>
    <w:link w:val="11"/>
    <w:qFormat/>
    <w:uiPriority w:val="0"/>
    <w:rPr>
      <w:rFonts w:ascii="宋体" w:hAnsi="Tahoma" w:cs="宋体"/>
      <w:szCs w:val="24"/>
    </w:rPr>
  </w:style>
  <w:style w:type="paragraph" w:customStyle="1" w:styleId="11">
    <w:name w:val="表格文字5号"/>
    <w:basedOn w:val="1"/>
    <w:next w:val="1"/>
    <w:link w:val="10"/>
    <w:qFormat/>
    <w:uiPriority w:val="0"/>
    <w:pPr>
      <w:jc w:val="center"/>
    </w:pPr>
    <w:rPr>
      <w:rFonts w:ascii="宋体" w:hAnsi="Tahoma" w:cs="宋体"/>
      <w:szCs w:val="24"/>
    </w:rPr>
  </w:style>
  <w:style w:type="paragraph" w:customStyle="1" w:styleId="12">
    <w:name w:val="表格标题LB"/>
    <w:basedOn w:val="1"/>
    <w:link w:val="13"/>
    <w:qFormat/>
    <w:uiPriority w:val="0"/>
    <w:pPr>
      <w:widowControl/>
      <w:adjustRightInd w:val="0"/>
      <w:snapToGrid w:val="0"/>
      <w:jc w:val="center"/>
    </w:pPr>
    <w:rPr>
      <w:rFonts w:ascii="Tahoma" w:hAnsi="Tahoma" w:eastAsia="黑体" w:cs="Times New Roman"/>
      <w:b/>
      <w:kern w:val="0"/>
      <w:szCs w:val="21"/>
    </w:rPr>
  </w:style>
  <w:style w:type="character" w:customStyle="1" w:styleId="13">
    <w:name w:val="表格标题LB Char"/>
    <w:basedOn w:val="6"/>
    <w:link w:val="12"/>
    <w:qFormat/>
    <w:uiPriority w:val="0"/>
    <w:rPr>
      <w:rFonts w:ascii="Tahoma" w:hAnsi="Tahoma" w:eastAsia="黑体" w:cs="Times New Roman"/>
      <w:b/>
      <w:kern w:val="0"/>
      <w:szCs w:val="21"/>
    </w:rPr>
  </w:style>
  <w:style w:type="paragraph" w:customStyle="1" w:styleId="14">
    <w:name w:val="表格内正文"/>
    <w:basedOn w:val="1"/>
    <w:link w:val="15"/>
    <w:qFormat/>
    <w:uiPriority w:val="0"/>
    <w:pPr>
      <w:widowControl/>
      <w:adjustRightInd w:val="0"/>
      <w:snapToGrid w:val="0"/>
      <w:jc w:val="center"/>
    </w:pPr>
    <w:rPr>
      <w:rFonts w:ascii="宋体" w:hAnsi="宋体" w:eastAsia="宋体" w:cs="Times New Roman"/>
      <w:color w:val="000000"/>
      <w:kern w:val="0"/>
      <w:szCs w:val="21"/>
    </w:rPr>
  </w:style>
  <w:style w:type="character" w:customStyle="1" w:styleId="15">
    <w:name w:val="表格内正文 Char"/>
    <w:basedOn w:val="6"/>
    <w:link w:val="14"/>
    <w:qFormat/>
    <w:uiPriority w:val="0"/>
    <w:rPr>
      <w:rFonts w:ascii="宋体" w:hAnsi="宋体" w:eastAsia="宋体" w:cs="Times New Roman"/>
      <w:color w:val="000000"/>
      <w:kern w:val="0"/>
      <w:szCs w:val="21"/>
    </w:rPr>
  </w:style>
  <w:style w:type="character" w:customStyle="1" w:styleId="16">
    <w:name w:val="正文缩进 Char"/>
    <w:link w:val="3"/>
    <w:qFormat/>
    <w:uiPriority w:val="0"/>
    <w:rPr>
      <w:rFonts w:ascii="宋体" w:hAnsi="宋体" w:cs="宋体"/>
      <w:sz w:val="28"/>
    </w:rPr>
  </w:style>
  <w:style w:type="paragraph" w:customStyle="1" w:styleId="17">
    <w:name w:val="五号表格"/>
    <w:basedOn w:val="1"/>
    <w:qFormat/>
    <w:uiPriority w:val="0"/>
    <w:pPr>
      <w:widowControl/>
      <w:adjustRightInd w:val="0"/>
      <w:snapToGrid w:val="0"/>
      <w:spacing w:after="200"/>
      <w:jc w:val="center"/>
    </w:pPr>
    <w:rPr>
      <w:rFonts w:ascii="Tahoma" w:hAnsi="Tahoma" w:eastAsia="微软雅黑" w:cs="Times New Roman"/>
      <w:kern w:val="0"/>
      <w:sz w:val="22"/>
      <w:szCs w:val="20"/>
    </w:rPr>
  </w:style>
  <w:style w:type="paragraph" w:customStyle="1" w:styleId="18">
    <w:name w:val="样式7"/>
    <w:basedOn w:val="1"/>
    <w:qFormat/>
    <w:uiPriority w:val="0"/>
    <w:pPr>
      <w:widowControl/>
      <w:adjustRightInd w:val="0"/>
      <w:snapToGrid w:val="0"/>
      <w:spacing w:before="300" w:after="200" w:line="460" w:lineRule="exact"/>
      <w:jc w:val="left"/>
      <w:outlineLvl w:val="2"/>
    </w:pPr>
    <w:rPr>
      <w:rFonts w:ascii="Tahoma" w:hAnsi="Tahoma" w:eastAsia="微软雅黑" w:cs="Times New Roman"/>
      <w:b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1503</Words>
  <Characters>1644</Characters>
  <Lines>12</Lines>
  <Paragraphs>3</Paragraphs>
  <TotalTime>15</TotalTime>
  <ScaleCrop>false</ScaleCrop>
  <LinksUpToDate>false</LinksUpToDate>
  <CharactersWithSpaces>1651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2019-06-13T01:45:00Z</dcterms:created>
  <dc:creator>艾 萍</dc:creator>
  <cp:lastModifiedBy>Diu Diu</cp:lastModifiedBy>
  <dcterms:modified xsi:type="dcterms:W3CDTF">2021-01-29T04:31:14Z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