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黑体" w:hAnsi="黑体" w:eastAsia="黑体" w:cs="黑体"/>
          <w:bCs/>
          <w:color w:val="000000"/>
          <w:kern w:val="0"/>
          <w:sz w:val="24"/>
          <w:szCs w:val="24"/>
        </w:rPr>
      </w:pPr>
      <w:bookmarkStart w:id="0" w:name="_Toc57443750"/>
      <w:bookmarkStart w:id="1" w:name="_Toc56773415"/>
      <w:bookmarkStart w:id="2" w:name="_Toc40837043"/>
      <w:bookmarkStart w:id="3" w:name="_Toc40837707"/>
    </w:p>
    <w:p>
      <w:pPr>
        <w:pStyle w:val="2"/>
        <w:rPr>
          <w:rFonts w:ascii="黑体" w:hAnsi="黑体" w:eastAsia="黑体" w:cs="黑体"/>
          <w:bCs/>
          <w:color w:val="000000"/>
          <w:kern w:val="0"/>
          <w:sz w:val="24"/>
          <w:szCs w:val="24"/>
        </w:rPr>
      </w:pPr>
    </w:p>
    <w:p>
      <w:pPr>
        <w:pStyle w:val="7"/>
        <w:keepNext w:val="0"/>
        <w:keepLines w:val="0"/>
        <w:widowControl/>
        <w:suppressLineNumbers w:val="0"/>
        <w:spacing w:line="360" w:lineRule="auto"/>
        <w:jc w:val="center"/>
        <w:rPr>
          <w:rFonts w:hint="default" w:ascii="Times New Roman" w:hAnsi="Times New Roman" w:eastAsia="宋体" w:cs="Times New Roman"/>
          <w:color w:val="000000"/>
          <w:kern w:val="0"/>
          <w:sz w:val="48"/>
          <w:szCs w:val="48"/>
        </w:rPr>
      </w:pPr>
      <w:bookmarkStart w:id="22" w:name="_GoBack"/>
      <w:r>
        <w:rPr>
          <w:rFonts w:hint="eastAsia" w:ascii="Times New Roman" w:hAnsi="Times New Roman" w:cs="Times New Roman"/>
          <w:b/>
          <w:color w:val="000000"/>
          <w:kern w:val="0"/>
          <w:sz w:val="48"/>
          <w:szCs w:val="48"/>
          <w:lang w:val="en-US" w:eastAsia="zh-CN" w:bidi="ar-SA"/>
        </w:rPr>
        <w:t>吴江吴月齿轮制造有限责任公司                       年产汽车发动机齿轮10万台（套）项目、新建年产6DL/M 机齿轮8万台套及年产K/F机齿轮6万台套补办项目</w:t>
      </w:r>
      <w:bookmarkEnd w:id="22"/>
      <w:r>
        <w:rPr>
          <w:rFonts w:hint="default" w:ascii="Times New Roman" w:hAnsi="Times New Roman" w:eastAsia="宋体" w:cs="Times New Roman"/>
          <w:b/>
          <w:color w:val="000000"/>
          <w:kern w:val="0"/>
          <w:sz w:val="48"/>
          <w:szCs w:val="48"/>
        </w:rPr>
        <w:t>竣工环境保护</w:t>
      </w:r>
      <w:r>
        <w:rPr>
          <w:rFonts w:hint="eastAsia" w:ascii="Times New Roman" w:hAnsi="Times New Roman" w:eastAsia="宋体" w:cs="Times New Roman"/>
          <w:b/>
          <w:color w:val="000000"/>
          <w:kern w:val="0"/>
          <w:sz w:val="48"/>
          <w:szCs w:val="48"/>
          <w:lang w:val="en-US" w:eastAsia="zh-CN"/>
        </w:rPr>
        <w:t>固废专项</w:t>
      </w:r>
      <w:r>
        <w:rPr>
          <w:rFonts w:hint="default" w:ascii="Times New Roman" w:hAnsi="Times New Roman" w:eastAsia="宋体" w:cs="Times New Roman"/>
          <w:b/>
          <w:color w:val="000000"/>
          <w:kern w:val="0"/>
          <w:sz w:val="48"/>
          <w:szCs w:val="48"/>
        </w:rPr>
        <w:t>验收</w:t>
      </w:r>
      <w:r>
        <w:rPr>
          <w:rFonts w:hint="eastAsia" w:ascii="Times New Roman" w:hAnsi="Times New Roman" w:eastAsia="宋体" w:cs="Times New Roman"/>
          <w:b/>
          <w:color w:val="000000"/>
          <w:kern w:val="0"/>
          <w:sz w:val="48"/>
          <w:szCs w:val="48"/>
          <w:lang w:val="en-US" w:eastAsia="zh-CN"/>
        </w:rPr>
        <w:t>调查</w:t>
      </w:r>
      <w:r>
        <w:rPr>
          <w:rFonts w:hint="default" w:ascii="Times New Roman" w:hAnsi="Times New Roman" w:eastAsia="宋体" w:cs="Times New Roman"/>
          <w:b/>
          <w:color w:val="000000"/>
          <w:kern w:val="0"/>
          <w:sz w:val="48"/>
          <w:szCs w:val="48"/>
        </w:rPr>
        <w:t>报告表</w:t>
      </w:r>
    </w:p>
    <w:p>
      <w:pPr>
        <w:widowControl/>
        <w:adjustRightInd w:val="0"/>
        <w:snapToGrid w:val="0"/>
        <w:spacing w:after="200" w:line="360" w:lineRule="auto"/>
        <w:jc w:val="center"/>
        <w:rPr>
          <w:rFonts w:hint="default" w:ascii="Times New Roman" w:hAnsi="Times New Roman" w:eastAsia="宋体" w:cs="Times New Roman"/>
          <w:color w:val="auto"/>
          <w:sz w:val="28"/>
        </w:rPr>
      </w:pPr>
    </w:p>
    <w:p>
      <w:pPr>
        <w:widowControl/>
        <w:adjustRightInd w:val="0"/>
        <w:snapToGrid w:val="0"/>
        <w:spacing w:after="200" w:line="360" w:lineRule="auto"/>
        <w:jc w:val="center"/>
        <w:rPr>
          <w:rFonts w:hint="default" w:ascii="Times New Roman" w:hAnsi="Times New Roman" w:eastAsia="宋体" w:cs="Times New Roman"/>
          <w:color w:val="auto"/>
          <w:kern w:val="0"/>
          <w:sz w:val="28"/>
        </w:rPr>
      </w:pPr>
    </w:p>
    <w:p>
      <w:pPr>
        <w:pStyle w:val="2"/>
        <w:rPr>
          <w:rFonts w:hint="eastAsia" w:ascii="仿宋_GB2312" w:hAnsi="Tahoma" w:eastAsia="仿宋_GB2312" w:cs="Times New Roman"/>
          <w:color w:val="000000"/>
          <w:kern w:val="0"/>
          <w:sz w:val="28"/>
        </w:rPr>
      </w:pPr>
    </w:p>
    <w:p>
      <w:pPr>
        <w:rPr>
          <w:rFonts w:hint="eastAsia"/>
        </w:rPr>
      </w:pPr>
    </w:p>
    <w:p>
      <w:pPr>
        <w:pStyle w:val="2"/>
        <w:rPr>
          <w:rFonts w:hint="eastAsia" w:ascii="仿宋_GB2312" w:hAnsi="Tahoma" w:eastAsia="仿宋_GB2312" w:cs="Times New Roman"/>
          <w:color w:val="000000"/>
          <w:kern w:val="0"/>
          <w:sz w:val="28"/>
        </w:rPr>
      </w:pPr>
    </w:p>
    <w:p>
      <w:pPr>
        <w:pStyle w:val="2"/>
        <w:rPr>
          <w:rFonts w:hint="eastAsia" w:ascii="仿宋_GB2312" w:hAnsi="Tahoma" w:eastAsia="仿宋_GB2312" w:cs="Times New Roman"/>
          <w:color w:val="000000"/>
          <w:kern w:val="0"/>
          <w:sz w:val="28"/>
          <w:lang w:val="en-US" w:eastAsia="zh-CN"/>
        </w:rPr>
      </w:pPr>
      <w:r>
        <w:rPr>
          <w:rFonts w:hint="eastAsia" w:hAnsi="Tahoma" w:cs="Times New Roman"/>
          <w:color w:val="000000"/>
          <w:kern w:val="0"/>
          <w:sz w:val="28"/>
          <w:lang w:val="en-US" w:eastAsia="zh-CN"/>
        </w:rPr>
        <w:t xml:space="preserve"> </w:t>
      </w:r>
    </w:p>
    <w:p>
      <w:pPr>
        <w:pStyle w:val="7"/>
        <w:keepNext w:val="0"/>
        <w:keepLines w:val="0"/>
        <w:widowControl/>
        <w:suppressLineNumbers w:val="0"/>
        <w:ind w:firstLine="840" w:firstLineChars="300"/>
        <w:rPr>
          <w:rFonts w:hint="eastAsia" w:ascii="宋体" w:hAnsi="宋体" w:eastAsia="宋体" w:cs="宋体"/>
          <w:b/>
          <w:color w:val="000000"/>
          <w:kern w:val="0"/>
          <w:sz w:val="28"/>
          <w:szCs w:val="28"/>
          <w:lang w:val="en-US" w:eastAsia="zh-CN" w:bidi="ar-SA"/>
        </w:rPr>
      </w:pPr>
      <w:r>
        <w:rPr>
          <w:rFonts w:hint="eastAsia" w:ascii="宋体" w:hAnsi="宋体" w:eastAsia="宋体" w:cs="宋体"/>
          <w:color w:val="000000"/>
          <w:kern w:val="0"/>
          <w:sz w:val="28"/>
          <w:szCs w:val="28"/>
        </w:rPr>
        <w:t>建设单位:</w:t>
      </w:r>
      <w:r>
        <w:rPr>
          <w:rFonts w:hint="eastAsia" w:ascii="宋体" w:hAnsi="宋体" w:eastAsia="宋体" w:cs="宋体"/>
          <w:color w:val="000000"/>
          <w:kern w:val="0"/>
          <w:sz w:val="28"/>
          <w:szCs w:val="28"/>
          <w:lang w:val="en-US" w:eastAsia="zh-CN"/>
        </w:rPr>
        <w:t xml:space="preserve">      </w:t>
      </w:r>
      <w:r>
        <w:rPr>
          <w:rFonts w:hint="eastAsia" w:cs="宋体"/>
          <w:color w:val="000000"/>
          <w:kern w:val="0"/>
          <w:sz w:val="28"/>
          <w:szCs w:val="28"/>
          <w:lang w:val="en-US" w:eastAsia="zh-CN" w:bidi="ar-SA"/>
        </w:rPr>
        <w:t>吴江吴月齿轮制造有限责任公司</w:t>
      </w:r>
    </w:p>
    <w:p>
      <w:pPr>
        <w:widowControl/>
        <w:adjustRightInd w:val="0"/>
        <w:snapToGrid w:val="0"/>
        <w:spacing w:after="200"/>
        <w:ind w:firstLine="840" w:firstLineChars="300"/>
        <w:jc w:val="left"/>
        <w:rPr>
          <w:rFonts w:hint="eastAsia" w:ascii="宋体" w:hAnsi="宋体" w:eastAsia="宋体" w:cs="宋体"/>
          <w:b/>
          <w:sz w:val="44"/>
          <w:szCs w:val="44"/>
        </w:rPr>
      </w:pPr>
      <w:r>
        <w:rPr>
          <w:rFonts w:hint="eastAsia" w:ascii="宋体" w:hAnsi="宋体" w:eastAsia="宋体" w:cs="宋体"/>
          <w:color w:val="000000"/>
          <w:kern w:val="0"/>
          <w:sz w:val="28"/>
          <w:szCs w:val="28"/>
        </w:rPr>
        <w:t>编制单位：</w:t>
      </w:r>
      <w:r>
        <w:rPr>
          <w:rFonts w:hint="eastAsia" w:ascii="宋体" w:hAnsi="宋体" w:eastAsia="宋体" w:cs="宋体"/>
          <w:color w:val="000000"/>
          <w:kern w:val="0"/>
          <w:sz w:val="28"/>
          <w:szCs w:val="28"/>
          <w:lang w:val="en-US" w:eastAsia="zh-CN"/>
        </w:rPr>
        <w:t xml:space="preserve">     </w:t>
      </w:r>
      <w:r>
        <w:rPr>
          <w:rFonts w:hint="eastAsia" w:cs="宋体"/>
          <w:color w:val="000000"/>
          <w:kern w:val="0"/>
          <w:sz w:val="28"/>
          <w:szCs w:val="28"/>
          <w:lang w:val="en-US" w:eastAsia="zh-CN" w:bidi="ar-SA"/>
        </w:rPr>
        <w:t>吴江吴月齿轮制造有限责任公司</w:t>
      </w:r>
    </w:p>
    <w:p>
      <w:pPr>
        <w:widowControl/>
        <w:adjustRightInd w:val="0"/>
        <w:snapToGrid w:val="0"/>
        <w:spacing w:after="200" w:line="360" w:lineRule="auto"/>
        <w:ind w:firstLine="840" w:firstLineChars="300"/>
        <w:jc w:val="left"/>
        <w:rPr>
          <w:rFonts w:hint="eastAsia" w:ascii="宋体" w:hAnsi="宋体" w:eastAsia="宋体" w:cs="宋体"/>
          <w:color w:val="000000"/>
          <w:kern w:val="0"/>
          <w:sz w:val="28"/>
        </w:rPr>
      </w:pPr>
      <w:r>
        <w:rPr>
          <w:rFonts w:hint="eastAsia" w:ascii="宋体" w:hAnsi="宋体" w:eastAsia="宋体" w:cs="宋体"/>
          <w:color w:val="000000"/>
          <w:kern w:val="0"/>
          <w:sz w:val="28"/>
          <w:szCs w:val="28"/>
        </w:rPr>
        <w:t xml:space="preserve">  </w:t>
      </w:r>
    </w:p>
    <w:p>
      <w:pPr>
        <w:widowControl/>
        <w:adjustRightInd w:val="0"/>
        <w:snapToGrid w:val="0"/>
        <w:spacing w:after="200"/>
        <w:jc w:val="center"/>
        <w:rPr>
          <w:rFonts w:hint="default" w:ascii="Times New Roman" w:hAnsi="Times New Roman" w:eastAsia="宋体" w:cs="Times New Roman"/>
          <w:bCs/>
          <w:color w:val="000000"/>
          <w:kern w:val="0"/>
          <w:sz w:val="28"/>
          <w:szCs w:val="28"/>
        </w:rPr>
      </w:pPr>
      <w:r>
        <w:rPr>
          <w:rFonts w:hint="eastAsia" w:ascii="Times New Roman" w:hAnsi="Times New Roman" w:eastAsia="宋体" w:cs="Times New Roman"/>
          <w:bCs/>
          <w:color w:val="000000"/>
          <w:kern w:val="0"/>
          <w:sz w:val="28"/>
          <w:szCs w:val="28"/>
          <w:lang w:val="en-US" w:eastAsia="zh-CN"/>
        </w:rPr>
        <w:t>二〇二一</w:t>
      </w:r>
      <w:r>
        <w:rPr>
          <w:rFonts w:hint="default" w:ascii="Times New Roman" w:hAnsi="Times New Roman" w:eastAsia="宋体" w:cs="Times New Roman"/>
          <w:bCs/>
          <w:color w:val="000000"/>
          <w:kern w:val="0"/>
          <w:sz w:val="28"/>
          <w:szCs w:val="28"/>
        </w:rPr>
        <w:t>年</w:t>
      </w:r>
      <w:r>
        <w:rPr>
          <w:rFonts w:hint="eastAsia" w:cs="Times New Roman"/>
          <w:bCs/>
          <w:color w:val="000000"/>
          <w:kern w:val="0"/>
          <w:sz w:val="28"/>
          <w:szCs w:val="28"/>
          <w:lang w:val="en-US" w:eastAsia="zh-CN"/>
        </w:rPr>
        <w:t>八</w:t>
      </w:r>
      <w:r>
        <w:rPr>
          <w:rFonts w:hint="default" w:ascii="Times New Roman" w:hAnsi="Times New Roman" w:eastAsia="宋体" w:cs="Times New Roman"/>
          <w:bCs/>
          <w:color w:val="000000"/>
          <w:kern w:val="0"/>
          <w:sz w:val="28"/>
          <w:szCs w:val="28"/>
        </w:rPr>
        <w:t>月</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8"/>
          <w:szCs w:val="28"/>
          <w:lang w:val="en-US" w:eastAsia="zh-CN"/>
        </w:rPr>
      </w:pPr>
      <w:r>
        <w:rPr>
          <w:rFonts w:hint="eastAsia" w:ascii="仿宋_GB2312" w:hAnsi="Tahoma" w:eastAsia="仿宋_GB2312" w:cs="Times New Roman"/>
          <w:color w:val="000000"/>
          <w:kern w:val="0"/>
          <w:sz w:val="32"/>
        </w:rPr>
        <w:br w:type="page"/>
      </w:r>
      <w:r>
        <w:rPr>
          <w:rFonts w:hint="eastAsia" w:ascii="宋体" w:hAnsi="宋体" w:eastAsia="宋体" w:cs="宋体"/>
          <w:b/>
          <w:bCs/>
          <w:color w:val="auto"/>
          <w:kern w:val="2"/>
          <w:sz w:val="28"/>
          <w:szCs w:val="28"/>
          <w:lang w:val="en-US" w:eastAsia="zh-CN" w:bidi="ar-SA"/>
        </w:rPr>
        <w:t>建设单位法人代表：</w:t>
      </w:r>
      <w:r>
        <w:rPr>
          <w:sz w:val="28"/>
        </w:rPr>
        <w:t>姚冰峰</w:t>
      </w:r>
      <w:r>
        <w:rPr>
          <w:rFonts w:hint="eastAsia" w:ascii="宋体" w:hAnsi="宋体" w:eastAsia="宋体" w:cs="宋体"/>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编制单位法人代表</w:t>
      </w:r>
      <w:r>
        <w:rPr>
          <w:rFonts w:hint="eastAsia" w:ascii="宋体" w:hAnsi="宋体" w:eastAsia="宋体" w:cs="宋体"/>
          <w:b/>
          <w:bCs/>
          <w:sz w:val="28"/>
          <w:szCs w:val="28"/>
        </w:rPr>
        <w:t>：</w:t>
      </w:r>
      <w:r>
        <w:rPr>
          <w:sz w:val="28"/>
        </w:rPr>
        <w:t>姚冰峰</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val="0"/>
          <w:sz w:val="28"/>
          <w:szCs w:val="28"/>
          <w:lang w:val="en-US" w:eastAsia="zh-CN"/>
        </w:rPr>
      </w:pPr>
      <w:r>
        <w:rPr>
          <w:rFonts w:hint="eastAsia" w:ascii="宋体" w:hAnsi="宋体" w:eastAsia="宋体" w:cs="宋体"/>
          <w:b/>
          <w:bCs/>
          <w:color w:val="auto"/>
          <w:kern w:val="2"/>
          <w:sz w:val="28"/>
          <w:szCs w:val="28"/>
          <w:lang w:val="en-US" w:eastAsia="zh-CN" w:bidi="ar-SA"/>
        </w:rPr>
        <w:t>项目负责人：</w:t>
      </w:r>
      <w:r>
        <w:rPr>
          <w:sz w:val="28"/>
        </w:rPr>
        <w:t>姚冰峰</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填表人：</w:t>
      </w:r>
      <w:r>
        <w:rPr>
          <w:sz w:val="28"/>
        </w:rPr>
        <w:t>姚冰峰</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outlineLvl w:val="9"/>
        <w:rPr>
          <w:sz w:val="28"/>
          <w:szCs w:val="28"/>
        </w:rPr>
      </w:pPr>
    </w:p>
    <w:p>
      <w:pPr>
        <w:pStyle w:val="2"/>
        <w:jc w:val="both"/>
      </w:pPr>
    </w:p>
    <w:p>
      <w:pPr>
        <w:pStyle w:val="2"/>
        <w:jc w:val="both"/>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建设单位：</w:t>
      </w:r>
      <w:r>
        <w:rPr>
          <w:rFonts w:hint="eastAsia" w:cs="Times New Roman"/>
          <w:b w:val="0"/>
          <w:bCs w:val="0"/>
          <w:kern w:val="2"/>
          <w:sz w:val="24"/>
          <w:szCs w:val="24"/>
          <w:lang w:val="en-US" w:eastAsia="zh-CN" w:bidi="ar-SA"/>
        </w:rPr>
        <w:t>吴江吴月齿轮制造有限责任公司</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电话：                   </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传真：                              </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邮编：</w:t>
      </w:r>
      <w:r>
        <w:rPr>
          <w:rFonts w:hint="default" w:ascii="Times New Roman" w:hAnsi="Times New Roman" w:eastAsia="宋体" w:cs="Times New Roman"/>
          <w:b w:val="0"/>
          <w:bCs w:val="0"/>
          <w:kern w:val="2"/>
          <w:sz w:val="24"/>
          <w:szCs w:val="24"/>
          <w:lang w:val="en-US" w:eastAsia="zh-CN" w:bidi="ar-SA"/>
        </w:rPr>
        <w:t>215</w:t>
      </w:r>
      <w:r>
        <w:rPr>
          <w:rFonts w:hint="eastAsia" w:ascii="Times New Roman" w:hAnsi="Times New Roman" w:eastAsia="宋体" w:cs="Times New Roman"/>
          <w:b w:val="0"/>
          <w:bCs w:val="0"/>
          <w:kern w:val="2"/>
          <w:sz w:val="24"/>
          <w:szCs w:val="24"/>
          <w:lang w:val="en-US" w:eastAsia="zh-CN" w:bidi="ar-SA"/>
        </w:rPr>
        <w:t>2</w:t>
      </w:r>
      <w:r>
        <w:rPr>
          <w:rFonts w:hint="default" w:ascii="Times New Roman" w:hAnsi="Times New Roman" w:eastAsia="宋体" w:cs="Times New Roman"/>
          <w:b w:val="0"/>
          <w:bCs w:val="0"/>
          <w:kern w:val="2"/>
          <w:sz w:val="24"/>
          <w:szCs w:val="24"/>
          <w:lang w:val="en-US" w:eastAsia="zh-CN" w:bidi="ar-SA"/>
        </w:rPr>
        <w:t xml:space="preserve">00 </w:t>
      </w:r>
      <w:r>
        <w:rPr>
          <w:rFonts w:hint="default" w:ascii="Times New Roman" w:hAnsi="Times New Roman" w:eastAsia="宋体" w:cs="Times New Roman"/>
          <w:b/>
          <w:bCs/>
          <w:kern w:val="2"/>
          <w:sz w:val="24"/>
          <w:szCs w:val="24"/>
          <w:lang w:val="en-US" w:eastAsia="zh-CN" w:bidi="ar-SA"/>
        </w:rPr>
        <w:t xml:space="preserve">                        </w:t>
      </w:r>
    </w:p>
    <w:p>
      <w:pPr>
        <w:pStyle w:val="2"/>
        <w:spacing w:line="360" w:lineRule="auto"/>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bCs/>
          <w:kern w:val="2"/>
          <w:sz w:val="24"/>
          <w:szCs w:val="24"/>
          <w:lang w:val="en-US" w:eastAsia="zh-CN" w:bidi="ar-SA"/>
        </w:rPr>
        <w:t>地址：</w:t>
      </w:r>
      <w:r>
        <w:rPr>
          <w:rFonts w:hint="eastAsia" w:ascii="Times New Roman" w:eastAsia="宋体" w:cs="Times New Roman"/>
          <w:b w:val="0"/>
          <w:bCs w:val="0"/>
          <w:kern w:val="2"/>
          <w:sz w:val="24"/>
          <w:szCs w:val="24"/>
          <w:lang w:val="en-US" w:eastAsia="zh-CN" w:bidi="ar-SA"/>
        </w:rPr>
        <w:t>苏州市吴江区盛泽镇双熟村</w:t>
      </w:r>
      <w:r>
        <w:rPr>
          <w:rFonts w:hint="default" w:ascii="Times New Roman" w:hAnsi="Times New Roman" w:eastAsia="宋体" w:cs="Times New Roman"/>
          <w:b w:val="0"/>
          <w:bCs w:val="0"/>
          <w:sz w:val="24"/>
          <w:szCs w:val="24"/>
          <w:lang w:val="en-US" w:eastAsia="zh-CN"/>
        </w:rPr>
        <w:t xml:space="preserve">    </w:t>
      </w: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建设单位：</w:t>
      </w:r>
      <w:r>
        <w:rPr>
          <w:rFonts w:hint="eastAsia" w:cs="Times New Roman"/>
          <w:b w:val="0"/>
          <w:bCs w:val="0"/>
          <w:kern w:val="2"/>
          <w:sz w:val="24"/>
          <w:szCs w:val="24"/>
          <w:lang w:val="en-US" w:eastAsia="zh-CN" w:bidi="ar-SA"/>
        </w:rPr>
        <w:t>吴江吴月齿轮制造有限责任公司</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电话：                   </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传真：                              </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邮编：</w:t>
      </w:r>
      <w:r>
        <w:rPr>
          <w:rFonts w:hint="default" w:ascii="Times New Roman" w:hAnsi="Times New Roman" w:eastAsia="宋体" w:cs="Times New Roman"/>
          <w:b w:val="0"/>
          <w:bCs w:val="0"/>
          <w:kern w:val="2"/>
          <w:sz w:val="24"/>
          <w:szCs w:val="24"/>
          <w:lang w:val="en-US" w:eastAsia="zh-CN" w:bidi="ar-SA"/>
        </w:rPr>
        <w:t>215</w:t>
      </w:r>
      <w:r>
        <w:rPr>
          <w:rFonts w:hint="eastAsia" w:ascii="Times New Roman" w:hAnsi="Times New Roman" w:eastAsia="宋体" w:cs="Times New Roman"/>
          <w:b w:val="0"/>
          <w:bCs w:val="0"/>
          <w:kern w:val="2"/>
          <w:sz w:val="24"/>
          <w:szCs w:val="24"/>
          <w:lang w:val="en-US" w:eastAsia="zh-CN" w:bidi="ar-SA"/>
        </w:rPr>
        <w:t>2</w:t>
      </w:r>
      <w:r>
        <w:rPr>
          <w:rFonts w:hint="default" w:ascii="Times New Roman" w:hAnsi="Times New Roman" w:eastAsia="宋体" w:cs="Times New Roman"/>
          <w:b w:val="0"/>
          <w:bCs w:val="0"/>
          <w:kern w:val="2"/>
          <w:sz w:val="24"/>
          <w:szCs w:val="24"/>
          <w:lang w:val="en-US" w:eastAsia="zh-CN" w:bidi="ar-SA"/>
        </w:rPr>
        <w:t xml:space="preserve">00 </w:t>
      </w:r>
      <w:r>
        <w:rPr>
          <w:rFonts w:hint="default" w:ascii="Times New Roman" w:hAnsi="Times New Roman" w:eastAsia="宋体" w:cs="Times New Roman"/>
          <w:b/>
          <w:bCs/>
          <w:kern w:val="2"/>
          <w:sz w:val="24"/>
          <w:szCs w:val="24"/>
          <w:lang w:val="en-US" w:eastAsia="zh-CN" w:bidi="ar-SA"/>
        </w:rPr>
        <w:t xml:space="preserve">                        </w:t>
      </w:r>
    </w:p>
    <w:p>
      <w:pPr>
        <w:widowControl/>
        <w:adjustRightInd w:val="0"/>
        <w:snapToGrid w:val="0"/>
        <w:spacing w:line="360" w:lineRule="auto"/>
        <w:jc w:val="both"/>
        <w:rPr>
          <w:rFonts w:hint="default" w:ascii="Times New Roman" w:hAnsi="Times New Roman" w:eastAsia="宋体" w:cs="Times New Roman"/>
          <w:kern w:val="0"/>
          <w:sz w:val="24"/>
          <w:szCs w:val="24"/>
        </w:rPr>
      </w:pPr>
      <w:r>
        <w:rPr>
          <w:rFonts w:hint="default" w:ascii="Times New Roman" w:hAnsi="Times New Roman" w:eastAsia="宋体" w:cs="Times New Roman"/>
          <w:b/>
          <w:bCs/>
          <w:kern w:val="2"/>
          <w:sz w:val="24"/>
          <w:szCs w:val="24"/>
          <w:lang w:val="en-US" w:eastAsia="zh-CN" w:bidi="ar-SA"/>
        </w:rPr>
        <w:t>地址：</w:t>
      </w:r>
      <w:r>
        <w:rPr>
          <w:rFonts w:hint="eastAsia" w:cs="Times New Roman"/>
          <w:b w:val="0"/>
          <w:bCs w:val="0"/>
          <w:kern w:val="2"/>
          <w:sz w:val="24"/>
          <w:szCs w:val="24"/>
          <w:lang w:val="en-US" w:eastAsia="zh-CN" w:bidi="ar-SA"/>
        </w:rPr>
        <w:t>苏州市吴江区盛泽镇双熟村</w:t>
      </w:r>
      <w:r>
        <w:rPr>
          <w:rFonts w:hint="default" w:ascii="Times New Roman" w:hAnsi="Times New Roman" w:eastAsia="宋体" w:cs="Times New Roman"/>
          <w:sz w:val="24"/>
          <w:szCs w:val="24"/>
          <w:lang w:val="en-US" w:eastAsia="zh-CN"/>
        </w:rPr>
        <w:t xml:space="preserve"> </w:t>
      </w:r>
    </w:p>
    <w:p>
      <w:pPr>
        <w:widowControl/>
        <w:adjustRightInd w:val="0"/>
        <w:snapToGrid w:val="0"/>
        <w:jc w:val="center"/>
        <w:rPr>
          <w:rFonts w:hint="eastAsia" w:ascii="宋体" w:hAnsi="宋体" w:eastAsia="宋体" w:cs="Times New Roman"/>
          <w:kern w:val="0"/>
          <w:sz w:val="28"/>
          <w:szCs w:val="28"/>
        </w:rPr>
      </w:pPr>
    </w:p>
    <w:p>
      <w:pPr>
        <w:widowControl/>
        <w:adjustRightInd w:val="0"/>
        <w:snapToGrid w:val="0"/>
        <w:spacing w:after="200" w:line="360" w:lineRule="auto"/>
        <w:jc w:val="left"/>
        <w:rPr>
          <w:rFonts w:hint="eastAsia" w:ascii="仿宋_GB2312" w:hAnsi="Tahoma" w:eastAsia="仿宋_GB2312" w:cs="Times New Roman"/>
          <w:color w:val="000000"/>
          <w:kern w:val="0"/>
          <w:sz w:val="28"/>
        </w:rPr>
      </w:pPr>
    </w:p>
    <w:bookmarkEnd w:id="0"/>
    <w:bookmarkEnd w:id="1"/>
    <w:bookmarkEnd w:id="2"/>
    <w:bookmarkEnd w:id="3"/>
    <w:p>
      <w:pPr>
        <w:keepNext/>
        <w:keepLines/>
        <w:widowControl/>
        <w:adjustRightInd w:val="0"/>
        <w:snapToGrid w:val="0"/>
        <w:spacing w:line="360" w:lineRule="auto"/>
        <w:jc w:val="left"/>
        <w:outlineLvl w:val="0"/>
        <w:rPr>
          <w:rFonts w:hint="eastAsia" w:ascii="宋体" w:hAnsi="宋体" w:eastAsia="宋体" w:cs="宋体"/>
          <w:b/>
          <w:color w:val="000000"/>
          <w:kern w:val="44"/>
          <w:szCs w:val="21"/>
          <w:lang w:val="en-US" w:eastAsia="zh-CN"/>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bookmarkStart w:id="4" w:name="_Toc21244"/>
    </w:p>
    <w:p>
      <w:pPr>
        <w:keepNext/>
        <w:keepLines/>
        <w:widowControl/>
        <w:adjustRightInd w:val="0"/>
        <w:snapToGrid w:val="0"/>
        <w:spacing w:line="360" w:lineRule="auto"/>
        <w:jc w:val="left"/>
        <w:outlineLvl w:val="0"/>
        <w:rPr>
          <w:rFonts w:hint="eastAsia" w:ascii="宋体" w:hAnsi="宋体" w:eastAsia="宋体" w:cs="宋体"/>
          <w:b/>
          <w:color w:val="000000"/>
          <w:kern w:val="44"/>
          <w:szCs w:val="21"/>
          <w:lang w:val="en-US" w:eastAsia="zh-CN"/>
        </w:rPr>
      </w:pPr>
      <w:r>
        <w:rPr>
          <w:rFonts w:hint="eastAsia" w:ascii="宋体" w:hAnsi="宋体" w:eastAsia="宋体" w:cs="宋体"/>
          <w:b/>
          <w:color w:val="000000"/>
          <w:kern w:val="44"/>
          <w:szCs w:val="21"/>
          <w:lang w:val="en-US" w:eastAsia="zh-CN"/>
        </w:rPr>
        <w:t>表一、项目概况、验收监测依据及排放标准</w:t>
      </w:r>
      <w:bookmarkEnd w:id="4"/>
    </w:p>
    <w:tbl>
      <w:tblPr>
        <w:tblStyle w:val="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236"/>
        <w:gridCol w:w="1925"/>
        <w:gridCol w:w="1669"/>
        <w:gridCol w:w="638"/>
        <w:gridCol w:w="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1507" w:type="dxa"/>
            <w:tcBorders>
              <w:top w:val="single" w:color="auto" w:sz="8"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建设项目名称</w:t>
            </w:r>
          </w:p>
        </w:tc>
        <w:tc>
          <w:tcPr>
            <w:tcW w:w="7015" w:type="dxa"/>
            <w:gridSpan w:val="5"/>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cs="Times New Roman"/>
                <w:lang w:val="en-US" w:eastAsia="zh-CN"/>
              </w:rPr>
              <w:t>年产汽车发动机齿轮10万台（套）项目、新建年产6DL/M 机齿轮8万台套及年产K/F机齿轮6万台套补办项目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建设单位名称</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cs="Times New Roman"/>
                <w:lang w:val="en-US" w:eastAsia="zh-CN"/>
              </w:rPr>
              <w:t>吴江吴月齿轮制造有限责任公司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建设项目性质</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w:t>
            </w:r>
            <w:r>
              <w:rPr>
                <w:rFonts w:ascii="宋体" w:hAnsi="宋体" w:eastAsia="宋体"/>
                <w:color w:val="000000"/>
                <w:sz w:val="21"/>
                <w:szCs w:val="21"/>
              </w:rPr>
              <w:t xml:space="preserve">新建 </w:t>
            </w:r>
            <w:r>
              <w:rPr>
                <w:rFonts w:hint="eastAsia" w:ascii="宋体" w:hAnsi="宋体"/>
                <w:color w:val="000000"/>
                <w:sz w:val="21"/>
                <w:szCs w:val="21"/>
                <w:lang w:val="en-US" w:eastAsia="zh-CN"/>
              </w:rPr>
              <w:t xml:space="preserve">   </w:t>
            </w:r>
            <w:r>
              <w:rPr>
                <w:rFonts w:hint="eastAsia" w:ascii="宋体" w:hAnsi="宋体"/>
                <w:color w:val="000000"/>
                <w:sz w:val="21"/>
                <w:szCs w:val="21"/>
                <w:lang w:eastAsia="zh-CN"/>
              </w:rPr>
              <w:t>√</w:t>
            </w:r>
            <w:r>
              <w:rPr>
                <w:rFonts w:ascii="宋体" w:hAnsi="宋体" w:eastAsia="宋体"/>
                <w:color w:val="000000"/>
                <w:sz w:val="21"/>
                <w:szCs w:val="21"/>
              </w:rPr>
              <w:t xml:space="preserve">改扩建  </w:t>
            </w:r>
            <w:r>
              <w:rPr>
                <w:rFonts w:hint="eastAsia" w:ascii="宋体" w:hAnsi="宋体"/>
                <w:color w:val="000000"/>
                <w:sz w:val="21"/>
                <w:szCs w:val="21"/>
                <w:lang w:val="en-US" w:eastAsia="zh-CN"/>
              </w:rPr>
              <w:t xml:space="preserve">     </w:t>
            </w:r>
            <w:r>
              <w:rPr>
                <w:rFonts w:ascii="宋体" w:hAnsi="宋体" w:eastAsia="宋体"/>
                <w:color w:val="000000"/>
                <w:sz w:val="21"/>
                <w:szCs w:val="21"/>
              </w:rPr>
              <w:t xml:space="preserve">技改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建设地点</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宋体" w:hAnsi="宋体" w:cs="Times New Roman" w:eastAsiaTheme="minorEastAsia"/>
                <w:color w:val="000000"/>
                <w:kern w:val="2"/>
                <w:sz w:val="21"/>
                <w:szCs w:val="21"/>
                <w:lang w:val="en-US" w:eastAsia="zh-CN" w:bidi="ar-SA"/>
              </w:rPr>
            </w:pPr>
            <w:r>
              <w:rPr>
                <w:rFonts w:hint="eastAsia" w:cs="Times New Roman" w:eastAsiaTheme="minorEastAsia"/>
                <w:lang w:val="en-US" w:eastAsia="zh-CN"/>
              </w:rPr>
              <w:t>苏州市吴江区盛泽镇双熟村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主要产品名称</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eastAsia="宋体" w:cs="Times New Roman"/>
                <w:kern w:val="2"/>
                <w:sz w:val="21"/>
                <w:szCs w:val="24"/>
                <w:lang w:val="en-US" w:eastAsia="zh-CN" w:bidi="ar-SA"/>
              </w:rPr>
            </w:pPr>
            <w:r>
              <w:rPr>
                <w:rFonts w:hint="eastAsia" w:cs="Times New Roman"/>
                <w:lang w:val="en-US" w:eastAsia="zh-CN"/>
              </w:rPr>
              <w:t>K/F齿轮、6DL/M 机齿轮、汽车发动机齿轮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设计生产能力</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outlineLvl w:val="9"/>
              <w:rPr>
                <w:rFonts w:hint="default" w:ascii="宋体" w:hAnsi="宋体" w:eastAsia="宋体" w:cs="Times New Roman"/>
                <w:color w:val="000000"/>
                <w:kern w:val="2"/>
                <w:sz w:val="21"/>
                <w:szCs w:val="21"/>
                <w:lang w:val="en-US" w:eastAsia="zh-CN" w:bidi="ar-SA"/>
              </w:rPr>
            </w:pPr>
            <w:r>
              <w:rPr>
                <w:rFonts w:hint="eastAsia" w:cs="Times New Roman"/>
                <w:lang w:val="en-US" w:eastAsia="zh-CN"/>
              </w:rPr>
              <w:t>年产汽车发动机齿轮10万台（套）项目、6DL/M 机齿轮8万台套及年产K/F机齿轮6万台套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实际生产能力</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outlineLvl w:val="9"/>
              <w:rPr>
                <w:rFonts w:hint="default" w:ascii="宋体" w:hAnsi="宋体" w:eastAsia="宋体" w:cs="Times New Roman"/>
                <w:color w:val="000000"/>
                <w:kern w:val="2"/>
                <w:sz w:val="21"/>
                <w:szCs w:val="21"/>
                <w:lang w:val="en-US" w:eastAsia="zh-CN" w:bidi="ar-SA"/>
              </w:rPr>
            </w:pPr>
            <w:r>
              <w:rPr>
                <w:rFonts w:hint="eastAsia" w:cs="Times New Roman"/>
                <w:lang w:val="en-US" w:eastAsia="zh-CN"/>
              </w:rPr>
              <w:t>年产汽车发动机齿轮10万台（套）项目、6DL/M 机齿轮8万台套及年产K/F机齿轮6万台套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建设项目环评时间</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宋体" w:hAnsi="宋体" w:eastAsia="宋体" w:cs="Times New Roman"/>
                <w:color w:val="000000"/>
                <w:kern w:val="2"/>
                <w:sz w:val="21"/>
                <w:szCs w:val="21"/>
                <w:lang w:val="en-US" w:eastAsia="zh-CN" w:bidi="ar-SA"/>
              </w:rPr>
            </w:pPr>
            <w:r>
              <w:rPr>
                <w:rFonts w:hint="eastAsia" w:cs="Times New Roman" w:eastAsiaTheme="minorEastAsia"/>
                <w:lang w:val="en-US" w:eastAsia="zh-CN"/>
              </w:rPr>
              <w:t>2013.03</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开工建设时间</w:t>
            </w:r>
          </w:p>
        </w:tc>
        <w:tc>
          <w:tcPr>
            <w:tcW w:w="2854" w:type="dxa"/>
            <w:gridSpan w:val="3"/>
            <w:tcBorders>
              <w:top w:val="single" w:color="auto" w:sz="4" w:space="0"/>
              <w:left w:val="single" w:color="auto" w:sz="4" w:space="0"/>
              <w:bottom w:val="single" w:color="auto" w:sz="4" w:space="0"/>
              <w:right w:val="single" w:color="auto" w:sz="8" w:space="0"/>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eastAsiaTheme="minorEastAsia"/>
                <w:color w:val="auto"/>
                <w:lang w:val="en-US" w:eastAsia="zh-CN"/>
              </w:rPr>
              <w:t>2013.04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调试时间</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宋体" w:hAnsi="宋体" w:eastAsia="宋体" w:cs="Times New Roman"/>
                <w:color w:val="auto"/>
                <w:kern w:val="2"/>
                <w:sz w:val="21"/>
                <w:szCs w:val="21"/>
                <w:lang w:val="en-US" w:eastAsia="zh-CN" w:bidi="ar-SA"/>
              </w:rPr>
            </w:pPr>
            <w:r>
              <w:rPr>
                <w:rFonts w:hint="eastAsia" w:cs="Times New Roman" w:eastAsiaTheme="minorEastAsia"/>
                <w:color w:val="auto"/>
                <w:lang w:val="en-US" w:eastAsia="zh-CN"/>
              </w:rPr>
              <w:t>2014.03</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验收现场</w:t>
            </w:r>
            <w:r>
              <w:rPr>
                <w:rFonts w:hint="eastAsia" w:ascii="宋体" w:hAnsi="宋体" w:cs="Times New Roman"/>
                <w:color w:val="auto"/>
                <w:kern w:val="0"/>
                <w:szCs w:val="21"/>
                <w:lang w:val="en-US" w:eastAsia="zh-CN"/>
              </w:rPr>
              <w:t>调查</w:t>
            </w:r>
            <w:r>
              <w:rPr>
                <w:rFonts w:hint="eastAsia" w:ascii="宋体" w:hAnsi="宋体" w:eastAsia="宋体" w:cs="Times New Roman"/>
                <w:color w:val="auto"/>
                <w:kern w:val="0"/>
                <w:szCs w:val="21"/>
              </w:rPr>
              <w:t>时间</w:t>
            </w:r>
          </w:p>
        </w:tc>
        <w:tc>
          <w:tcPr>
            <w:tcW w:w="2854" w:type="dxa"/>
            <w:gridSpan w:val="3"/>
            <w:tcBorders>
              <w:top w:val="single" w:color="auto" w:sz="4" w:space="0"/>
              <w:left w:val="single" w:color="auto" w:sz="4" w:space="0"/>
              <w:bottom w:val="single" w:color="auto" w:sz="4" w:space="0"/>
              <w:right w:val="single" w:color="auto" w:sz="8" w:space="0"/>
            </w:tcBorders>
            <w:noWrap w:val="0"/>
            <w:vAlign w:val="center"/>
          </w:tcPr>
          <w:p>
            <w:pPr>
              <w:pStyle w:val="2"/>
              <w:spacing w:line="240" w:lineRule="auto"/>
              <w:jc w:val="center"/>
              <w:rPr>
                <w:rFonts w:hint="default"/>
                <w:lang w:val="en-US" w:eastAsia="zh-CN"/>
              </w:rPr>
            </w:pPr>
            <w:r>
              <w:rPr>
                <w:rFonts w:hint="eastAsia" w:ascii="Times New Roman" w:eastAsia="宋体" w:cs="Times New Roman"/>
                <w:color w:val="auto"/>
                <w:kern w:val="0"/>
                <w:sz w:val="21"/>
                <w:szCs w:val="21"/>
                <w:lang w:val="en-US" w:eastAsia="zh-CN" w:bidi="ar-SA"/>
              </w:rPr>
              <w:t>2021.08.02</w:t>
            </w:r>
            <w:r>
              <w:rPr>
                <w:rFonts w:hint="eastAsia" w:ascii="Times New Roman" w:hAnsi="Times New Roman" w:eastAsia="宋体" w:cs="Times New Roman"/>
                <w:color w:val="auto"/>
                <w:kern w:val="0"/>
                <w:sz w:val="21"/>
                <w:szCs w:val="21"/>
                <w:lang w:val="en-US" w:eastAsia="zh-CN" w:bidi="ar-SA"/>
              </w:rPr>
              <w:t>-</w:t>
            </w:r>
            <w:r>
              <w:rPr>
                <w:rFonts w:hint="eastAsia" w:ascii="Times New Roman" w:eastAsia="宋体" w:cs="Times New Roman"/>
                <w:color w:val="auto"/>
                <w:kern w:val="0"/>
                <w:sz w:val="21"/>
                <w:szCs w:val="21"/>
                <w:lang w:val="en-US" w:eastAsia="zh-CN" w:bidi="ar-SA"/>
              </w:rPr>
              <w:t>2021.08.03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环评报告表</w:t>
            </w:r>
          </w:p>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审批部门</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 w:val="21"/>
                <w:szCs w:val="21"/>
              </w:rPr>
            </w:pPr>
            <w:r>
              <w:rPr>
                <w:rFonts w:hint="eastAsia" w:cs="Times New Roman" w:eastAsiaTheme="minorEastAsia"/>
                <w:lang w:val="en-US" w:eastAsia="zh-CN"/>
              </w:rPr>
              <w:t>吴江区盛泽镇人民政府（K/F、6DL/M 机齿轮）、吴江区环境保护局（汽车发动机齿轮）</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环评报告表</w:t>
            </w:r>
          </w:p>
          <w:p>
            <w:pPr>
              <w:widowControl/>
              <w:adjustRightInd w:val="0"/>
              <w:snapToGrid w:val="0"/>
              <w:spacing w:line="240"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编制单位</w:t>
            </w:r>
          </w:p>
        </w:tc>
        <w:tc>
          <w:tcPr>
            <w:tcW w:w="2854" w:type="dxa"/>
            <w:gridSpan w:val="3"/>
            <w:tcBorders>
              <w:top w:val="single" w:color="auto" w:sz="4" w:space="0"/>
              <w:left w:val="single" w:color="auto" w:sz="4" w:space="0"/>
              <w:bottom w:val="single" w:color="auto" w:sz="4" w:space="0"/>
              <w:right w:val="single" w:color="auto" w:sz="8" w:space="0"/>
            </w:tcBorders>
            <w:noWrap w:val="0"/>
            <w:vAlign w:val="center"/>
          </w:tcPr>
          <w:p>
            <w:pPr>
              <w:widowControl/>
              <w:adjustRightInd w:val="0"/>
              <w:snapToGrid w:val="0"/>
              <w:spacing w:line="240" w:lineRule="auto"/>
              <w:jc w:val="center"/>
              <w:rPr>
                <w:rFonts w:hint="default" w:ascii="宋体" w:hAnsi="宋体" w:eastAsia="宋体" w:cs="Times New Roman"/>
                <w:color w:val="000000"/>
                <w:kern w:val="0"/>
                <w:sz w:val="21"/>
                <w:szCs w:val="21"/>
                <w:lang w:val="en-US" w:eastAsia="zh-CN"/>
              </w:rPr>
            </w:pPr>
            <w:r>
              <w:rPr>
                <w:rFonts w:hint="eastAsia" w:cs="Times New Roman" w:eastAsiaTheme="minorEastAsia"/>
                <w:color w:val="auto"/>
                <w:lang w:val="en-US" w:eastAsia="zh-CN"/>
              </w:rPr>
              <w:t>天津市气象科学研究所（K/F、6DL/M 机齿轮）、北京中科尚环境科技有限公司（汽车发动机齿轮）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kern w:val="0"/>
                <w:szCs w:val="21"/>
              </w:rPr>
              <w:t>环保设施设计单位</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kern w:val="0"/>
                <w:szCs w:val="21"/>
              </w:rPr>
            </w:pPr>
            <w:r>
              <w:rPr>
                <w:rFonts w:hint="eastAsia" w:ascii="宋体" w:hAnsi="宋体" w:eastAsia="宋体" w:cs="Times New Roman"/>
                <w:kern w:val="0"/>
                <w:szCs w:val="21"/>
              </w:rPr>
              <w:t>环保设施施工单位</w:t>
            </w:r>
          </w:p>
        </w:tc>
        <w:tc>
          <w:tcPr>
            <w:tcW w:w="2854" w:type="dxa"/>
            <w:gridSpan w:val="3"/>
            <w:tcBorders>
              <w:top w:val="single" w:color="auto" w:sz="4" w:space="0"/>
              <w:left w:val="single" w:color="auto" w:sz="4" w:space="0"/>
              <w:bottom w:val="single" w:color="auto" w:sz="4" w:space="0"/>
              <w:right w:val="single" w:color="auto" w:sz="8"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lang w:val="en-US" w:eastAsia="zh-CN"/>
              </w:rPr>
            </w:pPr>
            <w:r>
              <w:rPr>
                <w:rFonts w:hint="eastAsia" w:ascii="宋体" w:hAnsi="宋体" w:eastAsia="宋体" w:cs="Times New Roman"/>
                <w:kern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33"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jc w:val="center"/>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rPr>
              <w:t>投资总概算</w:t>
            </w:r>
            <w:r>
              <w:rPr>
                <w:rFonts w:hint="eastAsia" w:ascii="宋体" w:hAnsi="宋体" w:cs="Times New Roman"/>
                <w:color w:val="000000"/>
                <w:kern w:val="0"/>
                <w:szCs w:val="21"/>
                <w:lang w:eastAsia="zh-CN"/>
              </w:rPr>
              <w:t>（</w:t>
            </w:r>
            <w:r>
              <w:rPr>
                <w:rFonts w:hint="eastAsia" w:ascii="宋体" w:hAnsi="宋体" w:cs="Times New Roman"/>
                <w:color w:val="000000"/>
                <w:kern w:val="0"/>
                <w:szCs w:val="21"/>
                <w:lang w:val="en-US" w:eastAsia="zh-CN"/>
              </w:rPr>
              <w:t>万元）</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宋体" w:hAnsi="宋体" w:eastAsia="宋体" w:cs="Times New Roman"/>
                <w:color w:val="000000"/>
                <w:kern w:val="2"/>
                <w:sz w:val="21"/>
                <w:szCs w:val="21"/>
                <w:lang w:val="en-US" w:eastAsia="zh-CN" w:bidi="ar-SA"/>
              </w:rPr>
            </w:pPr>
            <w:r>
              <w:rPr>
                <w:rFonts w:hint="eastAsia" w:cs="Times New Roman" w:eastAsiaTheme="minorEastAsia"/>
                <w:lang w:val="en-US" w:eastAsia="zh-CN"/>
              </w:rPr>
              <w:t>9000（K/F、6DL/M 机齿轮）、18000（汽车发动机齿轮）</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环保投资总概算</w:t>
            </w:r>
            <w:r>
              <w:rPr>
                <w:rFonts w:hint="eastAsia" w:ascii="宋体" w:hAnsi="宋体" w:cs="Times New Roman"/>
                <w:color w:val="000000"/>
                <w:kern w:val="0"/>
                <w:szCs w:val="21"/>
                <w:lang w:eastAsia="zh-CN"/>
              </w:rPr>
              <w:t>（</w:t>
            </w:r>
            <w:r>
              <w:rPr>
                <w:rFonts w:hint="eastAsia" w:ascii="宋体" w:hAnsi="宋体" w:cs="Times New Roman"/>
                <w:color w:val="000000"/>
                <w:kern w:val="0"/>
                <w:szCs w:val="21"/>
                <w:lang w:val="en-US" w:eastAsia="zh-CN"/>
              </w:rPr>
              <w:t>万元）</w:t>
            </w:r>
          </w:p>
        </w:tc>
        <w:tc>
          <w:tcPr>
            <w:tcW w:w="1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cs="Times New Roman" w:eastAsiaTheme="minorEastAsia"/>
                <w:lang w:val="en-US" w:eastAsia="zh-CN"/>
              </w:rPr>
            </w:pPr>
            <w:r>
              <w:rPr>
                <w:rFonts w:hint="eastAsia" w:cs="Times New Roman" w:eastAsiaTheme="minorEastAsia"/>
                <w:lang w:val="en-US" w:eastAsia="zh-CN"/>
              </w:rPr>
              <w:t>50（K/F、6DL/M</w:t>
            </w:r>
          </w:p>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cs="Times New Roman" w:eastAsiaTheme="minorEastAsia"/>
                <w:kern w:val="2"/>
                <w:sz w:val="21"/>
                <w:szCs w:val="24"/>
                <w:lang w:val="en-US" w:eastAsia="zh-CN" w:bidi="ar-SA"/>
              </w:rPr>
            </w:pPr>
            <w:r>
              <w:rPr>
                <w:rFonts w:hint="eastAsia" w:cs="Times New Roman" w:eastAsiaTheme="minorEastAsia"/>
                <w:lang w:val="en-US" w:eastAsia="zh-CN"/>
              </w:rPr>
              <w:t>机齿轮）8（汽车发动机齿轮）</w:t>
            </w:r>
          </w:p>
        </w:tc>
        <w:tc>
          <w:tcPr>
            <w:tcW w:w="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比例</w:t>
            </w:r>
          </w:p>
        </w:tc>
        <w:tc>
          <w:tcPr>
            <w:tcW w:w="54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cs="Times New Roman" w:eastAsiaTheme="minorEastAsia"/>
                <w:kern w:val="2"/>
                <w:sz w:val="21"/>
                <w:szCs w:val="24"/>
                <w:lang w:val="en-US" w:eastAsia="zh-CN" w:bidi="ar-SA"/>
              </w:rPr>
            </w:pPr>
            <w:r>
              <w:rPr>
                <w:rFonts w:hint="eastAsia" w:cs="Times New Roman" w:eastAsiaTheme="minorEastAsia"/>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95"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kern w:val="0"/>
                <w:szCs w:val="21"/>
              </w:rPr>
              <w:t>实际总</w:t>
            </w:r>
            <w:r>
              <w:rPr>
                <w:rFonts w:hint="eastAsia" w:ascii="宋体" w:hAnsi="宋体" w:eastAsia="宋体" w:cs="Times New Roman"/>
                <w:kern w:val="0"/>
                <w:szCs w:val="21"/>
                <w:lang w:val="en-US" w:eastAsia="zh-CN"/>
              </w:rPr>
              <w:t>投资</w:t>
            </w:r>
            <w:r>
              <w:rPr>
                <w:rFonts w:hint="eastAsia" w:ascii="宋体" w:hAnsi="宋体" w:cs="Times New Roman"/>
                <w:color w:val="000000"/>
                <w:kern w:val="0"/>
                <w:szCs w:val="21"/>
                <w:lang w:eastAsia="zh-CN"/>
              </w:rPr>
              <w:t>（</w:t>
            </w:r>
            <w:r>
              <w:rPr>
                <w:rFonts w:hint="eastAsia" w:ascii="宋体" w:hAnsi="宋体" w:cs="Times New Roman"/>
                <w:color w:val="000000"/>
                <w:kern w:val="0"/>
                <w:szCs w:val="21"/>
                <w:lang w:val="en-US" w:eastAsia="zh-CN"/>
              </w:rPr>
              <w:t>万元）</w:t>
            </w:r>
          </w:p>
        </w:tc>
        <w:tc>
          <w:tcPr>
            <w:tcW w:w="22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宋体" w:hAnsi="宋体" w:eastAsia="宋体" w:cs="Times New Roman"/>
                <w:color w:val="auto"/>
                <w:kern w:val="2"/>
                <w:sz w:val="21"/>
                <w:szCs w:val="21"/>
                <w:lang w:val="en-US" w:eastAsia="zh-CN" w:bidi="ar-SA"/>
              </w:rPr>
            </w:pPr>
            <w:r>
              <w:rPr>
                <w:rFonts w:hint="eastAsia" w:cs="Times New Roman" w:eastAsiaTheme="minorEastAsia"/>
                <w:color w:val="auto"/>
                <w:lang w:val="en-US" w:eastAsia="zh-CN"/>
              </w:rPr>
              <w:t>8000（K/F、6DL/M 机齿轮）、15000（汽车发动机齿轮）</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环保投资</w:t>
            </w:r>
            <w:r>
              <w:rPr>
                <w:rFonts w:hint="eastAsia" w:ascii="宋体" w:hAnsi="宋体" w:cs="Times New Roman"/>
                <w:color w:val="000000"/>
                <w:kern w:val="0"/>
                <w:szCs w:val="21"/>
                <w:lang w:eastAsia="zh-CN"/>
              </w:rPr>
              <w:t>（</w:t>
            </w:r>
            <w:r>
              <w:rPr>
                <w:rFonts w:hint="eastAsia" w:ascii="宋体" w:hAnsi="宋体" w:cs="Times New Roman"/>
                <w:color w:val="000000"/>
                <w:kern w:val="0"/>
                <w:szCs w:val="21"/>
                <w:lang w:val="en-US" w:eastAsia="zh-CN"/>
              </w:rPr>
              <w:t>万元）</w:t>
            </w:r>
          </w:p>
        </w:tc>
        <w:tc>
          <w:tcPr>
            <w:tcW w:w="1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cs="Times New Roman" w:eastAsiaTheme="minorEastAsia"/>
                <w:color w:val="auto"/>
                <w:lang w:val="en-US" w:eastAsia="zh-CN"/>
              </w:rPr>
            </w:pPr>
            <w:r>
              <w:rPr>
                <w:rFonts w:hint="eastAsia" w:cs="Times New Roman" w:eastAsiaTheme="minorEastAsia"/>
                <w:color w:val="auto"/>
                <w:lang w:val="en-US" w:eastAsia="zh-CN"/>
              </w:rPr>
              <w:t>50（K/F、6DL/M</w:t>
            </w:r>
          </w:p>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cs="Times New Roman" w:eastAsiaTheme="minorEastAsia"/>
                <w:color w:val="auto"/>
                <w:kern w:val="2"/>
                <w:sz w:val="21"/>
                <w:szCs w:val="24"/>
                <w:lang w:val="en-US" w:eastAsia="zh-CN" w:bidi="ar-SA"/>
              </w:rPr>
            </w:pPr>
            <w:r>
              <w:rPr>
                <w:rFonts w:hint="eastAsia" w:cs="Times New Roman" w:eastAsiaTheme="minorEastAsia"/>
                <w:color w:val="auto"/>
                <w:lang w:val="en-US" w:eastAsia="zh-CN"/>
              </w:rPr>
              <w:t>机齿轮）8（汽车发动机齿轮）</w:t>
            </w:r>
          </w:p>
        </w:tc>
        <w:tc>
          <w:tcPr>
            <w:tcW w:w="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比例</w:t>
            </w:r>
          </w:p>
        </w:tc>
        <w:tc>
          <w:tcPr>
            <w:tcW w:w="54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88" w:lineRule="auto"/>
              <w:jc w:val="center"/>
              <w:textAlignment w:val="auto"/>
              <w:outlineLvl w:val="9"/>
              <w:rPr>
                <w:rFonts w:hint="eastAsia" w:ascii="Times New Roman" w:hAnsi="Times New Roman" w:cs="Times New Roman" w:eastAsiaTheme="minorEastAsia"/>
                <w:color w:val="auto"/>
                <w:kern w:val="2"/>
                <w:sz w:val="21"/>
                <w:szCs w:val="24"/>
                <w:lang w:val="en-US" w:eastAsia="zh-CN" w:bidi="ar-SA"/>
              </w:rPr>
            </w:pPr>
            <w:r>
              <w:rPr>
                <w:rFonts w:hint="eastAsia" w:cs="Times New Roman" w:eastAsiaTheme="minorEastAsia"/>
                <w:color w:val="auto"/>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203" w:hRule="atLeast"/>
          <w:jc w:val="center"/>
        </w:trPr>
        <w:tc>
          <w:tcPr>
            <w:tcW w:w="1507" w:type="dxa"/>
            <w:tcBorders>
              <w:top w:val="single" w:color="auto" w:sz="4" w:space="0"/>
              <w:left w:val="single" w:color="auto" w:sz="8" w:space="0"/>
              <w:bottom w:val="single" w:color="auto" w:sz="4" w:space="0"/>
              <w:right w:val="single" w:color="auto" w:sz="4" w:space="0"/>
            </w:tcBorders>
            <w:noWrap w:val="0"/>
            <w:vAlign w:val="center"/>
          </w:tcPr>
          <w:p>
            <w:pPr>
              <w:widowControl/>
              <w:adjustRightInd w:val="0"/>
              <w:snapToGrid w:val="0"/>
              <w:spacing w:line="240"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验收监测依据</w:t>
            </w:r>
          </w:p>
        </w:tc>
        <w:tc>
          <w:tcPr>
            <w:tcW w:w="7015" w:type="dxa"/>
            <w:gridSpan w:val="5"/>
            <w:tcBorders>
              <w:top w:val="single" w:color="auto" w:sz="4" w:space="0"/>
              <w:left w:val="single" w:color="auto" w:sz="4" w:space="0"/>
              <w:bottom w:val="single" w:color="auto" w:sz="4" w:space="0"/>
              <w:right w:val="single" w:color="auto" w:sz="8" w:space="0"/>
            </w:tcBorders>
            <w:noWrap w:val="0"/>
            <w:vAlign w:val="center"/>
          </w:tcPr>
          <w:p>
            <w:pPr>
              <w:widowControl/>
              <w:adjustRightInd w:val="0"/>
              <w:snapToGrid w:val="0"/>
              <w:spacing w:line="240" w:lineRule="auto"/>
              <w:ind w:firstLine="420" w:firstLineChars="200"/>
              <w:jc w:val="left"/>
              <w:rPr>
                <w:rFonts w:hint="eastAsia" w:ascii="Times New Roman" w:hAnsi="Times New Roman" w:eastAsia="宋体" w:cs="Times New Roman"/>
                <w:color w:val="000000"/>
                <w:kern w:val="0"/>
                <w:szCs w:val="21"/>
                <w:lang w:val="en-US"/>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《中华人民共和国环境保护法》</w:t>
            </w:r>
            <w:r>
              <w:rPr>
                <w:rFonts w:ascii="Times New Roman" w:hAnsi="Times New Roman" w:eastAsia="宋体" w:cs="Times New Roman"/>
                <w:color w:val="000000"/>
                <w:kern w:val="0"/>
                <w:szCs w:val="21"/>
              </w:rPr>
              <w:t>(2014</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《建设项目环境保护管理条例》</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国务院令</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ascii="Times New Roman" w:hAnsi="Times New Roman" w:eastAsia="宋体" w:cs="Times New Roman"/>
                <w:color w:val="000000"/>
                <w:kern w:val="0"/>
                <w:szCs w:val="21"/>
              </w:rPr>
              <w:t>682</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10</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日</w:t>
            </w:r>
            <w:r>
              <w:rPr>
                <w:rFonts w:ascii="Times New Roman" w:hAnsi="Times New Roman" w:eastAsia="宋体" w:cs="Times New Roman"/>
                <w:color w:val="000000"/>
                <w:kern w:val="0"/>
                <w:szCs w:val="21"/>
              </w:rPr>
              <w:t>)</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关于发布《建设项目竣工环境保护验收技术指南</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污染影响类》的公告（生态环境部公告</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公告</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15</w:t>
            </w:r>
            <w:r>
              <w:rPr>
                <w:rFonts w:hint="eastAsia" w:ascii="Times New Roman" w:hAnsi="Times New Roman" w:eastAsia="宋体" w:cs="Times New Roman"/>
                <w:color w:val="000000"/>
                <w:kern w:val="0"/>
                <w:szCs w:val="21"/>
              </w:rPr>
              <w:t>日）</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《建设项目竣工环境保护验收暂行办法》（国环规环评</w:t>
            </w:r>
            <w:r>
              <w:rPr>
                <w:rFonts w:ascii="Times New Roman" w:hAnsi="Times New Roman" w:eastAsia="宋体" w:cs="Times New Roman"/>
                <w:color w:val="000000"/>
                <w:kern w:val="0"/>
                <w:szCs w:val="21"/>
              </w:rPr>
              <w:t>[2017]4</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11</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rPr>
              <w:t>日）</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《江苏省排污口设置及规范化整治管理办法》</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江苏省环境保护局，苏环控</w:t>
            </w:r>
            <w:r>
              <w:rPr>
                <w:rFonts w:ascii="Times New Roman" w:hAnsi="Times New Roman" w:eastAsia="宋体" w:cs="Times New Roman"/>
                <w:color w:val="000000"/>
                <w:kern w:val="0"/>
                <w:szCs w:val="21"/>
              </w:rPr>
              <w:t>[1997]122</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1997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《国家危险废物名录》（</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21</w:t>
            </w:r>
            <w:r>
              <w:rPr>
                <w:rFonts w:hint="eastAsia" w:ascii="Times New Roman" w:hAnsi="Times New Roman" w:eastAsia="宋体" w:cs="Times New Roman"/>
                <w:color w:val="000000"/>
                <w:kern w:val="0"/>
                <w:szCs w:val="21"/>
              </w:rPr>
              <w:t>年版）（环境保护部令</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hint="eastAsia" w:ascii="Times New Roman" w:hAnsi="Times New Roman" w:eastAsia="宋体" w:cs="Times New Roman"/>
                <w:color w:val="000000"/>
                <w:kern w:val="0"/>
                <w:szCs w:val="21"/>
                <w:lang w:val="en-US" w:eastAsia="zh-CN"/>
              </w:rPr>
              <w:t>15</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hint="eastAsia" w:ascii="Times New Roman" w:hAnsi="Times New Roman" w:eastAsia="宋体" w:cs="Times New Roman"/>
                <w:color w:val="000000"/>
                <w:kern w:val="0"/>
                <w:szCs w:val="21"/>
              </w:rPr>
              <w:t>年</w:t>
            </w:r>
            <w:r>
              <w:rPr>
                <w:rFonts w:hint="eastAsia" w:ascii="Times New Roman" w:hAnsi="Times New Roman" w:eastAsia="宋体" w:cs="Times New Roman"/>
                <w:color w:val="000000"/>
                <w:kern w:val="0"/>
                <w:szCs w:val="21"/>
                <w:lang w:val="en-US" w:eastAsia="zh-CN"/>
              </w:rPr>
              <w:t>11</w:t>
            </w:r>
            <w:r>
              <w:rPr>
                <w:rFonts w:hint="eastAsia" w:ascii="Times New Roman" w:hAnsi="Times New Roman" w:eastAsia="宋体" w:cs="Times New Roman"/>
                <w:color w:val="000000"/>
                <w:kern w:val="0"/>
                <w:szCs w:val="21"/>
              </w:rPr>
              <w:t>月</w:t>
            </w:r>
            <w:r>
              <w:rPr>
                <w:rFonts w:hint="eastAsia" w:ascii="Times New Roman" w:hAnsi="Times New Roman" w:eastAsia="宋体" w:cs="Times New Roman"/>
                <w:color w:val="000000"/>
                <w:kern w:val="0"/>
                <w:szCs w:val="21"/>
                <w:lang w:val="en-US" w:eastAsia="zh-CN"/>
              </w:rPr>
              <w:t>27</w:t>
            </w:r>
            <w:r>
              <w:rPr>
                <w:rFonts w:hint="eastAsia" w:ascii="Times New Roman" w:hAnsi="Times New Roman" w:eastAsia="宋体" w:cs="Times New Roman"/>
                <w:color w:val="000000"/>
                <w:kern w:val="0"/>
                <w:szCs w:val="21"/>
              </w:rPr>
              <w:t>日）</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rPr>
              <w:t>《关于加强建设项目竣工环境保护验收监测工作中污染事故防范环境管理检查工作的通知》</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中国环境监测总站，总站验字</w:t>
            </w:r>
            <w:r>
              <w:rPr>
                <w:rFonts w:ascii="Times New Roman" w:hAnsi="Times New Roman" w:eastAsia="宋体" w:cs="Times New Roman"/>
                <w:color w:val="000000"/>
                <w:kern w:val="0"/>
                <w:szCs w:val="21"/>
              </w:rPr>
              <w:t>[2005]188</w:t>
            </w:r>
            <w:r>
              <w:rPr>
                <w:rFonts w:hint="eastAsia" w:ascii="Times New Roman" w:hAnsi="Times New Roman" w:eastAsia="宋体" w:cs="Times New Roman"/>
                <w:color w:val="000000"/>
                <w:kern w:val="0"/>
                <w:szCs w:val="21"/>
              </w:rPr>
              <w:t>号文</w:t>
            </w:r>
            <w:r>
              <w:rPr>
                <w:rFonts w:ascii="Times New Roman" w:hAnsi="Times New Roman" w:eastAsia="宋体" w:cs="Times New Roman"/>
                <w:color w:val="000000"/>
                <w:kern w:val="0"/>
                <w:szCs w:val="21"/>
              </w:rPr>
              <w:t>)</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r>
              <w:rPr>
                <w:rFonts w:hint="eastAsia"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污染影响类建设项目重大变动清单（试行）</w:t>
            </w:r>
            <w:r>
              <w:rPr>
                <w:rFonts w:hint="eastAsia" w:ascii="Times New Roman" w:hAnsi="Times New Roman" w:eastAsia="宋体" w:cs="Times New Roman"/>
                <w:color w:val="000000"/>
                <w:kern w:val="0"/>
                <w:szCs w:val="21"/>
              </w:rPr>
              <w:t>》（环办</w:t>
            </w:r>
            <w:r>
              <w:rPr>
                <w:rFonts w:hint="eastAsia" w:ascii="Times New Roman" w:hAnsi="Times New Roman" w:eastAsia="宋体" w:cs="Times New Roman"/>
                <w:color w:val="000000"/>
                <w:kern w:val="0"/>
                <w:szCs w:val="21"/>
                <w:lang w:val="en-US" w:eastAsia="zh-CN"/>
              </w:rPr>
              <w:t>环评函</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688</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lang w:val="en-US" w:eastAsia="zh-CN"/>
              </w:rPr>
              <w:t>2</w:t>
            </w:r>
            <w:r>
              <w:rPr>
                <w:rFonts w:hint="eastAsia" w:ascii="Times New Roman" w:hAnsi="Times New Roman" w:eastAsia="宋体" w:cs="Times New Roman"/>
                <w:color w:val="000000"/>
                <w:kern w:val="0"/>
                <w:szCs w:val="21"/>
              </w:rPr>
              <w:t>月</w:t>
            </w:r>
            <w:r>
              <w:rPr>
                <w:rFonts w:hint="eastAsia" w:ascii="Times New Roman" w:hAnsi="Times New Roman" w:eastAsia="宋体" w:cs="Times New Roman"/>
                <w:color w:val="000000"/>
                <w:kern w:val="0"/>
                <w:szCs w:val="21"/>
                <w:lang w:val="en-US" w:eastAsia="zh-CN"/>
              </w:rPr>
              <w:t>13</w:t>
            </w:r>
            <w:r>
              <w:rPr>
                <w:rFonts w:hint="eastAsia" w:ascii="Times New Roman" w:hAnsi="Times New Roman" w:eastAsia="宋体" w:cs="Times New Roman"/>
                <w:color w:val="000000"/>
                <w:kern w:val="0"/>
                <w:szCs w:val="21"/>
              </w:rPr>
              <w:t>日）</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《关于建设项目竣工环境保护验收有关事项的通知》（苏环办</w:t>
            </w:r>
            <w:r>
              <w:rPr>
                <w:rFonts w:ascii="Times New Roman" w:hAnsi="Times New Roman" w:eastAsia="宋体" w:cs="Times New Roman"/>
                <w:color w:val="000000"/>
                <w:kern w:val="0"/>
                <w:szCs w:val="21"/>
              </w:rPr>
              <w:t>[2018]34</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26</w:t>
            </w:r>
            <w:r>
              <w:rPr>
                <w:rFonts w:hint="eastAsia" w:ascii="Times New Roman" w:hAnsi="Times New Roman" w:eastAsia="宋体" w:cs="Times New Roman"/>
                <w:color w:val="000000"/>
                <w:kern w:val="0"/>
                <w:szCs w:val="21"/>
              </w:rPr>
              <w:t>日）</w:t>
            </w:r>
          </w:p>
          <w:p>
            <w:pPr>
              <w:widowControl/>
              <w:adjustRightInd w:val="0"/>
              <w:snapToGrid w:val="0"/>
              <w:spacing w:line="240" w:lineRule="auto"/>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r>
              <w:rPr>
                <w:rFonts w:hint="eastAsia" w:ascii="Times New Roman" w:hAnsi="Times New Roman" w:eastAsia="宋体" w:cs="Times New Roman"/>
                <w:color w:val="000000"/>
                <w:kern w:val="0"/>
                <w:szCs w:val="21"/>
              </w:rPr>
              <w:t>《</w:t>
            </w:r>
            <w:r>
              <w:rPr>
                <w:rFonts w:hint="eastAsia" w:cs="Times New Roman"/>
                <w:color w:val="000000"/>
                <w:kern w:val="0"/>
                <w:szCs w:val="21"/>
                <w:lang w:eastAsia="zh-CN"/>
              </w:rPr>
              <w:t>吴江吴月齿轮制造有限责任公司年产汽车发动机齿轮10万台（套）项目、新建年产6DL/M 机齿轮8万台套及年产K/F机齿轮6万台套补办项目</w:t>
            </w:r>
            <w:r>
              <w:rPr>
                <w:rFonts w:hint="eastAsia" w:ascii="Times New Roman" w:hAnsi="Times New Roman" w:eastAsia="宋体" w:cs="Times New Roman"/>
                <w:color w:val="000000"/>
                <w:kern w:val="0"/>
                <w:szCs w:val="21"/>
              </w:rPr>
              <w:t>环境影响报告表》（南京师范大学，2012年12月）</w:t>
            </w:r>
          </w:p>
          <w:p>
            <w:pPr>
              <w:widowControl/>
              <w:adjustRightInd w:val="0"/>
              <w:snapToGrid w:val="0"/>
              <w:spacing w:line="240" w:lineRule="auto"/>
              <w:ind w:firstLine="420" w:firstLineChars="200"/>
              <w:jc w:val="left"/>
              <w:rPr>
                <w:rFonts w:ascii="Times New Roman" w:hAnsi="Times New Roman" w:eastAsia="宋体" w:cs="Times New Roman"/>
                <w:color w:val="auto"/>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lang w:val="en-US" w:eastAsia="zh-CN"/>
              </w:rPr>
              <w:t>1</w:t>
            </w:r>
            <w:r>
              <w:rPr>
                <w:rFonts w:ascii="Times New Roman" w:hAnsi="Times New Roman" w:eastAsia="宋体" w:cs="Times New Roman"/>
                <w:color w:val="000000"/>
                <w:kern w:val="0"/>
                <w:szCs w:val="21"/>
              </w:rPr>
              <w:t>)</w:t>
            </w:r>
            <w:r>
              <w:rPr>
                <w:rFonts w:hint="default" w:ascii="Times New Roman" w:hAnsi="Times New Roman" w:eastAsia="宋体" w:cs="Times New Roman"/>
                <w:sz w:val="21"/>
                <w:szCs w:val="21"/>
                <w:lang w:val="en-US" w:eastAsia="zh-CN"/>
              </w:rPr>
              <w:t>《关于对</w:t>
            </w:r>
            <w:r>
              <w:rPr>
                <w:rFonts w:hint="eastAsia" w:cs="Times New Roman"/>
                <w:sz w:val="21"/>
                <w:szCs w:val="21"/>
                <w:lang w:val="en-US" w:eastAsia="zh-CN"/>
              </w:rPr>
              <w:t>吴江吴月齿轮制造有限责任公司年产汽车发动机齿轮10万台（套）项目、新建年产6DL/M 机齿轮8万台套及年产K/F机齿轮6万台套补办项目</w:t>
            </w:r>
            <w:r>
              <w:rPr>
                <w:rFonts w:hint="default" w:ascii="Times New Roman" w:hAnsi="Times New Roman" w:eastAsia="宋体" w:cs="Times New Roman"/>
                <w:sz w:val="21"/>
                <w:szCs w:val="21"/>
                <w:lang w:val="en-US" w:eastAsia="zh-CN"/>
              </w:rPr>
              <w:t>环境影响报告表的审批意见》（苏州市吴江区环境保护局，吴环建[2013]14号，2013年1月7日）</w:t>
            </w:r>
          </w:p>
          <w:p>
            <w:pPr>
              <w:widowControl/>
              <w:adjustRightInd w:val="0"/>
              <w:snapToGrid w:val="0"/>
              <w:spacing w:line="240" w:lineRule="auto"/>
              <w:ind w:firstLine="420" w:firstLineChars="200"/>
              <w:jc w:val="left"/>
              <w:rPr>
                <w:rFonts w:hint="default" w:ascii="Times New Roman" w:hAnsi="Times New Roman" w:eastAsia="宋体" w:cs="Times New Roman"/>
                <w:sz w:val="21"/>
                <w:szCs w:val="21"/>
                <w:lang w:val="en-US" w:eastAsia="zh-CN"/>
              </w:rPr>
            </w:pPr>
            <w:r>
              <w:rPr>
                <w:rFonts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2</w:t>
            </w:r>
            <w:r>
              <w:rPr>
                <w:rFonts w:ascii="Times New Roman" w:hAnsi="Times New Roman" w:eastAsia="宋体" w:cs="Times New Roman"/>
                <w:color w:val="auto"/>
                <w:kern w:val="0"/>
                <w:szCs w:val="21"/>
              </w:rPr>
              <w:t>)</w:t>
            </w:r>
            <w:r>
              <w:rPr>
                <w:rFonts w:hint="default" w:ascii="Times New Roman" w:hAnsi="Times New Roman" w:eastAsia="宋体" w:cs="Times New Roman"/>
                <w:sz w:val="21"/>
                <w:szCs w:val="21"/>
                <w:lang w:val="en-US" w:eastAsia="zh-CN"/>
              </w:rPr>
              <w:t>《关于对</w:t>
            </w:r>
            <w:r>
              <w:rPr>
                <w:rFonts w:hint="eastAsia" w:cs="Times New Roman"/>
                <w:lang w:val="en-US" w:eastAsia="zh-CN"/>
              </w:rPr>
              <w:t>吴江吴月齿轮制造有限责任公司</w:t>
            </w:r>
            <w:r>
              <w:rPr>
                <w:rFonts w:hint="eastAsia" w:cs="Times New Roman" w:eastAsiaTheme="minorEastAsia"/>
                <w:lang w:val="en-US" w:eastAsia="zh-CN"/>
              </w:rPr>
              <w:t>建设项目</w:t>
            </w:r>
            <w:r>
              <w:rPr>
                <w:rFonts w:hint="default" w:ascii="Times New Roman" w:hAnsi="Times New Roman" w:eastAsia="宋体" w:cs="Times New Roman"/>
                <w:sz w:val="21"/>
                <w:szCs w:val="21"/>
                <w:lang w:val="en-US" w:eastAsia="zh-CN"/>
              </w:rPr>
              <w:t>环境影响报告表的审批意见》（</w:t>
            </w:r>
            <w:r>
              <w:rPr>
                <w:rFonts w:hint="eastAsia" w:ascii="Times New Roman" w:hAnsi="Times New Roman" w:eastAsia="宋体" w:cs="Times New Roman"/>
                <w:sz w:val="21"/>
                <w:szCs w:val="21"/>
                <w:lang w:val="en-US" w:eastAsia="zh-CN"/>
              </w:rPr>
              <w:t>吴江区</w:t>
            </w:r>
            <w:r>
              <w:rPr>
                <w:rFonts w:hint="default" w:ascii="Times New Roman" w:hAnsi="Times New Roman" w:eastAsia="宋体" w:cs="Times New Roman"/>
                <w:sz w:val="21"/>
                <w:szCs w:val="21"/>
                <w:lang w:val="en-US" w:eastAsia="zh-CN"/>
              </w:rPr>
              <w:t>环境保护局，</w:t>
            </w:r>
            <w:r>
              <w:rPr>
                <w:rFonts w:hint="eastAsia" w:cs="Times New Roman"/>
                <w:sz w:val="21"/>
                <w:szCs w:val="21"/>
                <w:lang w:val="en-US" w:eastAsia="zh-CN"/>
              </w:rPr>
              <w:t>吴环建[2013]第14号，</w:t>
            </w:r>
            <w:r>
              <w:rPr>
                <w:rFonts w:hint="default" w:ascii="Times New Roman" w:hAnsi="Times New Roman" w:eastAsia="宋体" w:cs="Times New Roman"/>
                <w:sz w:val="21"/>
                <w:szCs w:val="21"/>
                <w:lang w:val="en-US" w:eastAsia="zh-CN"/>
              </w:rPr>
              <w:t>201</w:t>
            </w:r>
            <w:r>
              <w:rPr>
                <w:rFonts w:hint="eastAsia" w:cs="Times New Roman"/>
                <w:sz w:val="21"/>
                <w:szCs w:val="21"/>
                <w:lang w:val="en-US" w:eastAsia="zh-CN"/>
              </w:rPr>
              <w:t>7</w:t>
            </w:r>
            <w:r>
              <w:rPr>
                <w:rFonts w:hint="default" w:ascii="Times New Roman" w:hAnsi="Times New Roman" w:eastAsia="宋体" w:cs="Times New Roman"/>
                <w:sz w:val="21"/>
                <w:szCs w:val="21"/>
                <w:lang w:val="en-US" w:eastAsia="zh-CN"/>
              </w:rPr>
              <w:t>年</w:t>
            </w:r>
            <w:r>
              <w:rPr>
                <w:rFonts w:hint="eastAsia" w:cs="Times New Roman"/>
                <w:sz w:val="21"/>
                <w:szCs w:val="21"/>
                <w:lang w:val="en-US" w:eastAsia="zh-CN"/>
              </w:rPr>
              <w:t>9</w:t>
            </w:r>
            <w:r>
              <w:rPr>
                <w:rFonts w:hint="default" w:ascii="Times New Roman" w:hAnsi="Times New Roman" w:eastAsia="宋体" w:cs="Times New Roman"/>
                <w:sz w:val="21"/>
                <w:szCs w:val="21"/>
                <w:lang w:val="en-US" w:eastAsia="zh-CN"/>
              </w:rPr>
              <w:t>月</w:t>
            </w:r>
            <w:r>
              <w:rPr>
                <w:rFonts w:hint="eastAsia" w:cs="Times New Roman"/>
                <w:sz w:val="21"/>
                <w:szCs w:val="21"/>
                <w:lang w:val="en-US" w:eastAsia="zh-CN"/>
              </w:rPr>
              <w:t>26</w:t>
            </w:r>
            <w:r>
              <w:rPr>
                <w:rFonts w:hint="default" w:ascii="Times New Roman" w:hAnsi="Times New Roman" w:eastAsia="宋体" w:cs="Times New Roman"/>
                <w:sz w:val="21"/>
                <w:szCs w:val="21"/>
                <w:lang w:val="en-US" w:eastAsia="zh-CN"/>
              </w:rPr>
              <w:t>日</w:t>
            </w:r>
            <w:r>
              <w:rPr>
                <w:rFonts w:hint="eastAsia" w:cs="Times New Roman"/>
                <w:sz w:val="21"/>
                <w:szCs w:val="21"/>
                <w:lang w:val="en-US" w:eastAsia="zh-CN"/>
              </w:rPr>
              <w:t>）</w:t>
            </w:r>
          </w:p>
          <w:p>
            <w:pPr>
              <w:widowControl/>
              <w:adjustRightInd w:val="0"/>
              <w:snapToGrid w:val="0"/>
              <w:spacing w:line="240" w:lineRule="auto"/>
              <w:ind w:firstLine="420" w:firstLineChars="200"/>
              <w:jc w:val="left"/>
              <w:rPr>
                <w:rFonts w:ascii="新宋体" w:hAnsi="新宋体" w:eastAsia="新宋体" w:cs="新宋体"/>
                <w:color w:val="000000"/>
                <w:kern w:val="0"/>
                <w:szCs w:val="21"/>
              </w:rPr>
            </w:pPr>
            <w:r>
              <w:rPr>
                <w:rFonts w:ascii="Times New Roman" w:hAnsi="Times New Roman" w:eastAsia="宋体" w:cs="Times New Roman"/>
                <w:color w:val="auto"/>
                <w:kern w:val="0"/>
                <w:szCs w:val="21"/>
              </w:rPr>
              <w:t>(1</w:t>
            </w:r>
            <w:r>
              <w:rPr>
                <w:rFonts w:hint="eastAsia" w:cs="Times New Roman"/>
                <w:color w:val="auto"/>
                <w:kern w:val="0"/>
                <w:szCs w:val="21"/>
                <w:lang w:val="en-US" w:eastAsia="zh-CN"/>
              </w:rPr>
              <w:t>3</w:t>
            </w:r>
            <w:r>
              <w:rPr>
                <w:rFonts w:ascii="Times New Roman" w:hAnsi="Times New Roman" w:eastAsia="宋体" w:cs="Times New Roman"/>
                <w:color w:val="auto"/>
                <w:kern w:val="0"/>
                <w:szCs w:val="21"/>
              </w:rPr>
              <w:t>)</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吴江吴月齿轮制造有限责任公司年产汽车发动机齿轮10万台（套）项目、新建年产6DL/M 机齿轮8万台套及年产K/F机齿轮6万台套补办项目</w:t>
            </w:r>
            <w:r>
              <w:rPr>
                <w:rFonts w:hint="default" w:ascii="Times New Roman" w:hAnsi="Times New Roman" w:eastAsia="宋体" w:cs="Times New Roman"/>
                <w:sz w:val="21"/>
                <w:szCs w:val="21"/>
                <w:lang w:val="en-US" w:eastAsia="zh-CN"/>
              </w:rPr>
              <w:t>竣工环境保护验收意见》（20</w:t>
            </w:r>
            <w:r>
              <w:rPr>
                <w:rFonts w:hint="eastAsia" w:cs="Times New Roman"/>
                <w:sz w:val="21"/>
                <w:szCs w:val="21"/>
                <w:lang w:val="en-US" w:eastAsia="zh-CN"/>
              </w:rPr>
              <w:t>18</w:t>
            </w:r>
            <w:r>
              <w:rPr>
                <w:rFonts w:hint="default" w:ascii="Times New Roman" w:hAnsi="Times New Roman" w:eastAsia="宋体" w:cs="Times New Roman"/>
                <w:sz w:val="21"/>
                <w:szCs w:val="21"/>
                <w:lang w:val="en-US" w:eastAsia="zh-CN"/>
              </w:rPr>
              <w:t>年</w:t>
            </w:r>
            <w:r>
              <w:rPr>
                <w:rFonts w:hint="eastAsia" w:cs="Times New Roman"/>
                <w:sz w:val="21"/>
                <w:szCs w:val="21"/>
                <w:lang w:val="en-US" w:eastAsia="zh-CN"/>
              </w:rPr>
              <w:t>02</w:t>
            </w:r>
            <w:r>
              <w:rPr>
                <w:rFonts w:hint="default" w:ascii="Times New Roman" w:hAnsi="Times New Roman" w:eastAsia="宋体" w:cs="Times New Roman"/>
                <w:sz w:val="21"/>
                <w:szCs w:val="21"/>
                <w:lang w:val="en-US" w:eastAsia="zh-CN"/>
              </w:rPr>
              <w:t>月</w:t>
            </w: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日</w:t>
            </w:r>
            <w:r>
              <w:rPr>
                <w:rFonts w:hint="eastAsia" w:cs="Times New Roman"/>
                <w:sz w:val="21"/>
                <w:szCs w:val="21"/>
                <w:lang w:val="en-US" w:eastAsia="zh-CN"/>
              </w:rPr>
              <w:t>）</w:t>
            </w:r>
          </w:p>
        </w:tc>
      </w:tr>
    </w:tbl>
    <w:p>
      <w:pPr>
        <w:rPr>
          <w:rFonts w:hint="eastAsia" w:ascii="Times New Roman" w:hAnsi="Times New Roman" w:eastAsia="仿宋_GB2312"/>
          <w:sz w:val="28"/>
          <w:szCs w:val="28"/>
        </w:rPr>
      </w:pPr>
    </w:p>
    <w:tbl>
      <w:tblPr>
        <w:tblStyle w:val="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70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262" w:hRule="atLeast"/>
          <w:jc w:val="center"/>
        </w:trPr>
        <w:tc>
          <w:tcPr>
            <w:tcW w:w="1507" w:type="dxa"/>
            <w:tcBorders>
              <w:top w:val="single" w:color="auto" w:sz="4" w:space="0"/>
              <w:left w:val="single" w:color="auto" w:sz="8" w:space="0"/>
              <w:bottom w:val="single" w:color="auto" w:sz="8" w:space="0"/>
              <w:right w:val="single" w:color="auto" w:sz="4" w:space="0"/>
            </w:tcBorders>
            <w:noWrap w:val="0"/>
            <w:vAlign w:val="center"/>
          </w:tcPr>
          <w:p>
            <w:pPr>
              <w:widowControl/>
              <w:adjustRightInd w:val="0"/>
              <w:snapToGrid w:val="0"/>
              <w:jc w:val="left"/>
              <w:rPr>
                <w:rFonts w:hint="eastAsia" w:ascii="宋体" w:hAnsi="宋体" w:eastAsia="宋体" w:cs="Times New Roman"/>
                <w:color w:val="000000"/>
                <w:kern w:val="0"/>
                <w:sz w:val="21"/>
                <w:szCs w:val="21"/>
                <w:lang w:val="en-US" w:eastAsia="zh-CN" w:bidi="ar-SA"/>
              </w:rPr>
            </w:pPr>
            <w:r>
              <w:rPr>
                <w:rFonts w:hint="eastAsia" w:ascii="宋体" w:hAnsi="宋体" w:eastAsia="宋体" w:cs="Times New Roman"/>
                <w:color w:val="000000"/>
                <w:kern w:val="0"/>
                <w:szCs w:val="21"/>
              </w:rPr>
              <w:t>验收监测评价标准、标号、级别、限值</w:t>
            </w:r>
          </w:p>
        </w:tc>
        <w:tc>
          <w:tcPr>
            <w:tcW w:w="7015" w:type="dxa"/>
            <w:tcBorders>
              <w:top w:val="single" w:color="auto" w:sz="4" w:space="0"/>
              <w:left w:val="single" w:color="auto" w:sz="4" w:space="0"/>
              <w:bottom w:val="single" w:color="auto" w:sz="8" w:space="0"/>
              <w:right w:val="single" w:color="auto" w:sz="8" w:space="0"/>
            </w:tcBorders>
            <w:noWrap w:val="0"/>
            <w:vAlign w:val="top"/>
          </w:tcPr>
          <w:p>
            <w:pPr>
              <w:widowControl/>
              <w:adjustRightInd w:val="0"/>
              <w:snapToGrid w:val="0"/>
              <w:spacing w:line="360" w:lineRule="auto"/>
              <w:jc w:val="left"/>
              <w:rPr>
                <w:rFonts w:hint="eastAsia" w:ascii="宋体" w:hAnsi="宋体" w:eastAsia="宋体" w:cs="Times New Roman"/>
                <w:b/>
                <w:bCs/>
                <w:color w:val="000000"/>
                <w:kern w:val="0"/>
                <w:sz w:val="24"/>
                <w:szCs w:val="24"/>
                <w:lang w:val="en-US" w:eastAsia="zh-CN"/>
              </w:rPr>
            </w:pPr>
            <w:r>
              <w:rPr>
                <w:rFonts w:hint="eastAsia" w:ascii="宋体" w:hAnsi="宋体" w:cs="Times New Roman"/>
                <w:b/>
                <w:bCs/>
                <w:color w:val="000000"/>
                <w:kern w:val="0"/>
                <w:sz w:val="24"/>
                <w:szCs w:val="24"/>
                <w:lang w:val="en-US" w:eastAsia="zh-CN"/>
              </w:rPr>
              <w:t>1</w:t>
            </w:r>
            <w:r>
              <w:rPr>
                <w:rFonts w:hint="eastAsia" w:ascii="宋体" w:hAnsi="宋体" w:eastAsia="宋体" w:cs="Times New Roman"/>
                <w:b/>
                <w:bCs/>
                <w:color w:val="000000"/>
                <w:kern w:val="0"/>
                <w:sz w:val="24"/>
                <w:szCs w:val="24"/>
              </w:rPr>
              <w:t>、</w:t>
            </w:r>
            <w:r>
              <w:rPr>
                <w:rFonts w:hint="eastAsia" w:ascii="宋体" w:hAnsi="宋体" w:eastAsia="宋体" w:cs="Times New Roman"/>
                <w:b/>
                <w:bCs/>
                <w:color w:val="000000"/>
                <w:kern w:val="0"/>
                <w:sz w:val="24"/>
                <w:szCs w:val="24"/>
                <w:lang w:val="en-US" w:eastAsia="zh-CN"/>
              </w:rPr>
              <w:t>固废：</w:t>
            </w:r>
          </w:p>
          <w:p>
            <w:pPr>
              <w:widowControl/>
              <w:adjustRightInd w:val="0"/>
              <w:snapToGrid w:val="0"/>
              <w:spacing w:line="360" w:lineRule="auto"/>
              <w:ind w:firstLine="480" w:firstLineChars="200"/>
              <w:jc w:val="left"/>
              <w:rPr>
                <w:rFonts w:hint="eastAsia" w:ascii="宋体" w:hAnsi="宋体" w:eastAsia="宋体" w:cs="Times New Roman"/>
                <w:b/>
                <w:bCs/>
                <w:color w:val="000000"/>
                <w:kern w:val="0"/>
                <w:sz w:val="21"/>
                <w:szCs w:val="21"/>
                <w:lang w:val="en-US" w:eastAsia="zh-CN" w:bidi="ar-SA"/>
              </w:rPr>
            </w:pPr>
            <w:r>
              <w:rPr>
                <w:rFonts w:hint="default" w:ascii="Times New Roman" w:hAnsi="Times New Roman" w:eastAsia="宋体" w:cs="Times New Roman"/>
                <w:b w:val="0"/>
                <w:bCs w:val="0"/>
                <w:color w:val="000000"/>
                <w:kern w:val="0"/>
                <w:sz w:val="24"/>
                <w:szCs w:val="24"/>
                <w:lang w:val="en-US" w:eastAsia="zh-CN"/>
              </w:rPr>
              <w:t>项目固体废物处理和处置执行《一般工业固体废物贮存</w:t>
            </w:r>
            <w:r>
              <w:rPr>
                <w:rFonts w:hint="eastAsia" w:ascii="Times New Roman" w:hAnsi="Times New Roman" w:eastAsia="宋体" w:cs="Times New Roman"/>
                <w:b w:val="0"/>
                <w:bCs w:val="0"/>
                <w:color w:val="000000"/>
                <w:kern w:val="0"/>
                <w:sz w:val="24"/>
                <w:szCs w:val="24"/>
                <w:lang w:val="en-US" w:eastAsia="zh-CN"/>
              </w:rPr>
              <w:t>和填埋污染控制</w:t>
            </w:r>
            <w:r>
              <w:rPr>
                <w:rFonts w:hint="default" w:ascii="Times New Roman" w:hAnsi="Times New Roman" w:eastAsia="宋体" w:cs="Times New Roman"/>
                <w:b w:val="0"/>
                <w:bCs w:val="0"/>
                <w:color w:val="000000"/>
                <w:kern w:val="0"/>
                <w:sz w:val="24"/>
                <w:szCs w:val="24"/>
                <w:lang w:val="en-US" w:eastAsia="zh-CN"/>
              </w:rPr>
              <w:t>标准》（GB18599-2</w:t>
            </w:r>
            <w:r>
              <w:rPr>
                <w:rFonts w:hint="eastAsia" w:ascii="Times New Roman" w:hAnsi="Times New Roman" w:eastAsia="宋体" w:cs="Times New Roman"/>
                <w:b w:val="0"/>
                <w:bCs w:val="0"/>
                <w:color w:val="000000"/>
                <w:kern w:val="0"/>
                <w:sz w:val="24"/>
                <w:szCs w:val="24"/>
                <w:lang w:val="en-US" w:eastAsia="zh-CN"/>
              </w:rPr>
              <w:t>020</w:t>
            </w:r>
            <w:r>
              <w:rPr>
                <w:rFonts w:hint="default" w:ascii="Times New Roman" w:hAnsi="Times New Roman" w:eastAsia="宋体" w:cs="Times New Roman"/>
                <w:b w:val="0"/>
                <w:bCs w:val="0"/>
                <w:color w:val="000000"/>
                <w:kern w:val="0"/>
                <w:sz w:val="24"/>
                <w:szCs w:val="24"/>
                <w:lang w:val="en-US" w:eastAsia="zh-CN"/>
              </w:rPr>
              <w:t>）、《危险废物贮存污染控制标准》（GB18597-2001）（2013修正）和《中华人民共和国固体废弃物污染环境防治法》中的有关规定。</w:t>
            </w:r>
          </w:p>
        </w:tc>
      </w:tr>
    </w:tbl>
    <w:p>
      <w:pPr>
        <w:keepNext/>
        <w:keepLines/>
        <w:widowControl/>
        <w:adjustRightInd w:val="0"/>
        <w:snapToGrid w:val="0"/>
        <w:spacing w:line="360" w:lineRule="auto"/>
        <w:jc w:val="left"/>
        <w:outlineLvl w:val="0"/>
        <w:rPr>
          <w:rFonts w:hint="eastAsia" w:ascii="宋体" w:hAnsi="宋体" w:eastAsia="宋体" w:cs="宋体"/>
          <w:b/>
          <w:kern w:val="44"/>
        </w:rPr>
      </w:pPr>
      <w:r>
        <w:rPr>
          <w:rFonts w:ascii="Times New Roman" w:hAnsi="Times New Roman" w:eastAsia="仿宋_GB2312"/>
          <w:sz w:val="28"/>
          <w:szCs w:val="28"/>
        </w:rPr>
        <w:br w:type="page"/>
      </w:r>
      <w:bookmarkStart w:id="5" w:name="_Toc30174"/>
      <w:r>
        <w:rPr>
          <w:rFonts w:hint="eastAsia" w:ascii="宋体" w:hAnsi="宋体" w:eastAsia="宋体" w:cs="宋体"/>
          <w:b/>
          <w:color w:val="000000"/>
          <w:kern w:val="44"/>
          <w:szCs w:val="21"/>
        </w:rPr>
        <w:t>表二、工程建设内容、原辅料消耗及水平衡、生产工艺及产污环节</w:t>
      </w:r>
      <w:bookmarkEnd w:id="5"/>
    </w:p>
    <w:tbl>
      <w:tblPr>
        <w:tblStyle w:val="8"/>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45" w:hRule="atLeast"/>
          <w:jc w:val="center"/>
        </w:trPr>
        <w:tc>
          <w:tcPr>
            <w:tcW w:w="9074" w:type="dxa"/>
            <w:tcBorders>
              <w:top w:val="single" w:color="auto" w:sz="8" w:space="0"/>
              <w:left w:val="single" w:color="auto" w:sz="8" w:space="0"/>
              <w:bottom w:val="single" w:color="auto" w:sz="4" w:space="0"/>
              <w:right w:val="single" w:color="auto" w:sz="8" w:space="0"/>
            </w:tcBorders>
            <w:noWrap w:val="0"/>
            <w:vAlign w:val="top"/>
          </w:tcPr>
          <w:p>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工程建设内容：</w:t>
            </w:r>
          </w:p>
          <w:p>
            <w:pPr>
              <w:widowControl/>
              <w:adjustRightInd w:val="0"/>
              <w:snapToGrid w:val="0"/>
              <w:spacing w:line="360" w:lineRule="auto"/>
              <w:ind w:firstLine="480" w:firstLineChars="200"/>
              <w:jc w:val="left"/>
              <w:rPr>
                <w:rFonts w:hint="eastAsia" w:cs="Times New Roman"/>
                <w:b w:val="0"/>
                <w:bCs/>
                <w:color w:val="000000"/>
                <w:kern w:val="0"/>
                <w:sz w:val="24"/>
                <w:szCs w:val="24"/>
                <w:lang w:val="en-US" w:eastAsia="zh-CN" w:bidi="ar-SA"/>
              </w:rPr>
            </w:pPr>
            <w:r>
              <w:rPr>
                <w:rFonts w:hint="eastAsia" w:cs="Times New Roman"/>
                <w:b w:val="0"/>
                <w:bCs/>
                <w:color w:val="000000"/>
                <w:kern w:val="0"/>
                <w:sz w:val="24"/>
                <w:szCs w:val="24"/>
                <w:lang w:val="en-US" w:eastAsia="zh-CN" w:bidi="ar-SA"/>
              </w:rPr>
              <w:t>吴江吴月齿轮制造有限责任公司于盛泽镇双熟村分别建设年产 6DL/M 机齿轮 8 万台套及年产 K/F 机齿轮 6 万台套补办项目和年产汽车发动机齿轮 10 万台（套）项目。</w:t>
            </w:r>
          </w:p>
          <w:p>
            <w:pPr>
              <w:widowControl/>
              <w:adjustRightInd w:val="0"/>
              <w:snapToGrid w:val="0"/>
              <w:spacing w:line="360" w:lineRule="auto"/>
              <w:ind w:firstLine="480" w:firstLineChars="200"/>
              <w:jc w:val="left"/>
              <w:rPr>
                <w:rFonts w:hint="default" w:cs="Times New Roman"/>
                <w:b w:val="0"/>
                <w:bCs/>
                <w:color w:val="000000"/>
                <w:kern w:val="0"/>
                <w:sz w:val="24"/>
                <w:szCs w:val="24"/>
                <w:lang w:val="en-US" w:eastAsia="zh-CN" w:bidi="ar-SA"/>
              </w:rPr>
            </w:pPr>
            <w:r>
              <w:rPr>
                <w:rFonts w:hint="eastAsia" w:cs="Times New Roman"/>
                <w:b w:val="0"/>
                <w:bCs/>
                <w:color w:val="000000"/>
                <w:kern w:val="0"/>
                <w:sz w:val="24"/>
                <w:szCs w:val="24"/>
                <w:lang w:val="en-US" w:eastAsia="zh-CN" w:bidi="ar-SA"/>
              </w:rPr>
              <w:t>“吴江吴月齿轮制造有限责任公司年产6DL/M机齿轮8万台(套) 新建项目及年产K/F机齿轮6台(套)补办项目”于2013年3月由天津市气象科学研究所编制完成，于2013年3月19日取得吴江区盛泽镇人民政府审批意见(盛政环建发[2013]49号)，项目未批先建项目， 并于2014年3月建成投入试生产；“吴江吴月齿轮制造有限责任公 司年产汽车发动机齿轮10万台(套)项目”于2014年6月由北京中科尚环境科技有限公司编制完成，于2014年7月15日取得苏州市吴江 区环境保护局审批意见(吴环建[2014]564号)，项目未批先建，并于2016年12月投入试生产。废水、废气、噪声部分于2019年06月09日完成自主验收工作，验收意见见（附件5）。</w:t>
            </w:r>
          </w:p>
          <w:p>
            <w:pPr>
              <w:widowControl/>
              <w:adjustRightInd w:val="0"/>
              <w:snapToGrid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试运行期间</w:t>
            </w:r>
            <w:r>
              <w:rPr>
                <w:rFonts w:hint="eastAsia" w:cs="Times New Roman"/>
                <w:b w:val="0"/>
                <w:bCs/>
                <w:color w:val="000000"/>
                <w:kern w:val="0"/>
                <w:sz w:val="24"/>
                <w:szCs w:val="24"/>
                <w:lang w:val="en-US" w:eastAsia="zh-CN" w:bidi="ar-SA"/>
              </w:rPr>
              <w:t>吴江吴月齿轮制造有限责任公司</w:t>
            </w:r>
            <w:r>
              <w:rPr>
                <w:rFonts w:hint="eastAsia" w:ascii="Times New Roman" w:hAnsi="Times New Roman" w:eastAsia="宋体" w:cs="Times New Roman"/>
                <w:color w:val="000000"/>
                <w:kern w:val="0"/>
                <w:sz w:val="24"/>
                <w:szCs w:val="24"/>
                <w:lang w:val="en-US" w:eastAsia="zh-CN"/>
              </w:rPr>
              <w:t>进行验收调查并自行编写竣工环境保护验收调查报告。根据国务院令第 682 号《建设项目环境保护管理条例》、国家环保部《建设项目竣工环境保护验收暂行办法》等法律法规的要求和规定，建设单位应对配套的环境保护设施进行验收。</w:t>
            </w:r>
          </w:p>
          <w:p>
            <w:pPr>
              <w:widowControl/>
              <w:adjustRightInd w:val="0"/>
              <w:snapToGrid w:val="0"/>
              <w:spacing w:line="360" w:lineRule="auto"/>
              <w:ind w:firstLine="480" w:firstLineChars="200"/>
              <w:jc w:val="both"/>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本次验收对“</w:t>
            </w:r>
            <w:r>
              <w:rPr>
                <w:rFonts w:hint="eastAsia" w:cs="Times New Roman"/>
                <w:b w:val="0"/>
                <w:bCs/>
                <w:color w:val="000000"/>
                <w:kern w:val="0"/>
                <w:sz w:val="24"/>
                <w:szCs w:val="24"/>
                <w:lang w:val="en-US" w:eastAsia="zh-CN" w:bidi="ar-SA"/>
              </w:rPr>
              <w:t>年产汽车发动机齿轮10万台（套）项目、新建年产6DL/M 机齿轮8万台套及年产K/F机齿轮6万台套补办项目</w:t>
            </w:r>
            <w:r>
              <w:rPr>
                <w:rFonts w:hint="eastAsia" w:ascii="Times New Roman" w:hAnsi="Times New Roman" w:eastAsia="宋体" w:cs="Times New Roman"/>
                <w:color w:val="000000"/>
                <w:kern w:val="0"/>
                <w:sz w:val="24"/>
                <w:szCs w:val="24"/>
                <w:lang w:val="en-US" w:eastAsia="zh-CN"/>
              </w:rPr>
              <w:t>”</w:t>
            </w:r>
            <w:r>
              <w:rPr>
                <w:rFonts w:hint="eastAsia" w:cs="Times New Roman"/>
                <w:color w:val="000000"/>
                <w:kern w:val="0"/>
                <w:sz w:val="24"/>
                <w:szCs w:val="24"/>
                <w:lang w:val="en-US" w:eastAsia="zh-CN"/>
              </w:rPr>
              <w:t>固废</w:t>
            </w:r>
            <w:r>
              <w:rPr>
                <w:rFonts w:hint="eastAsia" w:ascii="Times New Roman" w:hAnsi="Times New Roman" w:eastAsia="宋体" w:cs="Times New Roman"/>
                <w:color w:val="000000"/>
                <w:kern w:val="0"/>
                <w:sz w:val="24"/>
                <w:szCs w:val="24"/>
                <w:lang w:val="en-US" w:eastAsia="zh-CN"/>
              </w:rPr>
              <w:t>有关的各项环境保护设施建设情况，环境保护措施落实情况进行现场检查，对污染物排放情况进行现场调查。通过对排污情况现场监测和环保设施建设情况及环保措施落实情况检查，考核建设项目是否达到环境保护要求，为最终验收及环境管理提供技术依据。</w:t>
            </w:r>
          </w:p>
          <w:p>
            <w:pPr>
              <w:widowControl/>
              <w:adjustRightInd w:val="0"/>
              <w:snapToGrid w:val="0"/>
              <w:spacing w:line="360" w:lineRule="auto"/>
              <w:ind w:firstLine="480" w:firstLineChars="200"/>
              <w:jc w:val="both"/>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kern w:val="0"/>
                <w:sz w:val="24"/>
                <w:szCs w:val="24"/>
                <w:lang w:val="en-US" w:eastAsia="zh-CN"/>
              </w:rPr>
              <w:t>本项目</w:t>
            </w:r>
            <w:r>
              <w:rPr>
                <w:rFonts w:hint="default" w:ascii="Times New Roman" w:hAnsi="Times New Roman" w:eastAsia="宋体" w:cs="Times New Roman"/>
                <w:color w:val="000000"/>
                <w:kern w:val="0"/>
                <w:sz w:val="24"/>
                <w:szCs w:val="24"/>
              </w:rPr>
              <w:t>主体工程及产品方案见表2-1，主要生产设备见表2-</w:t>
            </w:r>
            <w:r>
              <w:rPr>
                <w:rFonts w:hint="eastAsia" w:ascii="Times New Roman" w:hAnsi="Times New Roman" w:eastAsia="宋体" w:cs="Times New Roman"/>
                <w:color w:val="000000"/>
                <w:kern w:val="0"/>
                <w:sz w:val="24"/>
                <w:szCs w:val="24"/>
                <w:lang w:val="en-US" w:eastAsia="zh-CN"/>
              </w:rPr>
              <w:t>2</w:t>
            </w:r>
            <w:r>
              <w:rPr>
                <w:rFonts w:hint="default" w:ascii="Times New Roman" w:hAnsi="Times New Roman" w:eastAsia="宋体" w:cs="Times New Roman"/>
                <w:color w:val="000000"/>
                <w:kern w:val="0"/>
                <w:sz w:val="24"/>
                <w:szCs w:val="24"/>
              </w:rPr>
              <w:t>。</w:t>
            </w:r>
          </w:p>
          <w:p>
            <w:pPr>
              <w:widowControl/>
              <w:adjustRightInd w:val="0"/>
              <w:snapToGrid w:val="0"/>
              <w:spacing w:line="240" w:lineRule="auto"/>
              <w:ind w:firstLine="420" w:firstLineChars="20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表</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zh-CN"/>
              </w:rPr>
              <w:t>-1主体工程及产品方案一览表</w:t>
            </w:r>
          </w:p>
          <w:tbl>
            <w:tblPr>
              <w:tblStyle w:val="8"/>
              <w:tblW w:w="88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750"/>
              <w:gridCol w:w="1483"/>
              <w:gridCol w:w="1875"/>
              <w:gridCol w:w="869"/>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831"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zh-CN" w:eastAsia="zh-CN"/>
                    </w:rPr>
                  </w:pPr>
                  <w:r>
                    <w:rPr>
                      <w:rFonts w:hint="default" w:cs="Times New Roman"/>
                      <w:color w:val="000000"/>
                      <w:kern w:val="0"/>
                      <w:sz w:val="21"/>
                      <w:szCs w:val="21"/>
                      <w:lang w:val="zh-CN" w:eastAsia="zh-CN"/>
                    </w:rPr>
                    <w:t>工程名称</w:t>
                  </w:r>
                </w:p>
                <w:p>
                  <w:pPr>
                    <w:widowControl/>
                    <w:adjustRightInd w:val="0"/>
                    <w:snapToGrid w:val="0"/>
                    <w:spacing w:line="240" w:lineRule="auto"/>
                    <w:jc w:val="center"/>
                    <w:rPr>
                      <w:rFonts w:hint="default" w:cs="Times New Roman"/>
                      <w:color w:val="000000"/>
                      <w:kern w:val="0"/>
                      <w:sz w:val="21"/>
                      <w:szCs w:val="21"/>
                      <w:lang w:val="zh-CN" w:eastAsia="zh-CN"/>
                    </w:rPr>
                  </w:pPr>
                  <w:r>
                    <w:rPr>
                      <w:rFonts w:hint="default" w:cs="Times New Roman"/>
                      <w:color w:val="000000"/>
                      <w:kern w:val="0"/>
                      <w:sz w:val="21"/>
                      <w:szCs w:val="21"/>
                      <w:lang w:val="zh-CN" w:eastAsia="zh-CN"/>
                    </w:rPr>
                    <w:t>（车间或生产线）</w:t>
                  </w:r>
                </w:p>
              </w:tc>
              <w:tc>
                <w:tcPr>
                  <w:tcW w:w="1750"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zh-CN" w:eastAsia="zh-CN"/>
                    </w:rPr>
                  </w:pPr>
                  <w:r>
                    <w:rPr>
                      <w:rFonts w:hint="default" w:cs="Times New Roman"/>
                      <w:color w:val="000000"/>
                      <w:kern w:val="0"/>
                      <w:sz w:val="21"/>
                      <w:szCs w:val="21"/>
                      <w:lang w:val="zh-CN" w:eastAsia="zh-CN"/>
                    </w:rPr>
                    <w:t>产品名称</w:t>
                  </w:r>
                </w:p>
              </w:tc>
              <w:tc>
                <w:tcPr>
                  <w:tcW w:w="1483"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default" w:cs="Times New Roman"/>
                      <w:color w:val="000000"/>
                      <w:kern w:val="0"/>
                      <w:sz w:val="21"/>
                      <w:szCs w:val="21"/>
                      <w:lang w:val="en-US" w:eastAsia="zh-CN"/>
                    </w:rPr>
                    <w:t>环评设计产能</w:t>
                  </w:r>
                </w:p>
              </w:tc>
              <w:tc>
                <w:tcPr>
                  <w:tcW w:w="1875"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default" w:cs="Times New Roman"/>
                      <w:color w:val="000000"/>
                      <w:kern w:val="0"/>
                      <w:sz w:val="21"/>
                      <w:szCs w:val="21"/>
                      <w:lang w:val="en-US" w:eastAsia="zh-CN"/>
                    </w:rPr>
                    <w:t>实际产能</w:t>
                  </w:r>
                </w:p>
              </w:tc>
              <w:tc>
                <w:tcPr>
                  <w:tcW w:w="869"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default" w:cs="Times New Roman"/>
                      <w:color w:val="000000"/>
                      <w:kern w:val="0"/>
                      <w:sz w:val="21"/>
                      <w:szCs w:val="21"/>
                      <w:lang w:val="en-US" w:eastAsia="zh-CN"/>
                    </w:rPr>
                    <w:t>备注</w:t>
                  </w:r>
                </w:p>
              </w:tc>
              <w:tc>
                <w:tcPr>
                  <w:tcW w:w="1004"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zh-CN" w:eastAsia="zh-CN"/>
                    </w:rPr>
                  </w:pPr>
                  <w:r>
                    <w:rPr>
                      <w:rFonts w:hint="default" w:cs="Times New Roman"/>
                      <w:color w:val="000000"/>
                      <w:kern w:val="0"/>
                      <w:sz w:val="21"/>
                      <w:szCs w:val="21"/>
                      <w:lang w:val="zh-CN" w:eastAsia="zh-CN"/>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Merge w:val="restart"/>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default" w:cs="Times New Roman"/>
                      <w:color w:val="000000"/>
                      <w:kern w:val="0"/>
                      <w:sz w:val="21"/>
                      <w:szCs w:val="21"/>
                      <w:lang w:val="en-US" w:eastAsia="zh-CN"/>
                    </w:rPr>
                    <w:t>生产车间</w:t>
                  </w:r>
                </w:p>
              </w:tc>
              <w:tc>
                <w:tcPr>
                  <w:tcW w:w="1750"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K/F 机齿轮</w:t>
                  </w:r>
                </w:p>
              </w:tc>
              <w:tc>
                <w:tcPr>
                  <w:tcW w:w="1483"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6 万台套/年</w:t>
                  </w:r>
                </w:p>
              </w:tc>
              <w:tc>
                <w:tcPr>
                  <w:tcW w:w="1875"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6 万台套/年</w:t>
                  </w:r>
                </w:p>
              </w:tc>
              <w:tc>
                <w:tcPr>
                  <w:tcW w:w="869"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default" w:cs="Times New Roman"/>
                      <w:color w:val="000000"/>
                      <w:kern w:val="0"/>
                      <w:sz w:val="21"/>
                      <w:szCs w:val="21"/>
                      <w:lang w:val="en-US" w:eastAsia="zh-CN"/>
                    </w:rPr>
                    <w:t>/</w:t>
                  </w:r>
                </w:p>
              </w:tc>
              <w:tc>
                <w:tcPr>
                  <w:tcW w:w="1004" w:type="dxa"/>
                  <w:vMerge w:val="restart"/>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72</w:t>
                  </w:r>
                  <w:r>
                    <w:rPr>
                      <w:rFonts w:hint="default" w:cs="Times New Roman"/>
                      <w:color w:val="000000"/>
                      <w:kern w:val="0"/>
                      <w:sz w:val="21"/>
                      <w:szCs w:val="21"/>
                      <w:lang w:val="en-US" w:eastAsia="zh-CN"/>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Merge w:val="continue"/>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p>
              </w:tc>
              <w:tc>
                <w:tcPr>
                  <w:tcW w:w="1750"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6DL/M 机齿轮</w:t>
                  </w:r>
                </w:p>
              </w:tc>
              <w:tc>
                <w:tcPr>
                  <w:tcW w:w="1483"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8 万台套/年</w:t>
                  </w:r>
                </w:p>
              </w:tc>
              <w:tc>
                <w:tcPr>
                  <w:tcW w:w="1875"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8 万台套/年</w:t>
                  </w:r>
                </w:p>
              </w:tc>
              <w:tc>
                <w:tcPr>
                  <w:tcW w:w="869"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1004" w:type="dxa"/>
                  <w:vMerge w:val="continue"/>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vMerge w:val="continue"/>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p>
              </w:tc>
              <w:tc>
                <w:tcPr>
                  <w:tcW w:w="1750"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汽车发动机齿轮</w:t>
                  </w:r>
                </w:p>
              </w:tc>
              <w:tc>
                <w:tcPr>
                  <w:tcW w:w="1483"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10 万台套/年</w:t>
                  </w:r>
                </w:p>
              </w:tc>
              <w:tc>
                <w:tcPr>
                  <w:tcW w:w="1875" w:type="dxa"/>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10 万台套/年</w:t>
                  </w:r>
                </w:p>
              </w:tc>
              <w:tc>
                <w:tcPr>
                  <w:tcW w:w="869" w:type="dxa"/>
                  <w:tcBorders>
                    <w:tl2br w:val="nil"/>
                    <w:tr2bl w:val="nil"/>
                  </w:tcBorders>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1004" w:type="dxa"/>
                  <w:vMerge w:val="continue"/>
                  <w:tcBorders>
                    <w:tl2br w:val="nil"/>
                    <w:tr2bl w:val="nil"/>
                  </w:tcBorders>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p>
              </w:tc>
            </w:tr>
          </w:tbl>
          <w:p>
            <w:pPr>
              <w:widowControl/>
              <w:adjustRightInd w:val="0"/>
              <w:snapToGrid w:val="0"/>
              <w:spacing w:line="360" w:lineRule="auto"/>
              <w:ind w:firstLine="480" w:firstLineChars="200"/>
              <w:jc w:val="left"/>
              <w:rPr>
                <w:rFonts w:hint="default" w:ascii="宋体" w:hAnsi="宋体" w:eastAsia="宋体" w:cs="宋体"/>
                <w:color w:val="000000"/>
                <w:kern w:val="0"/>
                <w:sz w:val="24"/>
                <w:szCs w:val="24"/>
                <w:lang w:val="en-US" w:eastAsia="zh-CN"/>
              </w:rPr>
            </w:pPr>
          </w:p>
        </w:tc>
      </w:tr>
    </w:tbl>
    <w:p>
      <w:pPr>
        <w:widowControl/>
        <w:adjustRightInd w:val="0"/>
        <w:snapToGrid w:val="0"/>
        <w:spacing w:line="360" w:lineRule="auto"/>
        <w:jc w:val="left"/>
        <w:rPr>
          <w:rFonts w:hint="eastAsia" w:ascii="宋体" w:hAnsi="宋体" w:eastAsia="宋体" w:cs="Times New Roman"/>
          <w:color w:val="000000"/>
          <w:kern w:val="0"/>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sectPr>
      </w:pPr>
    </w:p>
    <w:tbl>
      <w:tblPr>
        <w:tblStyle w:val="8"/>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45" w:hRule="atLeast"/>
          <w:jc w:val="center"/>
        </w:trPr>
        <w:tc>
          <w:tcPr>
            <w:tcW w:w="9074" w:type="dxa"/>
            <w:tcBorders>
              <w:top w:val="single" w:color="auto" w:sz="8" w:space="0"/>
              <w:left w:val="single" w:color="auto" w:sz="8" w:space="0"/>
              <w:bottom w:val="single" w:color="auto" w:sz="4" w:space="0"/>
              <w:right w:val="single" w:color="auto" w:sz="8" w:space="0"/>
            </w:tcBorders>
            <w:noWrap w:val="0"/>
            <w:vAlign w:val="top"/>
          </w:tcPr>
          <w:p>
            <w:pPr>
              <w:widowControl/>
              <w:adjustRightInd w:val="0"/>
              <w:snapToGrid w:val="0"/>
              <w:spacing w:line="240" w:lineRule="auto"/>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表2-2 本项目主要设备及辅助设施一览表</w:t>
            </w:r>
          </w:p>
          <w:tbl>
            <w:tblPr>
              <w:tblStyle w:val="9"/>
              <w:tblpPr w:leftFromText="180" w:rightFromText="180" w:vertAnchor="text" w:horzAnchor="page" w:tblpX="126" w:tblpY="197"/>
              <w:tblOverlap w:val="never"/>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868"/>
              <w:gridCol w:w="1698"/>
              <w:gridCol w:w="1486"/>
              <w:gridCol w:w="1507"/>
              <w:gridCol w:w="927"/>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类别</w:t>
                  </w:r>
                </w:p>
              </w:tc>
              <w:tc>
                <w:tcPr>
                  <w:tcW w:w="1868"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设备名称</w:t>
                  </w:r>
                </w:p>
              </w:tc>
              <w:tc>
                <w:tcPr>
                  <w:tcW w:w="1698"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规格、型号、产能</w:t>
                  </w:r>
                </w:p>
              </w:tc>
              <w:tc>
                <w:tcPr>
                  <w:tcW w:w="1486"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环评设计数量</w:t>
                  </w:r>
                </w:p>
              </w:tc>
              <w:tc>
                <w:tcPr>
                  <w:tcW w:w="1507"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实际建设数量</w:t>
                  </w:r>
                </w:p>
              </w:tc>
              <w:tc>
                <w:tcPr>
                  <w:tcW w:w="927"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变化量</w:t>
                  </w:r>
                </w:p>
              </w:tc>
              <w:tc>
                <w:tcPr>
                  <w:tcW w:w="75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741" w:type="dxa"/>
                  <w:vMerge w:val="restar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生产设备</w:t>
                  </w:r>
                </w:p>
              </w:tc>
              <w:tc>
                <w:tcPr>
                  <w:tcW w:w="186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数控车床</w:t>
                  </w:r>
                </w:p>
              </w:tc>
              <w:tc>
                <w:tcPr>
                  <w:tcW w:w="169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1486"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30</w:t>
                  </w:r>
                </w:p>
              </w:tc>
              <w:tc>
                <w:tcPr>
                  <w:tcW w:w="1507"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27</w:t>
                  </w:r>
                </w:p>
              </w:tc>
              <w:tc>
                <w:tcPr>
                  <w:tcW w:w="927"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75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186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全自动数控滚齿机</w:t>
                  </w:r>
                </w:p>
              </w:tc>
              <w:tc>
                <w:tcPr>
                  <w:tcW w:w="169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1486"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34</w:t>
                  </w:r>
                </w:p>
              </w:tc>
              <w:tc>
                <w:tcPr>
                  <w:tcW w:w="1507"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18</w:t>
                  </w:r>
                </w:p>
              </w:tc>
              <w:tc>
                <w:tcPr>
                  <w:tcW w:w="927"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-16</w:t>
                  </w:r>
                </w:p>
              </w:tc>
              <w:tc>
                <w:tcPr>
                  <w:tcW w:w="75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default"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渗碳炉</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8</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加工中心</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9</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数控内圆磨床</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26</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17</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-9</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磨齿机</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18</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18</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0</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数控外圆磨床</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12</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-7</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静电式油气分离装置</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0</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kern w:val="0"/>
                      <w:sz w:val="21"/>
                      <w:szCs w:val="21"/>
                      <w:lang w:val="en-US" w:eastAsia="zh-CN"/>
                    </w:rPr>
                    <w:t>/</w:t>
                  </w:r>
                </w:p>
              </w:tc>
            </w:tr>
          </w:tbl>
          <w:p>
            <w:pPr>
              <w:widowControl/>
              <w:adjustRightInd w:val="0"/>
              <w:snapToGrid w:val="0"/>
              <w:spacing w:line="240" w:lineRule="auto"/>
              <w:ind w:firstLine="420" w:firstLineChars="200"/>
              <w:jc w:val="center"/>
              <w:rPr>
                <w:rFonts w:hint="default"/>
                <w:lang w:val="en-US" w:eastAsia="zh-CN"/>
              </w:rPr>
            </w:pPr>
          </w:p>
          <w:p>
            <w:pPr>
              <w:widowControl/>
              <w:adjustRightInd w:val="0"/>
              <w:snapToGrid w:val="0"/>
              <w:spacing w:line="240" w:lineRule="auto"/>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表2-</w:t>
            </w: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 xml:space="preserve"> 本项目主要设备及辅助设施一览表</w:t>
            </w:r>
          </w:p>
          <w:tbl>
            <w:tblPr>
              <w:tblStyle w:val="9"/>
              <w:tblpPr w:leftFromText="180" w:rightFromText="180" w:vertAnchor="text" w:horzAnchor="page" w:tblpX="126" w:tblpY="197"/>
              <w:tblOverlap w:val="never"/>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868"/>
              <w:gridCol w:w="1698"/>
              <w:gridCol w:w="2092"/>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Align w:val="top"/>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类别</w:t>
                  </w:r>
                </w:p>
              </w:tc>
              <w:tc>
                <w:tcPr>
                  <w:tcW w:w="1868" w:type="dxa"/>
                  <w:vAlign w:val="top"/>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建设名称</w:t>
                  </w:r>
                </w:p>
              </w:tc>
              <w:tc>
                <w:tcPr>
                  <w:tcW w:w="1698" w:type="dxa"/>
                  <w:vAlign w:val="top"/>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环评设计能力</w:t>
                  </w:r>
                </w:p>
              </w:tc>
              <w:tc>
                <w:tcPr>
                  <w:tcW w:w="2092" w:type="dxa"/>
                  <w:vAlign w:val="top"/>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实际建设情况</w:t>
                  </w:r>
                </w:p>
              </w:tc>
              <w:tc>
                <w:tcPr>
                  <w:tcW w:w="2383" w:type="dxa"/>
                  <w:vAlign w:val="top"/>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备</w:t>
                  </w:r>
                  <w:r>
                    <w:rPr>
                      <w:rFonts w:hint="eastAsia" w:cs="Times New Roman"/>
                      <w:color w:val="000000"/>
                      <w:kern w:val="0"/>
                      <w:sz w:val="21"/>
                      <w:szCs w:val="21"/>
                      <w:lang w:val="en-US" w:eastAsia="zh-CN"/>
                    </w:rPr>
                    <w:tab/>
                  </w:r>
                  <w:r>
                    <w:rPr>
                      <w:rFonts w:hint="eastAsia" w:cs="Times New Roman"/>
                      <w:color w:val="000000"/>
                      <w:kern w:val="0"/>
                      <w:sz w:val="21"/>
                      <w:szCs w:val="21"/>
                      <w:lang w:val="en-US" w:eastAsia="zh-CN"/>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kern w:val="0"/>
                      <w:sz w:val="21"/>
                      <w:szCs w:val="21"/>
                      <w:lang w:val="en-US" w:eastAsia="zh-CN"/>
                    </w:rPr>
                    <w:t>主体工程</w:t>
                  </w:r>
                </w:p>
              </w:tc>
              <w:tc>
                <w:tcPr>
                  <w:tcW w:w="186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生产车间</w:t>
                  </w:r>
                </w:p>
              </w:tc>
              <w:tc>
                <w:tcPr>
                  <w:tcW w:w="169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17100m</w:t>
                  </w:r>
                  <w:r>
                    <w:rPr>
                      <w:rFonts w:hint="eastAsia" w:cs="Times New Roman"/>
                      <w:color w:val="000000"/>
                      <w:kern w:val="0"/>
                      <w:sz w:val="21"/>
                      <w:szCs w:val="21"/>
                      <w:vertAlign w:val="superscript"/>
                      <w:lang w:val="en-US" w:eastAsia="zh-CN"/>
                    </w:rPr>
                    <w:t>2</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17100m</w:t>
                  </w:r>
                  <w:r>
                    <w:rPr>
                      <w:rFonts w:hint="eastAsia" w:cs="Times New Roman"/>
                      <w:color w:val="000000"/>
                      <w:kern w:val="0"/>
                      <w:sz w:val="21"/>
                      <w:szCs w:val="21"/>
                      <w:vertAlign w:val="superscript"/>
                      <w:lang w:val="en-US" w:eastAsia="zh-CN"/>
                    </w:rPr>
                    <w:t>2</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项目合计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kern w:val="0"/>
                      <w:sz w:val="21"/>
                      <w:szCs w:val="21"/>
                      <w:lang w:val="en-US" w:eastAsia="zh-CN"/>
                    </w:rPr>
                  </w:pPr>
                  <w:r>
                    <w:rPr>
                      <w:rFonts w:hint="eastAsia" w:ascii="Times New Roman"/>
                      <w:kern w:val="0"/>
                      <w:sz w:val="21"/>
                      <w:szCs w:val="21"/>
                      <w:lang w:val="en-US" w:eastAsia="zh-CN"/>
                    </w:rPr>
                    <w:t>贮运工程</w:t>
                  </w:r>
                </w:p>
              </w:tc>
              <w:tc>
                <w:tcPr>
                  <w:tcW w:w="186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仓库</w:t>
                  </w:r>
                </w:p>
              </w:tc>
              <w:tc>
                <w:tcPr>
                  <w:tcW w:w="1698"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500m</w:t>
                  </w:r>
                  <w:r>
                    <w:rPr>
                      <w:rFonts w:hint="eastAsia" w:cs="Times New Roman"/>
                      <w:color w:val="000000"/>
                      <w:kern w:val="0"/>
                      <w:sz w:val="21"/>
                      <w:szCs w:val="21"/>
                      <w:vertAlign w:val="superscript"/>
                      <w:lang w:val="en-US" w:eastAsia="zh-CN"/>
                    </w:rPr>
                    <w:t>2</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500m</w:t>
                  </w:r>
                  <w:r>
                    <w:rPr>
                      <w:rFonts w:hint="eastAsia" w:cs="Times New Roman"/>
                      <w:color w:val="000000"/>
                      <w:kern w:val="0"/>
                      <w:sz w:val="21"/>
                      <w:szCs w:val="21"/>
                      <w:vertAlign w:val="superscript"/>
                      <w:lang w:val="en-US" w:eastAsia="zh-CN"/>
                    </w:rPr>
                    <w:t>2</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restar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kern w:val="0"/>
                      <w:sz w:val="21"/>
                      <w:szCs w:val="21"/>
                      <w:lang w:val="en-US" w:eastAsia="zh-CN"/>
                    </w:rPr>
                  </w:pPr>
                  <w:r>
                    <w:rPr>
                      <w:rFonts w:hint="eastAsia" w:ascii="Times New Roman"/>
                      <w:kern w:val="0"/>
                      <w:sz w:val="21"/>
                      <w:szCs w:val="21"/>
                      <w:lang w:val="en-US" w:eastAsia="zh-CN"/>
                    </w:rPr>
                    <w:t>公用工程</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给水</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3600m</w:t>
                  </w:r>
                  <w:r>
                    <w:rPr>
                      <w:rFonts w:hint="eastAsia" w:cs="Times New Roman"/>
                      <w:color w:val="000000"/>
                      <w:kern w:val="0"/>
                      <w:sz w:val="21"/>
                      <w:szCs w:val="21"/>
                      <w:vertAlign w:val="superscript"/>
                      <w:lang w:val="en-US" w:eastAsia="zh-CN"/>
                    </w:rPr>
                    <w:t>3</w:t>
                  </w:r>
                  <w:r>
                    <w:rPr>
                      <w:rFonts w:hint="eastAsia" w:cs="Times New Roman"/>
                      <w:color w:val="000000"/>
                      <w:kern w:val="0"/>
                      <w:sz w:val="21"/>
                      <w:szCs w:val="21"/>
                      <w:lang w:val="en-US" w:eastAsia="zh-CN"/>
                    </w:rPr>
                    <w:t>/a</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3600m</w:t>
                  </w:r>
                  <w:r>
                    <w:rPr>
                      <w:rFonts w:hint="eastAsia" w:cs="Times New Roman"/>
                      <w:color w:val="000000"/>
                      <w:kern w:val="0"/>
                      <w:sz w:val="21"/>
                      <w:szCs w:val="21"/>
                      <w:vertAlign w:val="superscript"/>
                      <w:lang w:val="en-US" w:eastAsia="zh-CN"/>
                    </w:rPr>
                    <w:t>3</w:t>
                  </w:r>
                  <w:r>
                    <w:rPr>
                      <w:rFonts w:hint="eastAsia" w:cs="Times New Roman"/>
                      <w:color w:val="000000"/>
                      <w:kern w:val="0"/>
                      <w:sz w:val="21"/>
                      <w:szCs w:val="21"/>
                      <w:lang w:val="en-US" w:eastAsia="zh-CN"/>
                    </w:rPr>
                    <w:t>/a</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区域统一供应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排水</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3060m</w:t>
                  </w:r>
                  <w:r>
                    <w:rPr>
                      <w:rFonts w:hint="eastAsia" w:cs="Times New Roman"/>
                      <w:color w:val="000000"/>
                      <w:kern w:val="0"/>
                      <w:sz w:val="21"/>
                      <w:szCs w:val="21"/>
                      <w:vertAlign w:val="superscript"/>
                      <w:lang w:val="en-US" w:eastAsia="zh-CN"/>
                    </w:rPr>
                    <w:t>3</w:t>
                  </w:r>
                  <w:r>
                    <w:rPr>
                      <w:rFonts w:hint="eastAsia" w:cs="Times New Roman"/>
                      <w:color w:val="000000"/>
                      <w:kern w:val="0"/>
                      <w:sz w:val="21"/>
                      <w:szCs w:val="21"/>
                      <w:lang w:val="en-US" w:eastAsia="zh-CN"/>
                    </w:rPr>
                    <w:t>/a</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3060m</w:t>
                  </w:r>
                  <w:r>
                    <w:rPr>
                      <w:rFonts w:hint="eastAsia" w:cs="Times New Roman"/>
                      <w:color w:val="000000"/>
                      <w:kern w:val="0"/>
                      <w:sz w:val="21"/>
                      <w:szCs w:val="21"/>
                      <w:vertAlign w:val="superscript"/>
                      <w:lang w:val="en-US" w:eastAsia="zh-CN"/>
                    </w:rPr>
                    <w:t>3</w:t>
                  </w:r>
                  <w:r>
                    <w:rPr>
                      <w:rFonts w:hint="eastAsia" w:cs="Times New Roman"/>
                      <w:color w:val="000000"/>
                      <w:kern w:val="0"/>
                      <w:sz w:val="21"/>
                      <w:szCs w:val="21"/>
                      <w:lang w:val="en-US" w:eastAsia="zh-CN"/>
                    </w:rPr>
                    <w:t>/a</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供电</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440 万千瓦时/年</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260 万千瓦时/年</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区域变电所提供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绿化</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2293m</w:t>
                  </w:r>
                  <w:r>
                    <w:rPr>
                      <w:rFonts w:hint="eastAsia" w:cs="Times New Roman"/>
                      <w:color w:val="000000"/>
                      <w:kern w:val="0"/>
                      <w:sz w:val="21"/>
                      <w:szCs w:val="21"/>
                      <w:vertAlign w:val="superscript"/>
                      <w:lang w:val="en-US" w:eastAsia="zh-CN"/>
                    </w:rPr>
                    <w:t>2</w:t>
                  </w:r>
                </w:p>
              </w:tc>
              <w:tc>
                <w:tcPr>
                  <w:tcW w:w="2092"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2293m</w:t>
                  </w:r>
                  <w:r>
                    <w:rPr>
                      <w:rFonts w:hint="eastAsia" w:cs="Times New Roman"/>
                      <w:color w:val="000000"/>
                      <w:kern w:val="0"/>
                      <w:sz w:val="21"/>
                      <w:szCs w:val="21"/>
                      <w:vertAlign w:val="superscript"/>
                      <w:lang w:val="en-US" w:eastAsia="zh-CN"/>
                    </w:rPr>
                    <w:t>2</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1868" w:type="dxa"/>
                  <w:vMerge w:val="restart"/>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固废处理</w:t>
                  </w:r>
                </w:p>
              </w:tc>
              <w:tc>
                <w:tcPr>
                  <w:tcW w:w="0" w:type="auto"/>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一般固废堆场 100m</w:t>
                  </w:r>
                  <w:r>
                    <w:rPr>
                      <w:rFonts w:hint="eastAsia" w:cs="Times New Roman"/>
                      <w:color w:val="000000"/>
                      <w:kern w:val="0"/>
                      <w:sz w:val="21"/>
                      <w:szCs w:val="21"/>
                      <w:vertAlign w:val="superscript"/>
                      <w:lang w:val="en-US" w:eastAsia="zh-CN"/>
                    </w:rPr>
                    <w:t>2</w:t>
                  </w:r>
                </w:p>
              </w:tc>
              <w:tc>
                <w:tcPr>
                  <w:tcW w:w="2092"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一般固废堆场 100m</w:t>
                  </w:r>
                  <w:r>
                    <w:rPr>
                      <w:rFonts w:hint="eastAsia" w:cs="Times New Roman"/>
                      <w:color w:val="000000"/>
                      <w:kern w:val="0"/>
                      <w:sz w:val="21"/>
                      <w:szCs w:val="21"/>
                      <w:vertAlign w:val="superscript"/>
                      <w:lang w:val="en-US" w:eastAsia="zh-CN"/>
                    </w:rPr>
                    <w:t>2</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1" w:type="dxa"/>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kern w:val="0"/>
                      <w:sz w:val="21"/>
                      <w:szCs w:val="21"/>
                      <w:lang w:val="en-US" w:eastAsia="zh-CN"/>
                    </w:rPr>
                  </w:pPr>
                </w:p>
              </w:tc>
              <w:tc>
                <w:tcPr>
                  <w:tcW w:w="1868" w:type="dxa"/>
                  <w:vMerge w:val="continue"/>
                  <w:vAlign w:val="center"/>
                </w:tcPr>
                <w:p>
                  <w:pPr>
                    <w:widowControl/>
                    <w:adjustRightInd w:val="0"/>
                    <w:snapToGrid w:val="0"/>
                    <w:spacing w:line="240" w:lineRule="auto"/>
                    <w:jc w:val="center"/>
                    <w:rPr>
                      <w:rFonts w:hint="eastAsia" w:cs="Times New Roman"/>
                      <w:color w:val="000000"/>
                      <w:kern w:val="0"/>
                      <w:sz w:val="21"/>
                      <w:szCs w:val="21"/>
                      <w:lang w:val="en-US" w:eastAsia="zh-CN"/>
                    </w:rPr>
                  </w:pP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危废仓库50m</w:t>
                  </w:r>
                  <w:r>
                    <w:rPr>
                      <w:rFonts w:hint="eastAsia" w:cs="Times New Roman"/>
                      <w:color w:val="000000"/>
                      <w:kern w:val="0"/>
                      <w:sz w:val="21"/>
                      <w:szCs w:val="21"/>
                      <w:vertAlign w:val="superscript"/>
                      <w:lang w:val="en-US" w:eastAsia="zh-CN"/>
                    </w:rPr>
                    <w:t>2</w:t>
                  </w:r>
                </w:p>
              </w:tc>
              <w:tc>
                <w:tcPr>
                  <w:tcW w:w="2092"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危废仓库20m</w:t>
                  </w:r>
                  <w:r>
                    <w:rPr>
                      <w:rFonts w:hint="eastAsia" w:cs="Times New Roman"/>
                      <w:color w:val="000000"/>
                      <w:kern w:val="0"/>
                      <w:sz w:val="21"/>
                      <w:szCs w:val="21"/>
                      <w:vertAlign w:val="superscript"/>
                      <w:lang w:val="en-US" w:eastAsia="zh-CN"/>
                    </w:rPr>
                    <w:t>2</w:t>
                  </w:r>
                </w:p>
              </w:tc>
              <w:tc>
                <w:tcPr>
                  <w:tcW w:w="2383" w:type="dxa"/>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w:t>
                  </w:r>
                </w:p>
              </w:tc>
            </w:tr>
          </w:tbl>
          <w:p>
            <w:pPr>
              <w:pStyle w:val="2"/>
              <w:rPr>
                <w:rFonts w:hint="default" w:ascii="宋体" w:hAnsi="宋体" w:eastAsia="宋体" w:cs="宋体"/>
                <w:color w:val="000000"/>
                <w:kern w:val="0"/>
                <w:sz w:val="24"/>
                <w:szCs w:val="24"/>
                <w:lang w:val="en-US" w:eastAsia="zh-CN"/>
              </w:rPr>
            </w:pPr>
          </w:p>
        </w:tc>
      </w:tr>
    </w:tbl>
    <w:p>
      <w:pPr>
        <w:pStyle w:val="2"/>
        <w:rPr>
          <w:rFonts w:hint="eastAsia"/>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8"/>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3399" w:hRule="atLeast"/>
          <w:jc w:val="center"/>
        </w:trPr>
        <w:tc>
          <w:tcPr>
            <w:tcW w:w="9074" w:type="dxa"/>
            <w:tcBorders>
              <w:top w:val="single" w:color="auto" w:sz="4" w:space="0"/>
              <w:left w:val="single" w:color="auto" w:sz="8" w:space="0"/>
              <w:bottom w:val="single" w:color="auto" w:sz="4" w:space="0"/>
              <w:right w:val="single" w:color="auto" w:sz="8" w:space="0"/>
            </w:tcBorders>
            <w:noWrap w:val="0"/>
            <w:vAlign w:val="top"/>
          </w:tcPr>
          <w:p>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原辅材料消耗及水平衡：</w:t>
            </w:r>
          </w:p>
          <w:p>
            <w:pPr>
              <w:widowControl/>
              <w:numPr>
                <w:ilvl w:val="0"/>
                <w:numId w:val="1"/>
              </w:numPr>
              <w:adjustRightInd w:val="0"/>
              <w:snapToGrid w:val="0"/>
              <w:spacing w:after="200" w:line="240" w:lineRule="auto"/>
              <w:ind w:firstLine="480" w:firstLineChars="2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原辅材料</w:t>
            </w:r>
          </w:p>
          <w:p>
            <w:pPr>
              <w:widowControl/>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本项目主要原辅料实际消耗情况根据监</w:t>
            </w:r>
            <w:r>
              <w:rPr>
                <w:rFonts w:hint="eastAsia" w:ascii="Times New Roman" w:hAnsi="Times New Roman" w:eastAsia="宋体" w:cs="Times New Roman"/>
                <w:color w:val="000000"/>
                <w:kern w:val="0"/>
                <w:sz w:val="24"/>
                <w:szCs w:val="24"/>
                <w:lang w:val="en-US" w:eastAsia="zh-CN"/>
              </w:rPr>
              <w:t>调查期</w:t>
            </w:r>
            <w:r>
              <w:rPr>
                <w:rFonts w:hint="default" w:ascii="Times New Roman" w:hAnsi="Times New Roman" w:eastAsia="宋体" w:cs="Times New Roman"/>
                <w:color w:val="000000"/>
                <w:kern w:val="0"/>
                <w:sz w:val="24"/>
                <w:szCs w:val="24"/>
              </w:rPr>
              <w:t>间使用量，环评阶段主要原辅料及实际建设阶段核实情况见表2-</w:t>
            </w:r>
            <w:r>
              <w:rPr>
                <w:rFonts w:hint="eastAsia" w:cs="Times New Roman"/>
                <w:color w:val="000000"/>
                <w:kern w:val="0"/>
                <w:sz w:val="24"/>
                <w:szCs w:val="24"/>
                <w:lang w:val="en-US" w:eastAsia="zh-CN"/>
              </w:rPr>
              <w:t>4</w:t>
            </w:r>
            <w:r>
              <w:rPr>
                <w:rFonts w:hint="default" w:ascii="Times New Roman" w:hAnsi="Times New Roman" w:eastAsia="宋体" w:cs="Times New Roman"/>
                <w:color w:val="000000"/>
                <w:kern w:val="0"/>
                <w:sz w:val="24"/>
                <w:szCs w:val="24"/>
              </w:rPr>
              <w:t>。</w:t>
            </w:r>
          </w:p>
          <w:p>
            <w:pPr>
              <w:widowControl/>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表2-</w:t>
            </w:r>
            <w:r>
              <w:rPr>
                <w:rFonts w:hint="eastAsia" w:cs="Times New Roman"/>
                <w:color w:val="000000"/>
                <w:kern w:val="0"/>
                <w:szCs w:val="21"/>
                <w:lang w:val="en-US" w:eastAsia="zh-CN"/>
              </w:rPr>
              <w:t>4</w:t>
            </w:r>
            <w:r>
              <w:rPr>
                <w:rFonts w:hint="default" w:ascii="Times New Roman" w:hAnsi="Times New Roman" w:eastAsia="宋体" w:cs="Times New Roman"/>
                <w:color w:val="000000"/>
                <w:kern w:val="0"/>
                <w:szCs w:val="21"/>
              </w:rPr>
              <w:t xml:space="preserve"> 主要原辅料核实一览表</w:t>
            </w:r>
          </w:p>
          <w:tbl>
            <w:tblPr>
              <w:tblStyle w:val="9"/>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284"/>
              <w:gridCol w:w="1575"/>
              <w:gridCol w:w="1615"/>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pPr>
                    <w:adjustRightInd w:val="0"/>
                    <w:snapToGrid w:val="0"/>
                    <w:spacing w:before="100" w:beforeAutospacing="1" w:after="100" w:afterAutospacing="1"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序号</w:t>
                  </w:r>
                </w:p>
              </w:tc>
              <w:tc>
                <w:tcPr>
                  <w:tcW w:w="1284" w:type="dxa"/>
                  <w:vAlign w:val="center"/>
                </w:tcPr>
                <w:p>
                  <w:pPr>
                    <w:adjustRightInd w:val="0"/>
                    <w:snapToGrid w:val="0"/>
                    <w:spacing w:before="100" w:beforeAutospacing="1" w:after="100" w:afterAutospacing="1" w:line="240" w:lineRule="auto"/>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名称</w:t>
                  </w:r>
                </w:p>
              </w:tc>
              <w:tc>
                <w:tcPr>
                  <w:tcW w:w="1575" w:type="dxa"/>
                  <w:vAlign w:val="center"/>
                </w:tcPr>
                <w:p>
                  <w:pPr>
                    <w:adjustRightInd w:val="0"/>
                    <w:snapToGrid w:val="0"/>
                    <w:spacing w:before="100" w:beforeAutospacing="1" w:after="100" w:afterAutospacing="1" w:line="240" w:lineRule="auto"/>
                    <w:jc w:val="center"/>
                    <w:rPr>
                      <w:rFonts w:ascii="Times New Roman" w:hAnsi="Times New Roman" w:cs="Times New Roman" w:eastAsiaTheme="minorEastAsia"/>
                      <w:b/>
                      <w:sz w:val="21"/>
                      <w:szCs w:val="21"/>
                    </w:rPr>
                  </w:pPr>
                  <w:r>
                    <w:rPr>
                      <w:rFonts w:hint="eastAsia" w:ascii="Times New Roman" w:hAnsi="Times New Roman" w:cs="Times New Roman" w:eastAsiaTheme="minorEastAsia"/>
                      <w:b/>
                      <w:sz w:val="21"/>
                      <w:szCs w:val="21"/>
                      <w:lang w:eastAsia="zh-CN"/>
                    </w:rPr>
                    <w:t>设计</w:t>
                  </w:r>
                  <w:r>
                    <w:rPr>
                      <w:rFonts w:ascii="Times New Roman" w:hAnsi="Times New Roman" w:cs="Times New Roman" w:eastAsiaTheme="minorEastAsia"/>
                      <w:b/>
                      <w:sz w:val="21"/>
                      <w:szCs w:val="21"/>
                    </w:rPr>
                    <w:t>年耗量</w:t>
                  </w:r>
                </w:p>
              </w:tc>
              <w:tc>
                <w:tcPr>
                  <w:tcW w:w="1615" w:type="dxa"/>
                  <w:vAlign w:val="center"/>
                </w:tcPr>
                <w:p>
                  <w:pPr>
                    <w:adjustRightInd w:val="0"/>
                    <w:snapToGrid w:val="0"/>
                    <w:spacing w:before="100" w:beforeAutospacing="1" w:after="100" w:afterAutospacing="1" w:line="240" w:lineRule="auto"/>
                    <w:jc w:val="center"/>
                    <w:rPr>
                      <w:rFonts w:hint="eastAsia" w:ascii="Times New Roman" w:hAnsi="Times New Roman" w:cs="Times New Roman" w:eastAsiaTheme="minorEastAsia"/>
                      <w:b/>
                      <w:sz w:val="21"/>
                      <w:szCs w:val="21"/>
                      <w:lang w:eastAsia="zh-CN"/>
                    </w:rPr>
                  </w:pPr>
                  <w:r>
                    <w:rPr>
                      <w:rFonts w:hint="eastAsia" w:ascii="Times New Roman" w:hAnsi="Times New Roman" w:cs="Times New Roman" w:eastAsiaTheme="minorEastAsia"/>
                      <w:b/>
                      <w:sz w:val="21"/>
                      <w:szCs w:val="21"/>
                      <w:lang w:eastAsia="zh-CN"/>
                    </w:rPr>
                    <w:t>实际年耗量</w:t>
                  </w:r>
                </w:p>
              </w:tc>
              <w:tc>
                <w:tcPr>
                  <w:tcW w:w="3056" w:type="dxa"/>
                  <w:vAlign w:val="center"/>
                </w:tcPr>
                <w:p>
                  <w:pPr>
                    <w:adjustRightInd w:val="0"/>
                    <w:snapToGrid w:val="0"/>
                    <w:spacing w:before="100" w:beforeAutospacing="1" w:after="100" w:afterAutospacing="1" w:line="240" w:lineRule="auto"/>
                    <w:jc w:val="center"/>
                    <w:rPr>
                      <w:rFonts w:hint="eastAsia" w:eastAsia="宋体"/>
                      <w:lang w:eastAsia="zh-CN"/>
                    </w:rPr>
                  </w:pPr>
                  <w:r>
                    <w:rPr>
                      <w:rFonts w:hint="eastAsia" w:cs="Times New Roman" w:eastAsiaTheme="minorEastAsia"/>
                      <w:b/>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rPr>
                  </w:pPr>
                  <w:r>
                    <w:rPr>
                      <w:rFonts w:hint="eastAsia" w:ascii="Times New Roman" w:hAnsi="Times New Roman"/>
                      <w:kern w:val="0"/>
                      <w:sz w:val="21"/>
                      <w:szCs w:val="21"/>
                    </w:rPr>
                    <w:t>1</w:t>
                  </w:r>
                </w:p>
              </w:tc>
              <w:tc>
                <w:tcPr>
                  <w:tcW w:w="1284"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圆钢</w:t>
                  </w:r>
                </w:p>
              </w:tc>
              <w:tc>
                <w:tcPr>
                  <w:tcW w:w="157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2800</w:t>
                  </w:r>
                </w:p>
              </w:tc>
              <w:tc>
                <w:tcPr>
                  <w:tcW w:w="161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2800</w:t>
                  </w:r>
                </w:p>
              </w:tc>
              <w:tc>
                <w:tcPr>
                  <w:tcW w:w="3056"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rPr>
                  </w:pPr>
                  <w:r>
                    <w:rPr>
                      <w:rFonts w:hint="eastAsia" w:ascii="Times New Roman" w:hAnsi="Times New Roman"/>
                      <w:kern w:val="0"/>
                      <w:sz w:val="21"/>
                      <w:szCs w:val="21"/>
                    </w:rPr>
                    <w:t>2</w:t>
                  </w:r>
                </w:p>
              </w:tc>
              <w:tc>
                <w:tcPr>
                  <w:tcW w:w="1284"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乳化油</w:t>
                  </w:r>
                </w:p>
              </w:tc>
              <w:tc>
                <w:tcPr>
                  <w:tcW w:w="157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188</w:t>
                  </w:r>
                </w:p>
              </w:tc>
              <w:tc>
                <w:tcPr>
                  <w:tcW w:w="161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188</w:t>
                  </w:r>
                </w:p>
              </w:tc>
              <w:tc>
                <w:tcPr>
                  <w:tcW w:w="3056"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lang w:val="en-US" w:eastAsia="zh-CN"/>
                    </w:rPr>
                  </w:pPr>
                  <w:r>
                    <w:rPr>
                      <w:rFonts w:hint="eastAsia" w:asci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w:t>
                  </w:r>
                </w:p>
              </w:tc>
              <w:tc>
                <w:tcPr>
                  <w:tcW w:w="1284"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淬火油</w:t>
                  </w:r>
                </w:p>
              </w:tc>
              <w:tc>
                <w:tcPr>
                  <w:tcW w:w="157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w:t>
                  </w:r>
                </w:p>
              </w:tc>
              <w:tc>
                <w:tcPr>
                  <w:tcW w:w="1615" w:type="dxa"/>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w:t>
                  </w:r>
                </w:p>
              </w:tc>
              <w:tc>
                <w:tcPr>
                  <w:tcW w:w="3056" w:type="dxa"/>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4</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甲醇</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37</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37</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5</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乙烷</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w:t>
                  </w:r>
                </w:p>
              </w:tc>
              <w:tc>
                <w:tcPr>
                  <w:tcW w:w="0" w:type="auto"/>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28</w:t>
                  </w:r>
                </w:p>
              </w:tc>
              <w:tc>
                <w:tcPr>
                  <w:tcW w:w="0" w:type="auto"/>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kern w:val="0"/>
                      <w:sz w:val="21"/>
                      <w:szCs w:val="21"/>
                      <w:lang w:val="en-US" w:eastAsia="zh-CN"/>
                    </w:rPr>
                  </w:pPr>
                  <w:r>
                    <w:rPr>
                      <w:rFonts w:hint="eastAsia" w:ascii="Times New Roman" w:hAnsi="Times New Roman"/>
                      <w:kern w:val="0"/>
                      <w:sz w:val="21"/>
                      <w:szCs w:val="21"/>
                      <w:lang w:val="en-US" w:eastAsia="zh-CN"/>
                    </w:rPr>
                    <w:t>/</w:t>
                  </w:r>
                </w:p>
              </w:tc>
            </w:tr>
          </w:tbl>
          <w:p>
            <w:pPr>
              <w:widowControl/>
              <w:adjustRightInd w:val="0"/>
              <w:snapToGrid w:val="0"/>
              <w:spacing w:after="200" w:line="240" w:lineRule="auto"/>
              <w:jc w:val="both"/>
              <w:rPr>
                <w:rFonts w:hint="default" w:ascii="Times New Roman" w:hAnsi="Times New Roman" w:eastAsia="宋体" w:cs="Times New Roman"/>
                <w:color w:val="000000"/>
                <w:kern w:val="0"/>
                <w:szCs w:val="21"/>
                <w:lang w:val="en-US" w:eastAsia="zh-CN"/>
              </w:rPr>
            </w:pPr>
          </w:p>
        </w:tc>
      </w:tr>
    </w:tbl>
    <w:p>
      <w:pPr>
        <w:widowControl/>
        <w:spacing w:line="360" w:lineRule="auto"/>
        <w:jc w:val="left"/>
        <w:rPr>
          <w:rFonts w:ascii="Tahoma" w:hAnsi="Tahoma" w:eastAsia="仿宋_GB2312" w:cs="Times New Roman"/>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5"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before="48" w:beforeLines="20" w:after="200" w:line="240" w:lineRule="auto"/>
              <w:jc w:val="left"/>
              <w:rPr>
                <w:rFonts w:hint="eastAsia" w:ascii="宋体" w:hAnsi="宋体" w:eastAsia="宋体" w:cs="宋体"/>
                <w:b/>
                <w:bCs/>
                <w:sz w:val="24"/>
                <w:szCs w:val="24"/>
              </w:rPr>
            </w:pPr>
            <w:bookmarkStart w:id="6" w:name="_Toc32372"/>
            <w:r>
              <w:rPr>
                <w:rFonts w:hint="eastAsia" w:ascii="宋体" w:hAnsi="宋体" w:eastAsia="宋体" w:cs="宋体"/>
                <w:b/>
                <w:bCs/>
                <w:sz w:val="24"/>
                <w:szCs w:val="24"/>
              </w:rPr>
              <w:t>主要工艺流程及产物环节（附处理工艺流程图，标出产污节点）</w:t>
            </w:r>
          </w:p>
          <w:p>
            <w:pPr>
              <w:spacing w:before="62" w:beforeLines="20" w:line="360" w:lineRule="auto"/>
              <w:rPr>
                <w:rFonts w:hint="eastAsia"/>
                <w:b/>
                <w:bCs/>
                <w:sz w:val="24"/>
                <w:szCs w:val="24"/>
                <w:lang w:val="en-US" w:eastAsia="zh-CN"/>
              </w:rPr>
            </w:pPr>
            <w:r>
              <w:rPr>
                <w:rFonts w:hint="eastAsia"/>
                <w:b/>
                <w:bCs/>
                <w:sz w:val="24"/>
                <w:szCs w:val="24"/>
                <w:lang w:val="en-US" w:eastAsia="zh-CN"/>
              </w:rPr>
              <w:t>齿轮</w:t>
            </w:r>
            <w:r>
              <w:rPr>
                <w:rFonts w:hint="eastAsia"/>
                <w:b/>
                <w:bCs/>
                <w:sz w:val="24"/>
                <w:szCs w:val="24"/>
                <w:lang w:eastAsia="zh-CN"/>
              </w:rPr>
              <w:t>工艺流程图：</w:t>
            </w:r>
          </w:p>
          <w:p>
            <w:pPr>
              <w:pStyle w:val="2"/>
              <w:jc w:val="center"/>
              <w:rPr>
                <w:rFonts w:hint="eastAsia" w:eastAsia="宋体"/>
                <w:snapToGrid w:val="0"/>
                <w:color w:val="auto"/>
                <w:kern w:val="0"/>
                <w:sz w:val="24"/>
                <w:lang w:eastAsia="zh-CN"/>
              </w:rPr>
            </w:pPr>
            <w:r>
              <w:rPr>
                <w:rFonts w:hint="eastAsia" w:eastAsia="宋体"/>
                <w:snapToGrid w:val="0"/>
                <w:color w:val="auto"/>
                <w:kern w:val="0"/>
                <w:sz w:val="24"/>
                <w:lang w:eastAsia="zh-CN"/>
              </w:rPr>
              <w:drawing>
                <wp:inline distT="0" distB="0" distL="114300" distR="114300">
                  <wp:extent cx="5523865" cy="1610995"/>
                  <wp:effectExtent l="0" t="0" r="635" b="8255"/>
                  <wp:docPr id="22" name="图片 22" descr="C:\Users\Administrator\Desktop\新建文件夹\微信截图_20210826160912.png微信截图_2021082616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新建文件夹\微信截图_20210826160912.png微信截图_20210826160912"/>
                          <pic:cNvPicPr>
                            <a:picLocks noChangeAspect="1"/>
                          </pic:cNvPicPr>
                        </pic:nvPicPr>
                        <pic:blipFill>
                          <a:blip r:embed="rId7"/>
                          <a:srcRect/>
                          <a:stretch>
                            <a:fillRect/>
                          </a:stretch>
                        </pic:blipFill>
                        <pic:spPr>
                          <a:xfrm>
                            <a:off x="0" y="0"/>
                            <a:ext cx="5523865" cy="1610995"/>
                          </a:xfrm>
                          <a:prstGeom prst="rect">
                            <a:avLst/>
                          </a:prstGeom>
                        </pic:spPr>
                      </pic:pic>
                    </a:graphicData>
                  </a:graphic>
                </wp:inline>
              </w:drawing>
            </w:r>
          </w:p>
          <w:p>
            <w:pPr>
              <w:spacing w:line="360" w:lineRule="auto"/>
              <w:jc w:val="center"/>
              <w:rPr>
                <w:rFonts w:hint="eastAsia"/>
                <w:b/>
                <w:snapToGrid w:val="0"/>
                <w:color w:val="auto"/>
                <w:lang w:eastAsia="zh-CN"/>
              </w:rPr>
            </w:pPr>
            <w:r>
              <w:rPr>
                <w:rFonts w:hint="eastAsia"/>
                <w:b/>
                <w:snapToGrid w:val="0"/>
                <w:color w:val="auto"/>
                <w:lang w:val="en-US" w:eastAsia="zh-CN"/>
              </w:rPr>
              <w:t>图2</w:t>
            </w:r>
            <w:r>
              <w:rPr>
                <w:rFonts w:hint="eastAsia"/>
                <w:b/>
                <w:snapToGrid w:val="0"/>
                <w:color w:val="auto"/>
                <w:lang w:eastAsia="zh-CN"/>
              </w:rPr>
              <w:t>-</w:t>
            </w:r>
            <w:r>
              <w:rPr>
                <w:rFonts w:hint="eastAsia"/>
                <w:b/>
                <w:snapToGrid w:val="0"/>
                <w:color w:val="auto"/>
                <w:lang w:val="en-US" w:eastAsia="zh-CN"/>
              </w:rPr>
              <w:t>1</w:t>
            </w:r>
            <w:r>
              <w:rPr>
                <w:rFonts w:hint="eastAsia"/>
                <w:b/>
                <w:snapToGrid w:val="0"/>
                <w:color w:val="auto"/>
                <w:lang w:eastAsia="zh-CN"/>
              </w:rPr>
              <w:t xml:space="preserve">  </w:t>
            </w:r>
            <w:r>
              <w:rPr>
                <w:rFonts w:hint="eastAsia"/>
                <w:b/>
                <w:snapToGrid w:val="0"/>
                <w:color w:val="auto"/>
                <w:lang w:val="en-US" w:eastAsia="zh-CN"/>
              </w:rPr>
              <w:t>齿轮</w:t>
            </w:r>
            <w:r>
              <w:rPr>
                <w:rFonts w:hint="eastAsia"/>
                <w:b/>
                <w:snapToGrid w:val="0"/>
                <w:color w:val="auto"/>
                <w:lang w:eastAsia="zh-CN"/>
              </w:rPr>
              <w:t>生产工艺流程图</w:t>
            </w:r>
          </w:p>
          <w:p>
            <w:pPr>
              <w:adjustRightInd w:val="0"/>
              <w:snapToGrid w:val="0"/>
              <w:spacing w:line="360" w:lineRule="auto"/>
              <w:rPr>
                <w:b/>
                <w:bCs/>
                <w:color w:val="auto"/>
                <w:sz w:val="21"/>
                <w:szCs w:val="21"/>
              </w:rPr>
            </w:pPr>
            <w:r>
              <w:rPr>
                <w:b/>
                <w:bCs/>
                <w:color w:val="auto"/>
                <w:sz w:val="21"/>
                <w:szCs w:val="21"/>
              </w:rPr>
              <w:t>工艺流程简述：</w:t>
            </w:r>
          </w:p>
          <w:p>
            <w:pPr>
              <w:snapToGrid w:val="0"/>
              <w:spacing w:line="360" w:lineRule="auto"/>
              <w:ind w:firstLine="480" w:firstLineChars="200"/>
              <w:rPr>
                <w:rFonts w:hint="eastAsia"/>
                <w:sz w:val="24"/>
              </w:rPr>
            </w:pPr>
            <w:r>
              <w:rPr>
                <w:rFonts w:hint="eastAsia"/>
                <w:sz w:val="24"/>
              </w:rPr>
              <w:t>锯料：外购的圆钢经锯料机切割成一定厚度的盘形工件。该过程产生边角料(S1)和噪声(N1)。</w:t>
            </w:r>
          </w:p>
          <w:p>
            <w:pPr>
              <w:snapToGrid w:val="0"/>
              <w:spacing w:line="360" w:lineRule="auto"/>
              <w:ind w:firstLine="480" w:firstLineChars="200"/>
              <w:rPr>
                <w:rFonts w:hint="eastAsia"/>
                <w:sz w:val="24"/>
              </w:rPr>
            </w:pPr>
            <w:r>
              <w:rPr>
                <w:rFonts w:hint="eastAsia"/>
                <w:sz w:val="24"/>
              </w:rPr>
              <w:t>锻造：本项目锻造委外加工。</w:t>
            </w:r>
          </w:p>
          <w:p>
            <w:pPr>
              <w:snapToGrid w:val="0"/>
              <w:spacing w:line="360" w:lineRule="auto"/>
              <w:ind w:firstLine="480" w:firstLineChars="200"/>
              <w:rPr>
                <w:rFonts w:hint="eastAsia"/>
                <w:sz w:val="24"/>
              </w:rPr>
            </w:pPr>
            <w:r>
              <w:rPr>
                <w:rFonts w:hint="eastAsia"/>
                <w:sz w:val="24"/>
              </w:rPr>
              <w:t>车床加工：锻造后的工件再由数控车床和立式加工中心进行粗加工和精加工。该过程使用乳化液，产生少量油雾废气(G1)、边角料(S2)和噪声(N2)。</w:t>
            </w:r>
          </w:p>
          <w:p>
            <w:pPr>
              <w:snapToGrid w:val="0"/>
              <w:spacing w:line="360" w:lineRule="auto"/>
              <w:ind w:firstLine="480" w:firstLineChars="200"/>
              <w:rPr>
                <w:rFonts w:hint="eastAsia"/>
                <w:sz w:val="24"/>
              </w:rPr>
            </w:pPr>
            <w:r>
              <w:rPr>
                <w:rFonts w:hint="eastAsia"/>
                <w:sz w:val="24"/>
              </w:rPr>
              <w:t>滚切齿轮：精加工后的盘形工件再经数控滚齿机滚切齿轮，滚齿加工是用展成法原理来加工齿轮的，滚刀连续啮合转动从而使工件形齿形。产生废润滑油(S3)和噪声(N3)、少量油雾废气(G2)。</w:t>
            </w:r>
          </w:p>
          <w:p>
            <w:pPr>
              <w:snapToGrid w:val="0"/>
              <w:spacing w:line="360" w:lineRule="auto"/>
              <w:ind w:firstLine="480" w:firstLineChars="200"/>
              <w:rPr>
                <w:rFonts w:hint="eastAsia"/>
                <w:sz w:val="24"/>
              </w:rPr>
            </w:pPr>
            <w:r>
              <w:rPr>
                <w:rFonts w:hint="eastAsia"/>
                <w:sz w:val="24"/>
              </w:rPr>
              <w:t>渗碳：滚齿后的工件经滲碳炉进行滲碳处理，工件在封闭的滲碳炉中加入气体滲剂(甲醇、乙烷)加热到 920℃，并保温 12-16 小时，在高温下气体滲剂分解出活性碳原子，渗入工件表面，使工件具有高碳钢的高硬度和耐磨性的表面层，滲碳炉采用电能加热，尾气经燃烧后排放，尾气主要是未分解的气体滲剂(甲醇、乙烷)及工件表面附着的少量滚齿油， 为碳氢化合物(G3)，经充分燃烧后产物主要为二氧化碳和水。同时产生噪声(N4)。</w:t>
            </w:r>
          </w:p>
          <w:p>
            <w:pPr>
              <w:snapToGrid w:val="0"/>
              <w:spacing w:line="360" w:lineRule="auto"/>
              <w:ind w:firstLine="480" w:firstLineChars="200"/>
              <w:rPr>
                <w:rFonts w:hint="eastAsia"/>
                <w:sz w:val="24"/>
              </w:rPr>
            </w:pPr>
            <w:r>
              <w:rPr>
                <w:rFonts w:hint="eastAsia"/>
                <w:sz w:val="24"/>
              </w:rPr>
              <w:t>淬火：将渗碳炉中的工件浸入淬火油中快速冷却，从而进一步提高工件的硬度及耐磨性。该过程淬火油挥发产生有机废气(G4)和废淬火油(S4)</w:t>
            </w:r>
          </w:p>
          <w:p>
            <w:pPr>
              <w:snapToGrid w:val="0"/>
              <w:spacing w:line="360" w:lineRule="auto"/>
              <w:ind w:firstLine="480" w:firstLineChars="200"/>
              <w:rPr>
                <w:rFonts w:hint="eastAsia" w:ascii="Tahoma" w:hAnsi="Tahoma" w:eastAsia="宋体" w:cs="Times New Roman"/>
                <w:color w:val="000000"/>
                <w:kern w:val="0"/>
                <w:szCs w:val="21"/>
                <w:lang w:val="en-US" w:eastAsia="zh-CN"/>
              </w:rPr>
            </w:pPr>
            <w:r>
              <w:rPr>
                <w:rFonts w:hint="eastAsia"/>
                <w:sz w:val="24"/>
              </w:rPr>
              <w:t>磨齿：经过淬火的工件再由磨齿机对齿轮进行磨削加工，用以提高齿轮精度和表面光洁度。磨齿在密闭的空间内进行，并使用乳化油冷却润滑，磨齿油经沉淀后循环使用，每年只需补充损耗量，产生</w:t>
            </w:r>
            <w:r>
              <w:rPr>
                <w:rFonts w:hint="eastAsia"/>
                <w:sz w:val="24"/>
                <w:lang w:eastAsia="zh-CN"/>
              </w:rPr>
              <w:t>废乳化液</w:t>
            </w:r>
            <w:r>
              <w:rPr>
                <w:rFonts w:hint="eastAsia"/>
                <w:sz w:val="24"/>
              </w:rPr>
              <w:t>(S5)和噪声(N5)、少量油雾废气(G4)。经磨齿后的工件即为成品</w:t>
            </w:r>
            <w:r>
              <w:rPr>
                <w:rFonts w:hint="eastAsia"/>
                <w:sz w:val="24"/>
                <w:lang w:eastAsia="zh-CN"/>
              </w:rPr>
              <w:t>。</w:t>
            </w:r>
          </w:p>
        </w:tc>
      </w:tr>
    </w:tbl>
    <w:p>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7" w:name="_Toc31206"/>
      <w:r>
        <w:rPr>
          <w:rFonts w:hint="eastAsia" w:ascii="宋体" w:hAnsi="宋体" w:eastAsia="宋体" w:cs="宋体"/>
          <w:b/>
          <w:color w:val="000000"/>
          <w:kern w:val="44"/>
          <w:szCs w:val="21"/>
        </w:rPr>
        <w:t>表三、建设项目变动情况</w:t>
      </w:r>
      <w:bookmarkEnd w:id="6"/>
      <w:bookmarkEnd w:id="7"/>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135"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after="200" w:line="360" w:lineRule="exact"/>
              <w:jc w:val="left"/>
              <w:rPr>
                <w:rFonts w:hint="eastAsia" w:ascii="Times New Roman" w:hAnsi="Times New Roman" w:eastAsia="宋体" w:cs="Times New Roman"/>
                <w:b/>
                <w:bCs/>
                <w:color w:val="000000"/>
                <w:kern w:val="0"/>
                <w:sz w:val="24"/>
                <w:szCs w:val="24"/>
                <w:lang w:eastAsia="zh-CN"/>
              </w:rPr>
            </w:pPr>
            <w:r>
              <w:rPr>
                <w:rFonts w:hint="default" w:ascii="Times New Roman" w:hAnsi="Times New Roman" w:eastAsia="宋体" w:cs="Times New Roman"/>
                <w:b/>
                <w:bCs/>
                <w:color w:val="000000"/>
                <w:kern w:val="0"/>
                <w:sz w:val="24"/>
                <w:szCs w:val="24"/>
              </w:rPr>
              <w:t>项目主要变动情况</w:t>
            </w:r>
            <w:r>
              <w:rPr>
                <w:rFonts w:hint="eastAsia" w:ascii="Times New Roman" w:hAnsi="Times New Roman" w:eastAsia="宋体" w:cs="Times New Roman"/>
                <w:b/>
                <w:bCs/>
                <w:color w:val="000000"/>
                <w:kern w:val="0"/>
                <w:sz w:val="24"/>
                <w:szCs w:val="24"/>
                <w:lang w:eastAsia="zh-CN"/>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本项目属于九个行业以外的其他工业类项目，对照</w:t>
            </w:r>
            <w:r>
              <w:rPr>
                <w:rFonts w:hint="eastAsia" w:ascii="Times New Roman" w:hAnsi="Times New Roman" w:eastAsia="宋体" w:cs="Times New Roman"/>
                <w:sz w:val="24"/>
                <w:szCs w:val="24"/>
                <w:lang w:val="en-US" w:eastAsia="zh-CN"/>
              </w:rPr>
              <w:t>《污染影响类建设项目重大变动清单（试行）》（环办环评函（2020）688号）</w:t>
            </w:r>
            <w:r>
              <w:rPr>
                <w:rFonts w:hint="default" w:ascii="Times New Roman" w:hAnsi="Times New Roman" w:eastAsia="宋体" w:cs="Times New Roman"/>
                <w:sz w:val="24"/>
                <w:szCs w:val="24"/>
              </w:rPr>
              <w:t>分析如下表：</w:t>
            </w:r>
          </w:p>
          <w:p>
            <w:pPr>
              <w:pStyle w:val="12"/>
              <w:spacing w:line="360" w:lineRule="auto"/>
              <w:ind w:firstLine="4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 xml:space="preserve"> 环办环评函[2020]688号本项目对照情况表</w:t>
            </w:r>
          </w:p>
          <w:tbl>
            <w:tblPr>
              <w:tblStyle w:val="8"/>
              <w:tblW w:w="848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13" w:type="dxa"/>
                <w:bottom w:w="0" w:type="dxa"/>
                <w:right w:w="113" w:type="dxa"/>
              </w:tblCellMar>
            </w:tblPr>
            <w:tblGrid>
              <w:gridCol w:w="692"/>
              <w:gridCol w:w="5446"/>
              <w:gridCol w:w="23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430"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序号</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重大变动清单</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本项目对照情况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建设项目开发、使用功能发生变化的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项目未变化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生产、处置或储存能力增大30%及以上的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项目未变化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生产、处置或储存能力增大，导致废水第一类污染物排放量增加的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重新选址；在原厂址附近调整（包括总平面布置变化）导致环境防护距离范围变化且新增敏感点的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5446" w:type="dxa"/>
                  <w:tcBorders>
                    <w:tl2br w:val="nil"/>
                    <w:tr2bl w:val="nil"/>
                  </w:tcBorders>
                  <w:noWrap w:val="0"/>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新增产品品种或生产工艺（含主要生产装置、设备及配套设施）、主要原辅材料、燃料变化，导致以下情形之一：</w:t>
                  </w: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（1）新增排放污染物种类的（毒性、挥发性降低的除外）；</w:t>
                  </w:r>
                </w:p>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（2）位于环境质量不达标区的建设项目相应污染物排放量增加的；</w:t>
                  </w:r>
                </w:p>
                <w:p>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（3）废水第一类污染物排放量增加的；</w:t>
                  </w: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（4）其他污染物排放量增加10%及以上的。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物料运输、装卸、贮存方式变化，导致大气污染物无组织排放量增加10%及以上的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567" w:hRule="atLeast"/>
                <w:jc w:val="center"/>
              </w:trPr>
              <w:tc>
                <w:tcPr>
                  <w:tcW w:w="692" w:type="dxa"/>
                  <w:tcBorders>
                    <w:tl2br w:val="nil"/>
                    <w:tr2bl w:val="nil"/>
                  </w:tcBorders>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w:t>
                  </w:r>
                </w:p>
              </w:tc>
              <w:tc>
                <w:tcPr>
                  <w:tcW w:w="5446" w:type="dxa"/>
                  <w:tcBorders>
                    <w:tl2br w:val="nil"/>
                    <w:tr2bl w:val="nil"/>
                  </w:tcBorders>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废气、废水污染防治措施变化，导致第6条中所列情形之一（废气无组织排放改为有组织排放、污染防治措施强化或改进的除外）或大气污染物无组织排放量增加10%及以上的</w:t>
                  </w:r>
                </w:p>
              </w:tc>
              <w:tc>
                <w:tcPr>
                  <w:tcW w:w="2344" w:type="dxa"/>
                  <w:tcBorders>
                    <w:tl2br w:val="nil"/>
                    <w:tr2bl w:val="nil"/>
                  </w:tcBorders>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项目未变化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新增废水直接排放口；废水由间接排放改为直接排放；废水直接排放口位置变化，导致不利环境影响加重的</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新增废气主要排放口（废气无组织排放改为有组织排放的除外）；主要排放口排气筒高度降低10%及以上的</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噪声、土壤或地下水污染防治措施变化，导致不利环境影响加重的</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bl>
          <w:p>
            <w:pPr>
              <w:widowControl/>
              <w:adjustRightInd w:val="0"/>
              <w:snapToGrid w:val="0"/>
              <w:spacing w:after="200" w:line="240" w:lineRule="auto"/>
              <w:ind w:firstLine="480" w:firstLineChars="200"/>
              <w:jc w:val="left"/>
              <w:rPr>
                <w:rFonts w:ascii="Tahoma" w:hAnsi="Tahoma" w:eastAsia="仿宋_GB2312" w:cs="Times New Roman"/>
                <w:color w:val="000000"/>
                <w:kern w:val="0"/>
                <w:szCs w:val="21"/>
              </w:rPr>
            </w:pPr>
            <w:r>
              <w:rPr>
                <w:rFonts w:hint="default" w:ascii="Times New Roman" w:hAnsi="Times New Roman" w:eastAsia="宋体" w:cs="Times New Roman"/>
                <w:sz w:val="24"/>
              </w:rPr>
              <w:t>由表</w:t>
            </w:r>
            <w:r>
              <w:rPr>
                <w:rFonts w:hint="default" w:ascii="Times New Roman" w:hAnsi="Times New Roman" w:eastAsia="宋体" w:cs="Times New Roman"/>
                <w:sz w:val="24"/>
                <w:lang w:val="en-US" w:eastAsia="zh-CN"/>
              </w:rPr>
              <w:t>3-1</w:t>
            </w:r>
            <w:r>
              <w:rPr>
                <w:rFonts w:hint="default" w:ascii="Times New Roman" w:hAnsi="Times New Roman" w:eastAsia="宋体" w:cs="Times New Roman"/>
                <w:sz w:val="24"/>
              </w:rPr>
              <w:t>可知，根据</w:t>
            </w:r>
            <w:r>
              <w:rPr>
                <w:rFonts w:hint="default" w:ascii="Times New Roman" w:hAnsi="Times New Roman" w:eastAsia="宋体" w:cs="Times New Roman"/>
                <w:sz w:val="24"/>
                <w:szCs w:val="24"/>
                <w:lang w:val="en-US" w:eastAsia="zh-CN"/>
              </w:rPr>
              <w:t>《污染影响类建设项目重大变动清单(试行)》(环办环评函[2020]688号)》</w:t>
            </w:r>
            <w:r>
              <w:rPr>
                <w:rFonts w:hint="default" w:ascii="Times New Roman" w:hAnsi="Times New Roman" w:eastAsia="宋体" w:cs="Times New Roman"/>
                <w:sz w:val="24"/>
              </w:rPr>
              <w:t>，</w:t>
            </w:r>
            <w:r>
              <w:rPr>
                <w:rFonts w:hint="eastAsia" w:ascii="Times New Roman" w:eastAsia="宋体" w:cs="Times New Roman"/>
                <w:sz w:val="24"/>
                <w:lang w:val="en-US" w:eastAsia="zh-CN"/>
              </w:rPr>
              <w:t>吴江吴月齿轮制造有限责任公司年产汽车发动机齿轮10万台（套）项目、新建年产6DL/M 机齿轮8万台套及年产K/F机齿轮6万台套补办项目</w:t>
            </w:r>
            <w:r>
              <w:rPr>
                <w:rFonts w:hint="eastAsia" w:ascii="Times New Roman" w:hAnsi="Times New Roman" w:eastAsia="宋体" w:cs="Times New Roman"/>
                <w:sz w:val="24"/>
                <w:lang w:val="en-US" w:eastAsia="zh-CN"/>
              </w:rPr>
              <w:t>固废部分</w:t>
            </w:r>
            <w:r>
              <w:rPr>
                <w:rFonts w:hint="default" w:ascii="Times New Roman" w:hAnsi="Times New Roman" w:eastAsia="宋体" w:cs="Times New Roman"/>
                <w:sz w:val="24"/>
              </w:rPr>
              <w:t>无重大变动，符合验收要求。</w:t>
            </w:r>
          </w:p>
        </w:tc>
      </w:tr>
    </w:tbl>
    <w:p>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bookmarkStart w:id="8" w:name="_Toc25853"/>
    </w:p>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9" w:name="_Toc11826"/>
      <w:r>
        <w:rPr>
          <w:rFonts w:hint="eastAsia" w:ascii="宋体" w:hAnsi="宋体" w:eastAsia="宋体" w:cs="宋体"/>
          <w:b/>
          <w:color w:val="000000"/>
          <w:kern w:val="44"/>
          <w:szCs w:val="21"/>
        </w:rPr>
        <w:t>表四、主要污染源、污染物处理和排放</w:t>
      </w:r>
      <w:bookmarkEnd w:id="9"/>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18"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主要污染源、污染物处理和排放（附处理流程示意图，标出废水、废气、厂界噪声监测点位）主要污染物产生、处理和排放见表4-1，危险废物产生及处置情况见表4-2。</w:t>
            </w:r>
          </w:p>
          <w:p>
            <w:pPr>
              <w:pStyle w:val="2"/>
              <w:spacing w:line="360" w:lineRule="auto"/>
              <w:ind w:firstLine="482" w:firstLineChars="200"/>
              <w:jc w:val="both"/>
              <w:rPr>
                <w:rFonts w:hint="eastAsia"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kern w:val="2"/>
                <w:sz w:val="24"/>
                <w:szCs w:val="24"/>
                <w:lang w:val="en-US" w:eastAsia="zh-CN" w:bidi="ar-SA"/>
              </w:rPr>
              <w:t>固废：</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color w:val="000000"/>
                <w:sz w:val="24"/>
                <w:szCs w:val="24"/>
              </w:rPr>
              <w:t>本项目产生的固废主要有：边角料、生活垃圾、废淬火油、</w:t>
            </w:r>
            <w:r>
              <w:rPr>
                <w:rFonts w:hint="eastAsia" w:cs="Times New Roman"/>
                <w:b w:val="0"/>
                <w:bCs/>
                <w:color w:val="000000"/>
                <w:sz w:val="24"/>
                <w:szCs w:val="24"/>
                <w:lang w:eastAsia="zh-CN"/>
              </w:rPr>
              <w:t>废乳化液</w:t>
            </w:r>
            <w:r>
              <w:rPr>
                <w:rFonts w:hint="default" w:ascii="Times New Roman" w:hAnsi="Times New Roman" w:eastAsia="宋体" w:cs="Times New Roman"/>
                <w:b w:val="0"/>
                <w:bCs/>
                <w:color w:val="000000"/>
                <w:sz w:val="24"/>
                <w:szCs w:val="24"/>
              </w:rPr>
              <w:t>、废包装桶</w:t>
            </w:r>
            <w:r>
              <w:rPr>
                <w:rFonts w:hint="eastAsia" w:ascii="Times New Roman" w:hAnsi="Times New Roman" w:eastAsia="宋体" w:cs="Times New Roman"/>
                <w:b w:val="0"/>
                <w:bCs w:val="0"/>
                <w:kern w:val="2"/>
                <w:sz w:val="24"/>
                <w:szCs w:val="24"/>
                <w:lang w:val="en-US" w:eastAsia="zh-CN" w:bidi="ar-SA"/>
              </w:rPr>
              <w:t>。</w:t>
            </w:r>
          </w:p>
          <w:p>
            <w:pPr>
              <w:pStyle w:val="2"/>
              <w:ind w:firstLine="480" w:firstLineChars="200"/>
              <w:rPr>
                <w:rFonts w:hint="eastAsia" w:ascii="Times New Roman" w:eastAsia="宋体" w:cs="Times New Roman"/>
                <w:b w:val="0"/>
                <w:bCs w:val="0"/>
                <w:kern w:val="2"/>
                <w:sz w:val="24"/>
                <w:szCs w:val="24"/>
                <w:lang w:val="en-US" w:eastAsia="zh-CN" w:bidi="ar-SA"/>
              </w:rPr>
            </w:pPr>
            <w:r>
              <w:rPr>
                <w:rFonts w:hint="eastAsia" w:ascii="Times New Roman" w:eastAsia="宋体" w:cs="Times New Roman"/>
                <w:b w:val="0"/>
                <w:bCs w:val="0"/>
                <w:kern w:val="2"/>
                <w:sz w:val="24"/>
                <w:szCs w:val="24"/>
                <w:lang w:val="en-US" w:eastAsia="zh-CN" w:bidi="ar-SA"/>
              </w:rPr>
              <w:t>一般固废：</w:t>
            </w:r>
          </w:p>
          <w:p>
            <w:pPr>
              <w:ind w:firstLine="480" w:firstLineChars="200"/>
              <w:rPr>
                <w:rFonts w:hint="eastAsia" w:asci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color w:val="000000"/>
                <w:sz w:val="24"/>
                <w:szCs w:val="24"/>
              </w:rPr>
              <w:t>边角料</w:t>
            </w:r>
            <w:r>
              <w:rPr>
                <w:rFonts w:hint="eastAsia" w:cs="Times New Roman"/>
                <w:b w:val="0"/>
                <w:bCs/>
                <w:color w:val="000000"/>
                <w:sz w:val="24"/>
                <w:szCs w:val="24"/>
                <w:lang w:val="en-US" w:eastAsia="zh-CN"/>
              </w:rPr>
              <w:t>收集外售。</w:t>
            </w:r>
          </w:p>
          <w:p>
            <w:pPr>
              <w:pStyle w:val="2"/>
              <w:ind w:firstLine="480" w:firstLineChars="200"/>
              <w:rPr>
                <w:rFonts w:hint="eastAsia" w:ascii="Times New Roman" w:eastAsia="宋体" w:cs="Times New Roman"/>
                <w:b w:val="0"/>
                <w:bCs w:val="0"/>
                <w:kern w:val="2"/>
                <w:sz w:val="24"/>
                <w:szCs w:val="24"/>
                <w:lang w:val="en-US" w:eastAsia="zh-CN" w:bidi="ar-SA"/>
              </w:rPr>
            </w:pPr>
            <w:r>
              <w:rPr>
                <w:rFonts w:hint="eastAsia" w:ascii="Times New Roman" w:eastAsia="宋体" w:cs="Times New Roman"/>
                <w:b w:val="0"/>
                <w:bCs w:val="0"/>
                <w:kern w:val="2"/>
                <w:sz w:val="24"/>
                <w:szCs w:val="24"/>
                <w:lang w:val="en-US" w:eastAsia="zh-CN" w:bidi="ar-SA"/>
              </w:rPr>
              <w:t>危险废物：</w:t>
            </w:r>
          </w:p>
          <w:p>
            <w:pPr>
              <w:ind w:firstLine="480" w:firstLineChars="200"/>
              <w:rPr>
                <w:rFonts w:hint="eastAsia" w:cs="Times New Roman"/>
                <w:b w:val="0"/>
                <w:bCs/>
                <w:color w:val="000000"/>
                <w:sz w:val="24"/>
                <w:szCs w:val="24"/>
                <w:lang w:eastAsia="zh-CN"/>
              </w:rPr>
            </w:pPr>
            <w:r>
              <w:rPr>
                <w:rFonts w:hint="default" w:ascii="Times New Roman" w:hAnsi="Times New Roman" w:eastAsia="宋体" w:cs="Times New Roman"/>
                <w:b w:val="0"/>
                <w:bCs/>
                <w:color w:val="000000"/>
                <w:sz w:val="24"/>
                <w:szCs w:val="24"/>
              </w:rPr>
              <w:t>废淬火油</w:t>
            </w:r>
            <w:r>
              <w:rPr>
                <w:rFonts w:hint="eastAsia" w:cs="Times New Roman"/>
                <w:b w:val="0"/>
                <w:bCs/>
                <w:color w:val="000000"/>
                <w:sz w:val="24"/>
                <w:szCs w:val="24"/>
                <w:lang w:eastAsia="zh-CN"/>
              </w:rPr>
              <w:t>、</w:t>
            </w:r>
            <w:r>
              <w:rPr>
                <w:rFonts w:hint="eastAsia" w:cs="Times New Roman"/>
                <w:b w:val="0"/>
                <w:bCs/>
                <w:color w:val="000000"/>
                <w:sz w:val="24"/>
                <w:szCs w:val="24"/>
                <w:lang w:val="en-US" w:eastAsia="zh-CN"/>
              </w:rPr>
              <w:t>废矿物油</w:t>
            </w:r>
            <w:r>
              <w:rPr>
                <w:rFonts w:hint="default" w:ascii="Times New Roman" w:hAnsi="Times New Roman" w:eastAsia="宋体" w:cs="Times New Roman"/>
                <w:b w:val="0"/>
                <w:bCs/>
                <w:color w:val="000000"/>
                <w:sz w:val="24"/>
                <w:szCs w:val="24"/>
              </w:rPr>
              <w:t>、</w:t>
            </w:r>
            <w:r>
              <w:rPr>
                <w:rFonts w:hint="eastAsia" w:cs="Times New Roman"/>
                <w:b w:val="0"/>
                <w:bCs/>
                <w:color w:val="000000"/>
                <w:sz w:val="24"/>
                <w:szCs w:val="24"/>
                <w:lang w:eastAsia="zh-CN"/>
              </w:rPr>
              <w:t>废乳化液</w:t>
            </w:r>
            <w:r>
              <w:rPr>
                <w:rFonts w:hint="default" w:ascii="Times New Roman" w:hAnsi="Times New Roman" w:eastAsia="宋体" w:cs="Times New Roman"/>
                <w:b w:val="0"/>
                <w:bCs/>
                <w:color w:val="000000"/>
                <w:sz w:val="24"/>
                <w:szCs w:val="24"/>
              </w:rPr>
              <w:t>委托常州市锦云工业废弃物处理有限公司处置</w:t>
            </w:r>
            <w:r>
              <w:rPr>
                <w:rFonts w:hint="eastAsia" w:cs="Times New Roman"/>
                <w:b w:val="0"/>
                <w:bCs/>
                <w:color w:val="000000"/>
                <w:sz w:val="24"/>
                <w:szCs w:val="24"/>
                <w:lang w:eastAsia="zh-CN"/>
              </w:rPr>
              <w:t>。</w:t>
            </w:r>
          </w:p>
          <w:p>
            <w:pPr>
              <w:ind w:firstLine="480" w:firstLineChars="200"/>
              <w:rPr>
                <w:rFonts w:hint="eastAsia" w:eastAsia="宋体"/>
                <w:lang w:val="en-US" w:eastAsia="zh-CN"/>
              </w:rPr>
            </w:pPr>
            <w:r>
              <w:rPr>
                <w:rFonts w:hint="default" w:ascii="Times New Roman" w:hAnsi="Times New Roman" w:eastAsia="宋体" w:cs="Times New Roman"/>
                <w:b w:val="0"/>
                <w:bCs/>
                <w:color w:val="000000"/>
                <w:sz w:val="24"/>
                <w:szCs w:val="24"/>
              </w:rPr>
              <w:t>废包装桶委托南通海之阳环保工程技术有限公司</w:t>
            </w:r>
            <w:r>
              <w:rPr>
                <w:rFonts w:hint="eastAsia" w:cs="Times New Roman"/>
                <w:b w:val="0"/>
                <w:bCs/>
                <w:color w:val="000000"/>
                <w:sz w:val="24"/>
                <w:szCs w:val="24"/>
                <w:lang w:val="en-US" w:eastAsia="zh-CN"/>
              </w:rPr>
              <w:t>处置。</w:t>
            </w:r>
          </w:p>
          <w:p>
            <w:pPr>
              <w:ind w:firstLine="480" w:firstLineChars="200"/>
              <w:rPr>
                <w:rFonts w:hint="eastAsia" w:cs="Times New Roman"/>
                <w:b w:val="0"/>
                <w:bCs w:val="0"/>
                <w:kern w:val="2"/>
                <w:sz w:val="24"/>
                <w:szCs w:val="24"/>
                <w:lang w:val="en-US" w:eastAsia="zh-CN" w:bidi="ar-SA"/>
              </w:rPr>
            </w:pPr>
            <w:r>
              <w:rPr>
                <w:rFonts w:hint="eastAsia" w:cs="Times New Roman"/>
                <w:b w:val="0"/>
                <w:bCs w:val="0"/>
                <w:kern w:val="2"/>
                <w:sz w:val="24"/>
                <w:szCs w:val="24"/>
                <w:lang w:val="en-US" w:eastAsia="zh-CN" w:bidi="ar-SA"/>
              </w:rPr>
              <w:t>生活垃圾：</w:t>
            </w:r>
          </w:p>
          <w:p>
            <w:pPr>
              <w:pStyle w:val="2"/>
              <w:ind w:firstLine="480" w:firstLineChars="200"/>
              <w:rPr>
                <w:rFonts w:hint="default"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生活垃圾</w:t>
            </w:r>
            <w:r>
              <w:rPr>
                <w:rFonts w:hint="eastAsia" w:ascii="Times New Roman" w:eastAsia="宋体" w:cs="Times New Roman"/>
                <w:b w:val="0"/>
                <w:bCs/>
                <w:color w:val="000000"/>
                <w:kern w:val="2"/>
                <w:sz w:val="24"/>
                <w:szCs w:val="24"/>
                <w:lang w:val="en-US" w:eastAsia="zh-CN" w:bidi="ar-SA"/>
              </w:rPr>
              <w:t>委托苏州吴江洁美家园物业管理有限公司定期清运处理。</w:t>
            </w:r>
          </w:p>
          <w:p>
            <w:pPr>
              <w:widowControl/>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 xml:space="preserve">4-1  </w:t>
            </w:r>
            <w:r>
              <w:rPr>
                <w:rFonts w:hint="eastAsia" w:ascii="Times New Roman" w:hAnsi="Times New Roman" w:eastAsia="宋体" w:cs="Times New Roman"/>
                <w:kern w:val="0"/>
                <w:szCs w:val="21"/>
              </w:rPr>
              <w:t>污染物产生及处理情况表</w:t>
            </w:r>
          </w:p>
          <w:tbl>
            <w:tblPr>
              <w:tblStyle w:val="8"/>
              <w:tblW w:w="870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678"/>
              <w:gridCol w:w="1226"/>
              <w:gridCol w:w="1648"/>
              <w:gridCol w:w="2625"/>
              <w:gridCol w:w="2531"/>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13" w:hRule="atLeast"/>
              </w:trPr>
              <w:tc>
                <w:tcPr>
                  <w:tcW w:w="1904" w:type="dxa"/>
                  <w:gridSpan w:val="2"/>
                  <w:vMerge w:val="restart"/>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生产设施</w:t>
                  </w:r>
                  <w:r>
                    <w:rPr>
                      <w:rFonts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rPr>
                    <w:t>排放源</w:t>
                  </w:r>
                </w:p>
              </w:tc>
              <w:tc>
                <w:tcPr>
                  <w:tcW w:w="1648" w:type="dxa"/>
                  <w:vMerge w:val="restart"/>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主要污染物</w:t>
                  </w:r>
                </w:p>
              </w:tc>
              <w:tc>
                <w:tcPr>
                  <w:tcW w:w="5156" w:type="dxa"/>
                  <w:gridSpan w:val="2"/>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处理设施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80" w:hRule="atLeast"/>
              </w:trPr>
              <w:tc>
                <w:tcPr>
                  <w:tcW w:w="1904" w:type="dxa"/>
                  <w:gridSpan w:val="2"/>
                  <w:vMerge w:val="continue"/>
                  <w:tcBorders>
                    <w:tl2br w:val="nil"/>
                    <w:tr2bl w:val="nil"/>
                  </w:tcBorders>
                  <w:noWrap w:val="0"/>
                  <w:vAlign w:val="center"/>
                </w:tcPr>
                <w:p>
                  <w:pPr>
                    <w:widowControl/>
                    <w:spacing w:line="240" w:lineRule="auto"/>
                    <w:jc w:val="left"/>
                    <w:rPr>
                      <w:rFonts w:ascii="Times New Roman" w:hAnsi="Times New Roman" w:eastAsia="宋体" w:cs="Times New Roman"/>
                      <w:color w:val="000000"/>
                      <w:kern w:val="0"/>
                      <w:sz w:val="21"/>
                      <w:szCs w:val="21"/>
                    </w:rPr>
                  </w:pPr>
                </w:p>
              </w:tc>
              <w:tc>
                <w:tcPr>
                  <w:tcW w:w="1648" w:type="dxa"/>
                  <w:vMerge w:val="continue"/>
                  <w:tcBorders>
                    <w:tl2br w:val="nil"/>
                    <w:tr2bl w:val="nil"/>
                  </w:tcBorders>
                  <w:noWrap w:val="0"/>
                  <w:vAlign w:val="center"/>
                </w:tcPr>
                <w:p>
                  <w:pPr>
                    <w:widowControl/>
                    <w:spacing w:line="240" w:lineRule="auto"/>
                    <w:jc w:val="left"/>
                    <w:rPr>
                      <w:rFonts w:ascii="Times New Roman" w:hAnsi="Times New Roman" w:eastAsia="宋体" w:cs="Times New Roman"/>
                      <w:color w:val="000000"/>
                      <w:kern w:val="0"/>
                      <w:sz w:val="21"/>
                      <w:szCs w:val="21"/>
                    </w:rPr>
                  </w:pPr>
                </w:p>
              </w:tc>
              <w:tc>
                <w:tcPr>
                  <w:tcW w:w="2625" w:type="dxa"/>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rPr>
                    <w:t>环评</w:t>
                  </w:r>
                  <w:r>
                    <w:rPr>
                      <w:rFonts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rPr>
                    <w:t>初步设计要求</w:t>
                  </w:r>
                </w:p>
              </w:tc>
              <w:tc>
                <w:tcPr>
                  <w:tcW w:w="2531" w:type="dxa"/>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实际建设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trPr>
              <w:tc>
                <w:tcPr>
                  <w:tcW w:w="678" w:type="dxa"/>
                  <w:vMerge w:val="restart"/>
                  <w:tcBorders>
                    <w:tl2br w:val="nil"/>
                    <w:tr2bl w:val="nil"/>
                  </w:tcBorders>
                  <w:noWrap w:val="0"/>
                  <w:vAlign w:val="center"/>
                </w:tcPr>
                <w:p>
                  <w:pPr>
                    <w:widowControl/>
                    <w:adjustRightInd w:val="0"/>
                    <w:snapToGrid w:val="0"/>
                    <w:spacing w:line="240" w:lineRule="auto"/>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固废</w:t>
                  </w:r>
                </w:p>
              </w:tc>
              <w:tc>
                <w:tcPr>
                  <w:tcW w:w="1226" w:type="dxa"/>
                  <w:tcBorders>
                    <w:tl2br w:val="nil"/>
                    <w:tr2bl w:val="nil"/>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一般固废</w:t>
                  </w:r>
                </w:p>
              </w:tc>
              <w:tc>
                <w:tcPr>
                  <w:tcW w:w="1648" w:type="dxa"/>
                  <w:tcBorders>
                    <w:tl2br w:val="nil"/>
                    <w:tr2bl w:val="nil"/>
                  </w:tcBorders>
                  <w:noWrap w:val="0"/>
                  <w:vAlign w:val="center"/>
                </w:tcPr>
                <w:p>
                  <w:pPr>
                    <w:spacing w:line="240" w:lineRule="auto"/>
                    <w:jc w:val="center"/>
                    <w:rPr>
                      <w:rFonts w:hint="eastAsia" w:ascii="Times New Roman" w:hAnsi="Times New Roman" w:eastAsia="宋体" w:cs="Times New Roman"/>
                      <w:szCs w:val="21"/>
                      <w:lang w:val="en-US" w:eastAsia="zh-CN"/>
                    </w:rPr>
                  </w:pPr>
                  <w:r>
                    <w:rPr>
                      <w:rFonts w:ascii="Times New Roman" w:hAnsi="Times New Roman" w:cs="Times New Roman"/>
                      <w:szCs w:val="21"/>
                    </w:rPr>
                    <w:t>废</w:t>
                  </w:r>
                  <w:r>
                    <w:rPr>
                      <w:rFonts w:hint="eastAsia" w:cs="Times New Roman"/>
                      <w:szCs w:val="21"/>
                      <w:lang w:val="en-US" w:eastAsia="zh-CN"/>
                    </w:rPr>
                    <w:t>边角料</w:t>
                  </w:r>
                </w:p>
              </w:tc>
              <w:tc>
                <w:tcPr>
                  <w:tcW w:w="2625" w:type="dxa"/>
                  <w:tcBorders>
                    <w:tl2br w:val="nil"/>
                    <w:tr2bl w:val="nil"/>
                  </w:tcBorders>
                  <w:noWrap w:val="0"/>
                  <w:vAlign w:val="center"/>
                </w:tcPr>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收集外售</w:t>
                  </w:r>
                </w:p>
              </w:tc>
              <w:tc>
                <w:tcPr>
                  <w:tcW w:w="2531" w:type="dxa"/>
                  <w:tcBorders>
                    <w:tl2br w:val="nil"/>
                    <w:tr2bl w:val="nil"/>
                  </w:tcBorders>
                  <w:noWrap w:val="0"/>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9" w:hRule="atLeast"/>
              </w:trPr>
              <w:tc>
                <w:tcPr>
                  <w:tcW w:w="678" w:type="dxa"/>
                  <w:vMerge w:val="continue"/>
                  <w:tcBorders>
                    <w:tl2br w:val="nil"/>
                    <w:tr2bl w:val="nil"/>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1226" w:type="dxa"/>
                  <w:vMerge w:val="restar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危险废物</w:t>
                  </w:r>
                </w:p>
              </w:tc>
              <w:tc>
                <w:tcPr>
                  <w:tcW w:w="1648" w:type="dxa"/>
                  <w:tcBorders>
                    <w:tl2br w:val="nil"/>
                    <w:tr2bl w:val="nil"/>
                  </w:tcBorders>
                  <w:noWrap w:val="0"/>
                  <w:vAlign w:val="center"/>
                </w:tcPr>
                <w:p>
                  <w:pPr>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szCs w:val="21"/>
                    </w:rPr>
                    <w:t>废淬火油</w:t>
                  </w:r>
                </w:p>
              </w:tc>
              <w:tc>
                <w:tcPr>
                  <w:tcW w:w="2625" w:type="dxa"/>
                  <w:vMerge w:val="restart"/>
                  <w:tcBorders>
                    <w:tl2br w:val="nil"/>
                    <w:tr2bl w:val="nil"/>
                  </w:tcBorders>
                  <w:noWrap w:val="0"/>
                  <w:vAlign w:val="center"/>
                </w:tcPr>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委托有资质单位处置</w:t>
                  </w:r>
                </w:p>
              </w:tc>
              <w:tc>
                <w:tcPr>
                  <w:tcW w:w="2531" w:type="dxa"/>
                  <w:vMerge w:val="restart"/>
                  <w:tcBorders>
                    <w:tl2br w:val="nil"/>
                    <w:tr2bl w:val="nil"/>
                  </w:tcBorders>
                  <w:noWrap w:val="0"/>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委托</w:t>
                  </w:r>
                  <w:r>
                    <w:rPr>
                      <w:rFonts w:hint="eastAsia" w:cs="Times New Roman"/>
                      <w:szCs w:val="21"/>
                      <w:lang w:val="en-US" w:eastAsia="zh-CN"/>
                    </w:rPr>
                    <w:t>常州市锦云工业废弃物处理</w:t>
                  </w:r>
                  <w:r>
                    <w:rPr>
                      <w:rFonts w:hint="eastAsia" w:ascii="Times New Roman" w:hAnsi="Times New Roman" w:cs="Times New Roman"/>
                      <w:szCs w:val="21"/>
                      <w:lang w:val="en-US" w:eastAsia="zh-CN"/>
                    </w:rPr>
                    <w:t>有限公司处置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9" w:hRule="atLeast"/>
              </w:trPr>
              <w:tc>
                <w:tcPr>
                  <w:tcW w:w="678" w:type="dxa"/>
                  <w:vMerge w:val="continue"/>
                  <w:tcBorders/>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1226" w:type="dxa"/>
                  <w:vMerge w:val="continue"/>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0" w:type="auto"/>
                  <w:vAlign w:val="center"/>
                </w:tcPr>
                <w:p>
                  <w:pPr>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废矿物油</w:t>
                  </w:r>
                </w:p>
              </w:tc>
              <w:tc>
                <w:tcPr>
                  <w:tcW w:w="2625" w:type="dxa"/>
                  <w:vMerge w:val="continue"/>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2531" w:type="dxa"/>
                  <w:vMerge w:val="continue"/>
                  <w:tcBorders/>
                  <w:vAlign w:val="center"/>
                </w:tcPr>
                <w:p>
                  <w:pPr>
                    <w:snapToGrid w:val="0"/>
                    <w:spacing w:line="240" w:lineRule="auto"/>
                    <w:jc w:val="center"/>
                    <w:rPr>
                      <w:rFonts w:hint="eastAsia" w:ascii="Times New Roman" w:hAnsi="Times New Roman" w:eastAsia="宋体" w:cs="Times New Roman"/>
                      <w:color w:val="FF0000"/>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9" w:hRule="atLeast"/>
              </w:trPr>
              <w:tc>
                <w:tcPr>
                  <w:tcW w:w="678" w:type="dxa"/>
                  <w:vMerge w:val="continue"/>
                  <w:tcBorders/>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1226" w:type="dxa"/>
                  <w:vMerge w:val="continue"/>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0" w:type="auto"/>
                  <w:vAlign w:val="center"/>
                </w:tcPr>
                <w:p>
                  <w:pPr>
                    <w:spacing w:line="240" w:lineRule="auto"/>
                    <w:jc w:val="center"/>
                    <w:rPr>
                      <w:rFonts w:hint="eastAsia" w:ascii="Times New Roman" w:hAnsi="Times New Roman" w:eastAsia="宋体" w:cs="Times New Roman"/>
                      <w:szCs w:val="21"/>
                      <w:lang w:val="en-US" w:eastAsia="zh-CN"/>
                    </w:rPr>
                  </w:pPr>
                  <w:r>
                    <w:rPr>
                      <w:rFonts w:hint="eastAsia" w:cs="Times New Roman"/>
                      <w:szCs w:val="21"/>
                      <w:lang w:eastAsia="zh-CN"/>
                    </w:rPr>
                    <w:t>废乳化液</w:t>
                  </w:r>
                </w:p>
              </w:tc>
              <w:tc>
                <w:tcPr>
                  <w:tcW w:w="2625" w:type="dxa"/>
                  <w:vMerge w:val="continue"/>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2531" w:type="dxa"/>
                  <w:vMerge w:val="continue"/>
                  <w:tcBorders/>
                  <w:vAlign w:val="center"/>
                </w:tcPr>
                <w:p>
                  <w:pPr>
                    <w:snapToGrid w:val="0"/>
                    <w:spacing w:line="240" w:lineRule="auto"/>
                    <w:jc w:val="center"/>
                    <w:rPr>
                      <w:rFonts w:hint="eastAsia" w:ascii="Times New Roman" w:hAnsi="Times New Roman" w:eastAsia="宋体" w:cs="Times New Roman"/>
                      <w:color w:val="FF0000"/>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9" w:hRule="atLeast"/>
              </w:trPr>
              <w:tc>
                <w:tcPr>
                  <w:tcW w:w="678" w:type="dxa"/>
                  <w:vMerge w:val="continue"/>
                  <w:tcBorders/>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1226" w:type="dxa"/>
                  <w:vMerge w:val="continue"/>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szCs w:val="21"/>
                    </w:rPr>
                    <w:t>废包装桶</w:t>
                  </w:r>
                </w:p>
              </w:tc>
              <w:tc>
                <w:tcPr>
                  <w:tcW w:w="2625" w:type="dxa"/>
                  <w:vMerge w:val="continue"/>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2531" w:type="dxa"/>
                  <w:vAlign w:val="center"/>
                </w:tcPr>
                <w:p>
                  <w:pPr>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委托南通海之阳环保工程技术有限公司</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89" w:hRule="atLeast"/>
              </w:trPr>
              <w:tc>
                <w:tcPr>
                  <w:tcW w:w="678" w:type="dxa"/>
                  <w:vMerge w:val="continue"/>
                  <w:tcBorders/>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p>
              </w:tc>
              <w:tc>
                <w:tcPr>
                  <w:tcW w:w="1226" w:type="dxa"/>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生活垃圾</w:t>
                  </w:r>
                </w:p>
              </w:tc>
              <w:tc>
                <w:tcPr>
                  <w:tcW w:w="0" w:type="auto"/>
                  <w:vAlign w:val="center"/>
                </w:tcPr>
                <w:p>
                  <w:pPr>
                    <w:spacing w:line="240" w:lineRule="auto"/>
                    <w:jc w:val="center"/>
                    <w:rPr>
                      <w:szCs w:val="21"/>
                    </w:rPr>
                  </w:pPr>
                  <w:r>
                    <w:rPr>
                      <w:rFonts w:hint="eastAsia" w:cs="Times New Roman"/>
                      <w:color w:val="000000"/>
                      <w:kern w:val="0"/>
                      <w:sz w:val="21"/>
                      <w:szCs w:val="21"/>
                      <w:lang w:val="en-US" w:eastAsia="zh-CN"/>
                    </w:rPr>
                    <w:t>生活垃圾</w:t>
                  </w:r>
                </w:p>
              </w:tc>
              <w:tc>
                <w:tcPr>
                  <w:tcW w:w="2625" w:type="dxa"/>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委托环卫处置</w:t>
                  </w:r>
                </w:p>
              </w:tc>
              <w:tc>
                <w:tcPr>
                  <w:tcW w:w="2531" w:type="dxa"/>
                  <w:vAlign w:val="center"/>
                </w:tcPr>
                <w:p>
                  <w:pPr>
                    <w:snapToGrid w:val="0"/>
                    <w:spacing w:line="240" w:lineRule="auto"/>
                    <w:jc w:val="center"/>
                    <w:rPr>
                      <w:rFonts w:hint="eastAsia" w:cs="Times New Roman"/>
                      <w:kern w:val="2"/>
                      <w:sz w:val="21"/>
                      <w:szCs w:val="21"/>
                      <w:lang w:val="en-US" w:eastAsia="zh-CN" w:bidi="ar-SA"/>
                    </w:rPr>
                  </w:pPr>
                  <w:r>
                    <w:rPr>
                      <w:rFonts w:hint="eastAsia" w:cs="Times New Roman"/>
                      <w:kern w:val="2"/>
                      <w:sz w:val="21"/>
                      <w:szCs w:val="21"/>
                      <w:lang w:val="en-US" w:eastAsia="zh-CN" w:bidi="ar-SA"/>
                    </w:rPr>
                    <w:t>委托苏州吴江洁美家园物业管理有限公司定期清运处理</w:t>
                  </w:r>
                </w:p>
              </w:tc>
            </w:tr>
          </w:tbl>
          <w:p>
            <w:pPr>
              <w:pStyle w:val="2"/>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eastAsia="宋体" w:cs="Times New Roman"/>
                <w:kern w:val="2"/>
                <w:sz w:val="24"/>
                <w:szCs w:val="24"/>
                <w:lang w:val="en-US" w:eastAsia="zh-CN" w:bidi="ar-SA"/>
              </w:rPr>
              <w:t>注：环评中未提及废矿物油产生情况，实际年产生废矿物油约 4t/a； 另外，废淬火油、废乳化液、废包装桶实际产生量较环评估算量有一定减少。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18"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 xml:space="preserve">4-2 </w:t>
            </w:r>
            <w:r>
              <w:rPr>
                <w:rFonts w:hint="eastAsia" w:ascii="Times New Roman" w:hAnsi="Times New Roman" w:eastAsia="宋体" w:cs="Times New Roman"/>
                <w:kern w:val="0"/>
                <w:szCs w:val="21"/>
                <w:lang w:val="en-US" w:eastAsia="zh-CN"/>
              </w:rPr>
              <w:t>固体</w:t>
            </w:r>
            <w:r>
              <w:rPr>
                <w:rFonts w:hint="eastAsia" w:ascii="Times New Roman" w:hAnsi="Times New Roman" w:eastAsia="宋体" w:cs="Times New Roman"/>
                <w:kern w:val="0"/>
                <w:szCs w:val="21"/>
              </w:rPr>
              <w:t>废物产生及处置情况</w:t>
            </w:r>
          </w:p>
          <w:tbl>
            <w:tblPr>
              <w:tblStyle w:val="8"/>
              <w:tblW w:w="875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03"/>
              <w:gridCol w:w="833"/>
              <w:gridCol w:w="2667"/>
              <w:gridCol w:w="1433"/>
              <w:gridCol w:w="231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1503" w:type="dxa"/>
                  <w:vMerge w:val="restart"/>
                  <w:tcBorders>
                    <w:tl2br w:val="nil"/>
                    <w:tr2bl w:val="nil"/>
                  </w:tcBorders>
                  <w:vAlign w:val="center"/>
                </w:tcPr>
                <w:p>
                  <w:pPr>
                    <w:widowControl/>
                    <w:adjustRightInd w:val="0"/>
                    <w:snapToGrid w:val="0"/>
                    <w:spacing w:line="240" w:lineRule="auto"/>
                    <w:jc w:val="center"/>
                    <w:rPr>
                      <w:rFonts w:ascii="宋体" w:hAnsi="宋体" w:eastAsia="宋体" w:cs="宋体"/>
                      <w:bCs/>
                      <w:kern w:val="0"/>
                      <w:szCs w:val="21"/>
                    </w:rPr>
                  </w:pPr>
                  <w:r>
                    <w:rPr>
                      <w:rFonts w:hint="eastAsia" w:ascii="宋体" w:hAnsi="宋体" w:eastAsia="宋体" w:cs="宋体"/>
                      <w:bCs/>
                      <w:kern w:val="0"/>
                      <w:szCs w:val="21"/>
                    </w:rPr>
                    <w:t>固废</w:t>
                  </w:r>
                </w:p>
                <w:p>
                  <w:pPr>
                    <w:widowControl/>
                    <w:adjustRightInd w:val="0"/>
                    <w:snapToGrid w:val="0"/>
                    <w:spacing w:line="240" w:lineRule="auto"/>
                    <w:jc w:val="center"/>
                    <w:rPr>
                      <w:rFonts w:hint="eastAsia" w:ascii="宋体" w:hAnsi="宋体" w:eastAsia="宋体" w:cs="宋体"/>
                      <w:bCs/>
                      <w:kern w:val="0"/>
                      <w:szCs w:val="21"/>
                    </w:rPr>
                  </w:pPr>
                  <w:r>
                    <w:rPr>
                      <w:rFonts w:hint="eastAsia" w:ascii="宋体" w:hAnsi="宋体" w:eastAsia="宋体" w:cs="宋体"/>
                      <w:bCs/>
                      <w:kern w:val="0"/>
                      <w:szCs w:val="21"/>
                    </w:rPr>
                    <w:t>名称</w:t>
                  </w:r>
                </w:p>
              </w:tc>
              <w:tc>
                <w:tcPr>
                  <w:tcW w:w="833" w:type="dxa"/>
                  <w:vMerge w:val="restart"/>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lang w:val="en-US" w:eastAsia="zh-CN"/>
                    </w:rPr>
                  </w:pPr>
                  <w:r>
                    <w:rPr>
                      <w:rFonts w:hint="eastAsia" w:ascii="宋体" w:hAnsi="宋体" w:eastAsia="宋体" w:cs="宋体"/>
                      <w:bCs/>
                      <w:kern w:val="0"/>
                      <w:szCs w:val="21"/>
                      <w:lang w:val="en-US" w:eastAsia="zh-CN"/>
                    </w:rPr>
                    <w:t>类别</w:t>
                  </w:r>
                </w:p>
              </w:tc>
              <w:tc>
                <w:tcPr>
                  <w:tcW w:w="2667" w:type="dxa"/>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rPr>
                  </w:pPr>
                  <w:r>
                    <w:rPr>
                      <w:rFonts w:hint="eastAsia" w:ascii="宋体" w:hAnsi="宋体" w:eastAsia="宋体" w:cs="宋体"/>
                      <w:bCs/>
                      <w:kern w:val="0"/>
                      <w:szCs w:val="21"/>
                    </w:rPr>
                    <w:t>环评阶段</w:t>
                  </w:r>
                </w:p>
              </w:tc>
              <w:tc>
                <w:tcPr>
                  <w:tcW w:w="1433" w:type="dxa"/>
                  <w:vMerge w:val="restart"/>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lang w:val="en-US" w:eastAsia="zh-CN"/>
                    </w:rPr>
                  </w:pPr>
                  <w:r>
                    <w:rPr>
                      <w:rFonts w:hint="eastAsia" w:ascii="宋体" w:hAnsi="宋体" w:eastAsia="宋体" w:cs="宋体"/>
                      <w:bCs/>
                      <w:kern w:val="0"/>
                      <w:szCs w:val="21"/>
                      <w:lang w:val="en-US" w:eastAsia="zh-CN"/>
                    </w:rPr>
                    <w:t>预估</w:t>
                  </w:r>
                  <w:r>
                    <w:rPr>
                      <w:rFonts w:hint="eastAsia" w:ascii="宋体" w:hAnsi="宋体" w:cs="宋体"/>
                      <w:bCs/>
                      <w:kern w:val="0"/>
                      <w:szCs w:val="21"/>
                      <w:lang w:val="en-US" w:eastAsia="zh-CN"/>
                    </w:rPr>
                    <w:t>年</w:t>
                  </w:r>
                  <w:r>
                    <w:rPr>
                      <w:rFonts w:hint="eastAsia" w:ascii="宋体" w:hAnsi="宋体" w:eastAsia="宋体" w:cs="宋体"/>
                      <w:bCs/>
                      <w:kern w:val="0"/>
                      <w:szCs w:val="21"/>
                    </w:rPr>
                    <w:t>产生量</w:t>
                  </w:r>
                  <w:r>
                    <w:rPr>
                      <w:rFonts w:hint="eastAsia" w:ascii="Times New Roman" w:hAnsi="Times New Roman" w:eastAsia="宋体" w:cs="Times New Roman"/>
                      <w:bCs/>
                      <w:kern w:val="0"/>
                      <w:szCs w:val="21"/>
                    </w:rPr>
                    <w:t>（</w:t>
                  </w:r>
                  <w:r>
                    <w:rPr>
                      <w:rFonts w:ascii="Times New Roman" w:hAnsi="Times New Roman" w:eastAsia="宋体" w:cs="Times New Roman"/>
                      <w:bCs/>
                      <w:kern w:val="0"/>
                      <w:szCs w:val="21"/>
                    </w:rPr>
                    <w:t>t/a</w:t>
                  </w:r>
                  <w:r>
                    <w:rPr>
                      <w:rFonts w:hint="eastAsia" w:ascii="Times New Roman" w:hAnsi="Times New Roman" w:eastAsia="宋体" w:cs="Times New Roman"/>
                      <w:bCs/>
                      <w:kern w:val="0"/>
                      <w:szCs w:val="21"/>
                    </w:rPr>
                    <w:t>）</w:t>
                  </w:r>
                </w:p>
              </w:tc>
              <w:tc>
                <w:tcPr>
                  <w:tcW w:w="2319" w:type="dxa"/>
                  <w:vMerge w:val="restart"/>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lang w:val="en-US" w:eastAsia="zh-CN"/>
                    </w:rPr>
                  </w:pPr>
                  <w:r>
                    <w:rPr>
                      <w:rFonts w:hint="eastAsia" w:ascii="宋体" w:hAnsi="宋体" w:cs="宋体"/>
                      <w:bCs/>
                      <w:kern w:val="0"/>
                      <w:szCs w:val="21"/>
                      <w:lang w:val="en-US" w:eastAsia="zh-CN"/>
                    </w:rPr>
                    <w:t>处置去向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616" w:hRule="atLeast"/>
                <w:jc w:val="center"/>
              </w:trPr>
              <w:tc>
                <w:tcPr>
                  <w:tcW w:w="1503" w:type="dxa"/>
                  <w:vMerge w:val="continue"/>
                  <w:tcBorders>
                    <w:tl2br w:val="nil"/>
                    <w:tr2bl w:val="nil"/>
                  </w:tcBorders>
                  <w:vAlign w:val="center"/>
                </w:tcPr>
                <w:p>
                  <w:pPr>
                    <w:widowControl/>
                    <w:spacing w:line="240" w:lineRule="auto"/>
                    <w:jc w:val="left"/>
                    <w:rPr>
                      <w:rFonts w:ascii="宋体" w:hAnsi="宋体" w:eastAsia="宋体" w:cs="宋体"/>
                      <w:bCs/>
                      <w:kern w:val="0"/>
                      <w:szCs w:val="21"/>
                    </w:rPr>
                  </w:pPr>
                </w:p>
              </w:tc>
              <w:tc>
                <w:tcPr>
                  <w:tcW w:w="833" w:type="dxa"/>
                  <w:vMerge w:val="continue"/>
                  <w:tcBorders>
                    <w:tl2br w:val="nil"/>
                    <w:tr2bl w:val="nil"/>
                  </w:tcBorders>
                  <w:vAlign w:val="center"/>
                </w:tcPr>
                <w:p>
                  <w:pPr>
                    <w:widowControl/>
                    <w:spacing w:line="240" w:lineRule="auto"/>
                    <w:jc w:val="left"/>
                    <w:rPr>
                      <w:rFonts w:ascii="宋体" w:hAnsi="宋体" w:eastAsia="宋体" w:cs="宋体"/>
                      <w:bCs/>
                      <w:kern w:val="0"/>
                      <w:szCs w:val="21"/>
                    </w:rPr>
                  </w:pPr>
                </w:p>
              </w:tc>
              <w:tc>
                <w:tcPr>
                  <w:tcW w:w="2667" w:type="dxa"/>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rPr>
                  </w:pPr>
                  <w:r>
                    <w:rPr>
                      <w:rFonts w:hint="eastAsia" w:ascii="宋体" w:hAnsi="宋体" w:eastAsia="宋体" w:cs="宋体"/>
                      <w:bCs/>
                      <w:kern w:val="0"/>
                      <w:szCs w:val="21"/>
                    </w:rPr>
                    <w:t>类别</w:t>
                  </w:r>
                  <w:r>
                    <w:rPr>
                      <w:rFonts w:hint="eastAsia" w:ascii="宋体" w:hAnsi="宋体" w:eastAsia="宋体" w:cs="宋体"/>
                      <w:bCs/>
                      <w:kern w:val="0"/>
                      <w:szCs w:val="21"/>
                      <w:lang w:val="en-US" w:eastAsia="zh-CN"/>
                    </w:rPr>
                    <w:t>及代码</w:t>
                  </w:r>
                </w:p>
              </w:tc>
              <w:tc>
                <w:tcPr>
                  <w:tcW w:w="1433" w:type="dxa"/>
                  <w:vMerge w:val="continue"/>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rPr>
                  </w:pPr>
                </w:p>
              </w:tc>
              <w:tc>
                <w:tcPr>
                  <w:tcW w:w="2319" w:type="dxa"/>
                  <w:vMerge w:val="continue"/>
                  <w:tcBorders>
                    <w:tl2br w:val="nil"/>
                    <w:tr2bl w:val="nil"/>
                  </w:tcBorders>
                  <w:vAlign w:val="center"/>
                </w:tcPr>
                <w:p>
                  <w:pPr>
                    <w:widowControl/>
                    <w:adjustRightInd w:val="0"/>
                    <w:snapToGrid w:val="0"/>
                    <w:spacing w:line="240" w:lineRule="auto"/>
                    <w:jc w:val="center"/>
                    <w:rPr>
                      <w:rFonts w:hint="eastAsia" w:ascii="宋体" w:hAnsi="宋体" w:eastAsia="宋体" w:cs="宋体"/>
                      <w:bCs/>
                      <w:kern w:val="0"/>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42" w:hRule="atLeast"/>
                <w:jc w:val="center"/>
              </w:trPr>
              <w:tc>
                <w:tcPr>
                  <w:tcW w:w="1503"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szCs w:val="21"/>
                    </w:rPr>
                    <w:t>废</w:t>
                  </w:r>
                  <w:r>
                    <w:rPr>
                      <w:rFonts w:hint="eastAsia" w:cs="Times New Roman"/>
                      <w:szCs w:val="21"/>
                      <w:lang w:val="en-US" w:eastAsia="zh-CN"/>
                    </w:rPr>
                    <w:t>边角料</w:t>
                  </w:r>
                </w:p>
              </w:tc>
              <w:tc>
                <w:tcPr>
                  <w:tcW w:w="833" w:type="dxa"/>
                  <w:tcBorders>
                    <w:tl2br w:val="nil"/>
                    <w:tr2bl w:val="nil"/>
                  </w:tcBorders>
                  <w:vAlign w:val="center"/>
                </w:tcPr>
                <w:p>
                  <w:pPr>
                    <w:spacing w:line="240" w:lineRule="auto"/>
                    <w:jc w:val="center"/>
                    <w:rPr>
                      <w:rFonts w:hint="default" w:ascii="宋体" w:hAnsi="宋体" w:eastAsia="宋体" w:cs="宋体"/>
                      <w:kern w:val="44"/>
                      <w:szCs w:val="21"/>
                      <w:lang w:val="en-US" w:eastAsia="zh-CN"/>
                    </w:rPr>
                  </w:pPr>
                  <w:r>
                    <w:rPr>
                      <w:sz w:val="21"/>
                    </w:rPr>
                    <w:t>一般固废</w:t>
                  </w:r>
                </w:p>
              </w:tc>
              <w:tc>
                <w:tcPr>
                  <w:tcW w:w="2667" w:type="dxa"/>
                  <w:tcBorders>
                    <w:tl2br w:val="nil"/>
                    <w:tr2bl w:val="nil"/>
                  </w:tcBorders>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kern w:val="0"/>
                      <w:szCs w:val="21"/>
                      <w:lang w:val="en-US" w:eastAsia="zh-CN"/>
                    </w:rPr>
                    <w:t>/</w:t>
                  </w:r>
                </w:p>
              </w:tc>
              <w:tc>
                <w:tcPr>
                  <w:tcW w:w="1433" w:type="dxa"/>
                  <w:tcBorders>
                    <w:tl2br w:val="nil"/>
                    <w:tr2bl w:val="nil"/>
                  </w:tcBorders>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2319"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1503"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Cs w:val="21"/>
                    </w:rPr>
                    <w:t>废淬火油</w:t>
                  </w:r>
                </w:p>
              </w:tc>
              <w:tc>
                <w:tcPr>
                  <w:tcW w:w="833" w:type="dxa"/>
                  <w:tcBorders>
                    <w:tl2br w:val="nil"/>
                    <w:tr2bl w:val="nil"/>
                  </w:tcBorders>
                  <w:vAlign w:val="center"/>
                </w:tcPr>
                <w:p>
                  <w:pPr>
                    <w:spacing w:line="240" w:lineRule="auto"/>
                    <w:jc w:val="center"/>
                    <w:rPr>
                      <w:rFonts w:hint="default" w:ascii="宋体" w:hAnsi="宋体" w:eastAsia="宋体" w:cs="宋体"/>
                      <w:kern w:val="44"/>
                      <w:sz w:val="21"/>
                      <w:szCs w:val="21"/>
                      <w:lang w:val="en-US" w:eastAsia="zh-CN" w:bidi="ar-SA"/>
                    </w:rPr>
                  </w:pPr>
                  <w:r>
                    <w:rPr>
                      <w:sz w:val="21"/>
                    </w:rPr>
                    <w:t>危险废物</w:t>
                  </w:r>
                </w:p>
              </w:tc>
              <w:tc>
                <w:tcPr>
                  <w:tcW w:w="2667" w:type="dxa"/>
                  <w:tcBorders>
                    <w:tl2br w:val="nil"/>
                    <w:tr2bl w:val="nil"/>
                  </w:tcBorders>
                  <w:vAlign w:val="center"/>
                </w:tcPr>
                <w:p>
                  <w:pPr>
                    <w:widowControl/>
                    <w:adjustRightInd w:val="0"/>
                    <w:snapToGrid w:val="0"/>
                    <w:spacing w:line="240" w:lineRule="auto"/>
                    <w:jc w:val="center"/>
                    <w:rPr>
                      <w:rFonts w:hint="eastAsia" w:cs="Times New Roman"/>
                      <w:kern w:val="0"/>
                      <w:szCs w:val="21"/>
                      <w:lang w:val="en-US" w:eastAsia="zh-CN"/>
                    </w:rPr>
                  </w:pPr>
                  <w:r>
                    <w:rPr>
                      <w:rFonts w:hint="eastAsia" w:cs="Times New Roman"/>
                      <w:kern w:val="0"/>
                      <w:szCs w:val="21"/>
                      <w:lang w:val="en-US" w:eastAsia="zh-CN"/>
                    </w:rPr>
                    <w:t>HW08</w:t>
                  </w:r>
                </w:p>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kern w:val="0"/>
                      <w:szCs w:val="21"/>
                      <w:lang w:val="en-US" w:eastAsia="zh-CN"/>
                    </w:rPr>
                    <w:t>900-203-08</w:t>
                  </w:r>
                </w:p>
              </w:tc>
              <w:tc>
                <w:tcPr>
                  <w:tcW w:w="1433" w:type="dxa"/>
                  <w:tcBorders>
                    <w:tl2br w:val="nil"/>
                    <w:tr2bl w:val="nil"/>
                  </w:tcBorders>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319" w:type="dxa"/>
                  <w:vMerge w:val="restart"/>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委托</w:t>
                  </w:r>
                  <w:r>
                    <w:rPr>
                      <w:rFonts w:hint="eastAsia" w:cs="Times New Roman"/>
                      <w:szCs w:val="21"/>
                      <w:lang w:val="en-US" w:eastAsia="zh-CN"/>
                    </w:rPr>
                    <w:t>常州市锦云工业废弃物处理</w:t>
                  </w:r>
                  <w:r>
                    <w:rPr>
                      <w:rFonts w:hint="eastAsia" w:ascii="Times New Roman" w:hAnsi="Times New Roman" w:cs="Times New Roman"/>
                      <w:szCs w:val="21"/>
                      <w:lang w:val="en-US" w:eastAsia="zh-CN"/>
                    </w:rPr>
                    <w:t>有限公司处置</w:t>
                  </w:r>
                </w:p>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1503"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废矿物油</w:t>
                  </w:r>
                </w:p>
              </w:tc>
              <w:tc>
                <w:tcPr>
                  <w:tcW w:w="833" w:type="dxa"/>
                  <w:tcBorders>
                    <w:tl2br w:val="nil"/>
                    <w:tr2bl w:val="nil"/>
                  </w:tcBorders>
                  <w:vAlign w:val="center"/>
                </w:tcPr>
                <w:p>
                  <w:pPr>
                    <w:spacing w:line="240" w:lineRule="auto"/>
                    <w:jc w:val="center"/>
                    <w:rPr>
                      <w:rFonts w:hint="eastAsia" w:ascii="宋体" w:hAnsi="宋体" w:eastAsia="宋体" w:cs="宋体"/>
                      <w:kern w:val="44"/>
                      <w:szCs w:val="21"/>
                      <w:lang w:val="en-US" w:eastAsia="zh-CN"/>
                    </w:rPr>
                  </w:pPr>
                  <w:r>
                    <w:rPr>
                      <w:sz w:val="21"/>
                    </w:rPr>
                    <w:t>危险废物</w:t>
                  </w:r>
                </w:p>
              </w:tc>
              <w:tc>
                <w:tcPr>
                  <w:tcW w:w="2667" w:type="dxa"/>
                  <w:tcBorders>
                    <w:tl2br w:val="nil"/>
                    <w:tr2bl w:val="nil"/>
                  </w:tcBorders>
                  <w:vAlign w:val="center"/>
                </w:tcPr>
                <w:p>
                  <w:pPr>
                    <w:widowControl/>
                    <w:adjustRightInd w:val="0"/>
                    <w:snapToGrid w:val="0"/>
                    <w:spacing w:line="240" w:lineRule="auto"/>
                    <w:jc w:val="center"/>
                    <w:rPr>
                      <w:rFonts w:hint="default" w:eastAsia="宋体" w:cs="Times New Roman"/>
                      <w:kern w:val="0"/>
                      <w:szCs w:val="21"/>
                      <w:lang w:val="en-US" w:eastAsia="zh-CN"/>
                    </w:rPr>
                  </w:pPr>
                  <w:r>
                    <w:rPr>
                      <w:rFonts w:hint="eastAsia" w:eastAsia="宋体" w:cs="Times New Roman"/>
                      <w:kern w:val="0"/>
                      <w:szCs w:val="21"/>
                      <w:lang w:val="en-US" w:eastAsia="zh-CN"/>
                    </w:rPr>
                    <w:t>HW</w:t>
                  </w:r>
                  <w:r>
                    <w:rPr>
                      <w:rFonts w:hint="eastAsia" w:cs="Times New Roman"/>
                      <w:kern w:val="0"/>
                      <w:szCs w:val="21"/>
                      <w:lang w:val="en-US" w:eastAsia="zh-CN"/>
                    </w:rPr>
                    <w:t>08</w:t>
                  </w:r>
                </w:p>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kern w:val="0"/>
                      <w:szCs w:val="21"/>
                      <w:lang w:val="en-US" w:eastAsia="zh-CN"/>
                    </w:rPr>
                    <w:t>900-249-08</w:t>
                  </w:r>
                </w:p>
              </w:tc>
              <w:tc>
                <w:tcPr>
                  <w:tcW w:w="1433" w:type="dxa"/>
                  <w:tcBorders>
                    <w:tl2br w:val="nil"/>
                    <w:tr2bl w:val="nil"/>
                  </w:tcBorders>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2319" w:type="dxa"/>
                  <w:vMerge w:val="continue"/>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eastAsia="zh-CN"/>
                    </w:rPr>
                    <w:t>废乳化液</w:t>
                  </w:r>
                </w:p>
              </w:tc>
              <w:tc>
                <w:tcPr>
                  <w:tcW w:w="0" w:type="auto"/>
                  <w:vAlign w:val="center"/>
                </w:tcPr>
                <w:p>
                  <w:pPr>
                    <w:spacing w:line="240" w:lineRule="auto"/>
                    <w:jc w:val="center"/>
                    <w:rPr>
                      <w:rFonts w:hint="eastAsia" w:ascii="宋体" w:hAnsi="宋体" w:eastAsia="宋体" w:cs="宋体"/>
                      <w:kern w:val="44"/>
                      <w:sz w:val="21"/>
                      <w:szCs w:val="21"/>
                      <w:lang w:val="en-US" w:eastAsia="zh-CN" w:bidi="ar-SA"/>
                    </w:rPr>
                  </w:pPr>
                  <w:r>
                    <w:rPr>
                      <w:sz w:val="21"/>
                    </w:rPr>
                    <w:t>危险废物</w:t>
                  </w:r>
                </w:p>
              </w:tc>
              <w:tc>
                <w:tcPr>
                  <w:tcW w:w="2667" w:type="dxa"/>
                  <w:vAlign w:val="center"/>
                </w:tcPr>
                <w:p>
                  <w:pPr>
                    <w:widowControl/>
                    <w:adjustRightInd w:val="0"/>
                    <w:snapToGrid w:val="0"/>
                    <w:spacing w:line="240" w:lineRule="auto"/>
                    <w:jc w:val="center"/>
                    <w:rPr>
                      <w:rFonts w:hint="default" w:eastAsia="宋体" w:cs="Times New Roman"/>
                      <w:kern w:val="0"/>
                      <w:szCs w:val="21"/>
                      <w:lang w:val="en-US" w:eastAsia="zh-CN"/>
                    </w:rPr>
                  </w:pPr>
                  <w:r>
                    <w:rPr>
                      <w:rFonts w:hint="eastAsia" w:eastAsia="宋体" w:cs="Times New Roman"/>
                      <w:kern w:val="0"/>
                      <w:szCs w:val="21"/>
                      <w:lang w:val="en-US" w:eastAsia="zh-CN"/>
                    </w:rPr>
                    <w:t>HW</w:t>
                  </w:r>
                  <w:r>
                    <w:rPr>
                      <w:rFonts w:hint="eastAsia" w:cs="Times New Roman"/>
                      <w:kern w:val="0"/>
                      <w:szCs w:val="21"/>
                      <w:lang w:val="en-US" w:eastAsia="zh-CN"/>
                    </w:rPr>
                    <w:t>09</w:t>
                  </w:r>
                </w:p>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kern w:val="0"/>
                      <w:szCs w:val="21"/>
                      <w:lang w:val="en-US" w:eastAsia="zh-CN"/>
                    </w:rPr>
                    <w:t>900-006-09</w:t>
                  </w:r>
                </w:p>
              </w:tc>
              <w:tc>
                <w:tcPr>
                  <w:tcW w:w="0" w:type="auto"/>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2319" w:type="dxa"/>
                  <w:vMerge w:val="continue"/>
                  <w:tcBorders/>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szCs w:val="21"/>
                    </w:rPr>
                    <w:t>废包装桶</w:t>
                  </w:r>
                </w:p>
              </w:tc>
              <w:tc>
                <w:tcPr>
                  <w:tcW w:w="0" w:type="auto"/>
                  <w:vAlign w:val="center"/>
                </w:tcPr>
                <w:p>
                  <w:pPr>
                    <w:spacing w:line="240" w:lineRule="auto"/>
                    <w:jc w:val="center"/>
                    <w:rPr>
                      <w:rFonts w:hint="eastAsia" w:ascii="宋体" w:hAnsi="宋体" w:eastAsia="宋体" w:cs="宋体"/>
                      <w:kern w:val="44"/>
                      <w:sz w:val="21"/>
                      <w:szCs w:val="21"/>
                      <w:lang w:val="en-US" w:eastAsia="zh-CN" w:bidi="ar-SA"/>
                    </w:rPr>
                  </w:pPr>
                  <w:r>
                    <w:rPr>
                      <w:sz w:val="21"/>
                    </w:rPr>
                    <w:t>危险废物</w:t>
                  </w:r>
                </w:p>
              </w:tc>
              <w:tc>
                <w:tcPr>
                  <w:tcW w:w="2667" w:type="dxa"/>
                  <w:vAlign w:val="center"/>
                </w:tcPr>
                <w:p>
                  <w:pPr>
                    <w:widowControl/>
                    <w:adjustRightInd w:val="0"/>
                    <w:snapToGrid w:val="0"/>
                    <w:spacing w:line="240" w:lineRule="auto"/>
                    <w:jc w:val="center"/>
                    <w:rPr>
                      <w:rFonts w:hint="default" w:eastAsia="宋体" w:cs="Times New Roman"/>
                      <w:kern w:val="0"/>
                      <w:szCs w:val="21"/>
                      <w:lang w:val="en-US" w:eastAsia="zh-CN"/>
                    </w:rPr>
                  </w:pPr>
                  <w:r>
                    <w:rPr>
                      <w:rFonts w:hint="eastAsia" w:eastAsia="宋体" w:cs="Times New Roman"/>
                      <w:kern w:val="0"/>
                      <w:szCs w:val="21"/>
                      <w:lang w:val="en-US" w:eastAsia="zh-CN"/>
                    </w:rPr>
                    <w:t>HW49</w:t>
                  </w:r>
                </w:p>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kern w:val="0"/>
                      <w:szCs w:val="21"/>
                      <w:lang w:val="en-US" w:eastAsia="zh-CN"/>
                    </w:rPr>
                    <w:t>900-0</w:t>
                  </w:r>
                  <w:r>
                    <w:rPr>
                      <w:rFonts w:hint="eastAsia" w:cs="Times New Roman"/>
                      <w:kern w:val="0"/>
                      <w:szCs w:val="21"/>
                      <w:lang w:val="en-US" w:eastAsia="zh-CN"/>
                    </w:rPr>
                    <w:t>41</w:t>
                  </w:r>
                  <w:r>
                    <w:rPr>
                      <w:rFonts w:hint="eastAsia" w:eastAsia="宋体" w:cs="Times New Roman"/>
                      <w:kern w:val="0"/>
                      <w:szCs w:val="21"/>
                      <w:lang w:val="en-US" w:eastAsia="zh-CN"/>
                    </w:rPr>
                    <w:t>-49</w:t>
                  </w:r>
                </w:p>
              </w:tc>
              <w:tc>
                <w:tcPr>
                  <w:tcW w:w="0" w:type="auto"/>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319" w:type="dxa"/>
                  <w:vAlign w:val="center"/>
                </w:tcPr>
                <w:p>
                  <w:pPr>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委托南通海之阳环保工程技术有限公司</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cs="Times New Roman"/>
                      <w:color w:val="000000"/>
                      <w:kern w:val="0"/>
                      <w:sz w:val="21"/>
                      <w:szCs w:val="21"/>
                      <w:lang w:val="en-US" w:eastAsia="zh-CN"/>
                    </w:rPr>
                    <w:t>生活垃圾</w:t>
                  </w:r>
                </w:p>
              </w:tc>
              <w:tc>
                <w:tcPr>
                  <w:tcW w:w="0" w:type="auto"/>
                  <w:vAlign w:val="center"/>
                </w:tcPr>
                <w:p>
                  <w:pPr>
                    <w:spacing w:line="240" w:lineRule="auto"/>
                    <w:jc w:val="center"/>
                    <w:rPr>
                      <w:rFonts w:hint="eastAsia" w:ascii="宋体" w:hAnsi="宋体" w:eastAsia="宋体" w:cs="宋体"/>
                      <w:kern w:val="44"/>
                      <w:sz w:val="21"/>
                      <w:szCs w:val="21"/>
                      <w:lang w:val="en-US" w:eastAsia="zh-CN" w:bidi="ar-SA"/>
                    </w:rPr>
                  </w:pPr>
                  <w:r>
                    <w:rPr>
                      <w:sz w:val="21"/>
                    </w:rPr>
                    <w:t>一般固废</w:t>
                  </w:r>
                </w:p>
              </w:tc>
              <w:tc>
                <w:tcPr>
                  <w:tcW w:w="0" w:type="auto"/>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0" w:type="auto"/>
                  <w:vAlign w:val="center"/>
                </w:tcPr>
                <w:p>
                  <w:pPr>
                    <w:pStyle w:val="16"/>
                    <w:spacing w:before="48" w:after="48"/>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0" w:type="auto"/>
                  <w:vAlign w:val="center"/>
                </w:tcPr>
                <w:p>
                  <w:pPr>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委托苏州吴江洁美家园物业管理有限公司定期清运处理</w:t>
                  </w:r>
                </w:p>
              </w:tc>
            </w:tr>
          </w:tbl>
          <w:p>
            <w:pPr>
              <w:pStyle w:val="2"/>
              <w:spacing w:line="360" w:lineRule="auto"/>
              <w:ind w:firstLine="480" w:firstLineChars="200"/>
              <w:jc w:val="both"/>
              <w:rPr>
                <w:rFonts w:hint="default" w:ascii="Times New Roman" w:hAnsi="Times New Roman" w:eastAsia="宋体" w:cs="Times New Roman"/>
                <w:kern w:val="2"/>
                <w:sz w:val="24"/>
                <w:szCs w:val="24"/>
                <w:lang w:val="en-US" w:eastAsia="zh-CN" w:bidi="ar-SA"/>
              </w:rPr>
            </w:pPr>
          </w:p>
        </w:tc>
      </w:tr>
    </w:tbl>
    <w:p>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bookmarkEnd w:id="8"/>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0" w:name="_Toc14658"/>
      <w:bookmarkStart w:id="11" w:name="_Toc2121"/>
      <w:r>
        <w:rPr>
          <w:rFonts w:hint="eastAsia" w:ascii="宋体" w:hAnsi="宋体" w:eastAsia="宋体" w:cs="宋体"/>
          <w:b/>
          <w:color w:val="000000"/>
          <w:kern w:val="44"/>
          <w:szCs w:val="21"/>
        </w:rPr>
        <w:t>表五、环评主要结论及审批部门审批决定</w:t>
      </w:r>
      <w:bookmarkEnd w:id="10"/>
      <w:bookmarkEnd w:id="11"/>
    </w:p>
    <w:tbl>
      <w:tblPr>
        <w:tblStyle w:val="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057" w:hRule="atLeast"/>
          <w:jc w:val="center"/>
        </w:trPr>
        <w:tc>
          <w:tcPr>
            <w:tcW w:w="897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建设项目环境影响报告表主要结论及审批部门审批决定</w:t>
            </w:r>
            <w:r>
              <w:rPr>
                <w:rFonts w:hint="eastAsia" w:cs="Times New Roman"/>
                <w:color w:val="000000"/>
                <w:kern w:val="0"/>
                <w:sz w:val="24"/>
                <w:szCs w:val="24"/>
                <w:lang w:eastAsia="zh-CN"/>
              </w:rPr>
              <w:t>：</w:t>
            </w:r>
            <w:r>
              <w:rPr>
                <w:rFonts w:hint="eastAsia" w:cs="Times New Roman"/>
                <w:color w:val="000000"/>
                <w:kern w:val="0"/>
                <w:sz w:val="24"/>
                <w:szCs w:val="24"/>
                <w:lang w:val="en-US" w:eastAsia="zh-CN"/>
              </w:rPr>
              <w:t>盛政环建发[2013]49号</w:t>
            </w:r>
            <w:r>
              <w:rPr>
                <w:rFonts w:hint="default" w:ascii="Times New Roman" w:hAnsi="Times New Roman" w:eastAsia="宋体" w:cs="Times New Roman"/>
                <w:color w:val="000000"/>
                <w:kern w:val="0"/>
                <w:sz w:val="24"/>
                <w:szCs w:val="24"/>
              </w:rPr>
              <w:t>：</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吴江吴月齿轮制造有限责任公司:</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根据我国环保法律、法规和有关政策的规定以及天津市气象科学研究所编制的环境影响报告表结论，对吴江吴月齿轮制造有限责任公司在盛泽镇双熟村建设年产6DL/M机齿轮8万台套新建项目及年产K/F机齿轮6万台套补办项目环境影响报告表作出以下审批意见:</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一、该补办项目未批先建，违反了建设项目环保管理规定,现根据环评表结论，同意该项目按环评表所述内容补办环评手续。</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二、在今后的项目工程设计、建设和环境管理中，你公司必须落实报告表中提出的各项环保要求，确保新旧项目各项污染物稳定达标排放。并重点做好以下工作:</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1、全过程贯彻循环经济理念和清洁生产原则，加强生产管理和环境管理，优先选用先进的生产工艺、设备，渗碳炉使用电加热，不得增加表面处理及喷漆等其它工段。</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2、生活污水达接管标准后接入盛泽水处理发展有限公司处理，尾水达标排放。</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3、车间废气污染物非甲烷总烃排放执行《大气污染物综合排放标准》( GB16297-1996)表2无组织排放监控浓度限值。加强对无组织废气的管理，规范生产操作，减少废气无组织排放。</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4、选用低噪声设备、合理布局，并采取有效的减振、隔声、消音等降噪措施，确保南侧厂界噪声达到《工业企业厂界环境噪声排放标准》(GB12348-2008) 2类标准，其余厂界执行3类标准，不得扰民。</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5、按“减量化、资源化、无害化”处理处置原则，落实各类固体废物的分类收集处理处置和综合利用措施，实现固体废物“零排放”。</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6、按《江苏省排污口设置及规范化整治管理办法》(苏环控[1997]122号)的规定设置各类排污口。</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7、做好绿化工作，在厂区四周建设一定的绿化隔离带，以减轻废气和噪声对周围环境的影响。</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8、请做好其他有关污染防治工作。</w:t>
            </w:r>
          </w:p>
          <w:p>
            <w:pPr>
              <w:pStyle w:val="2"/>
              <w:ind w:left="0" w:leftChars="0" w:firstLine="560" w:firstLineChars="200"/>
              <w:rPr>
                <w:rFonts w:ascii="Tahoma" w:hAnsi="Tahoma" w:eastAsia="仿宋_GB2312"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7" w:hRule="atLeast"/>
          <w:jc w:val="center"/>
        </w:trPr>
        <w:tc>
          <w:tcPr>
            <w:tcW w:w="8977" w:type="dxa"/>
            <w:tcBorders>
              <w:top w:val="single" w:color="auto" w:sz="4" w:space="0"/>
              <w:left w:val="single" w:color="auto" w:sz="4" w:space="0"/>
              <w:bottom w:val="single" w:color="auto" w:sz="4" w:space="0"/>
              <w:right w:val="single" w:color="auto" w:sz="4" w:space="0"/>
            </w:tcBorders>
            <w:noWrap w:val="0"/>
            <w:vAlign w:val="top"/>
          </w:tcPr>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三、项目必须全面落实环评提出的污染防治措施和本批复要求，并经我局验收合格后方可正式生产。</w:t>
            </w:r>
          </w:p>
          <w:p>
            <w:pPr>
              <w:pStyle w:val="2"/>
              <w:ind w:left="0" w:leftChars="0" w:firstLine="480" w:firstLineChars="200"/>
              <w:rPr>
                <w:rFonts w:hint="eastAsia" w:ascii="Times New Roman" w:hAns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四、本项目的性质、规模、地点、采用的生产工艺或者防治污染、生态破坏的措施发生重大变化的，建设单位须重新报批项目的环境影响评价文件.</w:t>
            </w:r>
            <w:r>
              <w:rPr>
                <w:rFonts w:hint="eastAsia" w:ascii="Times New Roman" w:hAnsi="Times New Roman" w:cs="Times New Roman" w:eastAsiaTheme="minorEastAsia"/>
                <w:kern w:val="2"/>
                <w:sz w:val="24"/>
                <w:szCs w:val="24"/>
                <w:lang w:val="en-US" w:eastAsia="zh-CN" w:bidi="ar-SA"/>
              </w:rPr>
              <w:t>。</w:t>
            </w:r>
          </w:p>
          <w:p>
            <w:pPr>
              <w:pStyle w:val="2"/>
              <w:ind w:firstLine="560" w:firstLineChars="200"/>
              <w:rPr>
                <w:rFonts w:ascii="Times New Roman" w:hAnsi="Times New Roman" w:eastAsia="仿宋_GB2312"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7" w:hRule="atLeast"/>
          <w:jc w:val="center"/>
        </w:trPr>
        <w:tc>
          <w:tcPr>
            <w:tcW w:w="897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建设项目环境影响报告表主要结论及审批部门审批决定</w:t>
            </w:r>
            <w:r>
              <w:rPr>
                <w:rFonts w:hint="eastAsia" w:cs="Times New Roman"/>
                <w:color w:val="000000"/>
                <w:kern w:val="0"/>
                <w:sz w:val="24"/>
                <w:szCs w:val="24"/>
                <w:lang w:eastAsia="zh-CN"/>
              </w:rPr>
              <w:t>：</w:t>
            </w:r>
            <w:r>
              <w:rPr>
                <w:rFonts w:hint="eastAsia" w:cs="Times New Roman"/>
                <w:color w:val="000000"/>
                <w:kern w:val="0"/>
                <w:sz w:val="24"/>
                <w:szCs w:val="24"/>
                <w:lang w:val="en-US" w:eastAsia="zh-CN"/>
              </w:rPr>
              <w:t>吴环建[2014]564号</w:t>
            </w:r>
            <w:r>
              <w:rPr>
                <w:rFonts w:hint="default" w:ascii="Times New Roman" w:hAnsi="Times New Roman" w:eastAsia="宋体" w:cs="Times New Roman"/>
                <w:color w:val="000000"/>
                <w:kern w:val="0"/>
                <w:sz w:val="24"/>
                <w:szCs w:val="24"/>
              </w:rPr>
              <w:t>：</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吴江吴月齿轮制造有限责任公司:</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你公司报送的《年产汽车发动机齿轮10 万台(套)项目环境影响报告表》已悉。经研究，批复如下:</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一、根据《报告表》评价结论，在落实《报告表》中提出的各项污染防治和风险防范措施的前提下，你公司在盛泽镇双熟村按《报告表》所列内容建设年产汽车发动机齿轮10 万台(套)项目具有环境可行性。</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二、在项目工程设计、建设和环境管理中，你公司须落实《报告表》中提出的各项环保要求，确保各类污染物达标排放。并须着重做好以下工作:</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1、 全过程贯彻清洁生产原则和循环经济理念，选用先进的生产工艺及设备，加强生产管理和环境管理，减少污染物产生量和排放量，确保各项清洁生产指标达到国内外先进水平。</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2、项目实施“雨污分流、清污分流”，生活污水接入吴江市盛泽水处理发展有限公司处理，尾水达标排放。</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3、项目产生的非甲烷总烃经收集处理后排放执行《大气污染物综合排放标准》( GB16297-1996)表2二级标准，排气筒高度不得低于15米;加强对无组织排放源的管理，规范生产操作，减少废气无组织排放。</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4、选用低噪声设备、合理布局，并采用有效的减振、隔声措施，使南侧厂界噪声达到国家《工业企业厂界环境噪声排放标准》(GB12348 -2008)2类标准要求，其余厂界执行3类标准，不得扰民。</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5、按"减量化、资源化、无害化"处置原则固体废弃物必须综合利用，不造成二次污染，其中属危险废物必须委托具备危险废物处理、经营许可证的单位进行处理，并执行危险废物转移联单制度。</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6、按《江苏省排污口设置及规范化整治管理办法》有关要求，规范化设置各类排污口和标志。(按《江苏省污染源自动监控管理暂行办法》(苏环规[2011]1号)要求，建设、安装自动监控设备及其配套设施。)</w:t>
            </w:r>
          </w:p>
          <w:p>
            <w:pPr>
              <w:pStyle w:val="2"/>
              <w:ind w:left="0" w:leftChars="0"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7、请做好其他有关污染防治工作。</w:t>
            </w:r>
          </w:p>
          <w:p>
            <w:pPr>
              <w:pStyle w:val="2"/>
              <w:ind w:left="0" w:leftChars="0" w:firstLine="480" w:firstLineChars="200"/>
              <w:rPr>
                <w:rFonts w:ascii="Tahoma" w:hAnsi="Tahoma" w:eastAsia="仿宋_GB2312" w:cs="Times New Roman"/>
                <w:color w:val="000000"/>
                <w:kern w:val="0"/>
                <w:szCs w:val="21"/>
              </w:rPr>
            </w:pPr>
            <w:r>
              <w:rPr>
                <w:rFonts w:hint="eastAsia" w:ascii="Times New Roman" w:cs="Times New Roman" w:eastAsiaTheme="minorEastAsia"/>
                <w:kern w:val="2"/>
                <w:sz w:val="24"/>
                <w:szCs w:val="24"/>
                <w:lang w:val="en-US" w:eastAsia="zh-CN" w:bidi="ar-SA"/>
              </w:rPr>
              <w:t>三、该项目的环保设施必须与主体工程同时建成，项目竣工试生产须报我局备案。试生产期满(不超过3个月)按规定申办项目竣工环保验收手续。</w:t>
            </w:r>
          </w:p>
        </w:tc>
      </w:tr>
    </w:tbl>
    <w:p>
      <w:pPr>
        <w:widowControl/>
        <w:spacing w:line="360" w:lineRule="auto"/>
        <w:jc w:val="left"/>
        <w:rPr>
          <w:rFonts w:ascii="Tahoma" w:hAnsi="Tahoma" w:eastAsia="仿宋_GB2312" w:cs="Times New Roman"/>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7" w:hRule="atLeast"/>
          <w:jc w:val="center"/>
        </w:trPr>
        <w:tc>
          <w:tcPr>
            <w:tcW w:w="8977" w:type="dxa"/>
            <w:tcBorders>
              <w:top w:val="single" w:color="auto" w:sz="4" w:space="0"/>
              <w:left w:val="single" w:color="auto" w:sz="4" w:space="0"/>
              <w:bottom w:val="single" w:color="auto" w:sz="4" w:space="0"/>
              <w:right w:val="single" w:color="auto" w:sz="4" w:space="0"/>
            </w:tcBorders>
            <w:noWrap w:val="0"/>
            <w:vAlign w:val="top"/>
          </w:tcPr>
          <w:p>
            <w:pPr>
              <w:pStyle w:val="2"/>
              <w:numPr>
                <w:ilvl w:val="0"/>
                <w:numId w:val="2"/>
              </w:numPr>
              <w:ind w:left="0" w:leftChars="0" w:firstLine="480" w:firstLineChars="200"/>
              <w:rPr>
                <w:rFonts w:hint="eastAsia" w:ascii="Times New Roman" w:cs="Times New Roman" w:eastAsiaTheme="minorEastAsia"/>
                <w:kern w:val="2"/>
                <w:sz w:val="24"/>
                <w:szCs w:val="24"/>
                <w:lang w:val="en-US" w:eastAsia="zh-CN" w:bidi="ar-SA"/>
              </w:rPr>
            </w:pPr>
            <w:bookmarkStart w:id="12" w:name="_Toc4610"/>
            <w:bookmarkStart w:id="13" w:name="_Toc26119"/>
            <w:r>
              <w:rPr>
                <w:rFonts w:hint="eastAsia" w:ascii="Times New Roman" w:cs="Times New Roman" w:eastAsiaTheme="minorEastAsia"/>
                <w:kern w:val="2"/>
                <w:sz w:val="24"/>
                <w:szCs w:val="24"/>
                <w:lang w:val="en-US" w:eastAsia="zh-CN" w:bidi="ar-SA"/>
              </w:rPr>
              <w:t>项目建设期间的环境现场监督管理由吴江区环境监察大队负责不定期抽查。</w:t>
            </w:r>
          </w:p>
          <w:p>
            <w:pPr>
              <w:pStyle w:val="2"/>
              <w:numPr>
                <w:ilvl w:val="0"/>
                <w:numId w:val="0"/>
              </w:numPr>
              <w:ind w:firstLine="480" w:firstLineChars="200"/>
              <w:rPr>
                <w:rFonts w:hint="eastAsia" w:ascii="Times New Roman" w:cs="Times New Roman" w:eastAsiaTheme="minorEastAsia"/>
                <w:kern w:val="2"/>
                <w:sz w:val="24"/>
                <w:szCs w:val="24"/>
                <w:lang w:val="en-US" w:eastAsia="zh-CN" w:bidi="ar-SA"/>
              </w:rPr>
            </w:pPr>
            <w:r>
              <w:rPr>
                <w:rFonts w:hint="eastAsia" w:ascii="Times New Roman" w:cs="Times New Roman" w:eastAsiaTheme="minorEastAsia"/>
                <w:kern w:val="2"/>
                <w:sz w:val="24"/>
                <w:szCs w:val="24"/>
                <w:lang w:val="en-US" w:eastAsia="zh-CN" w:bidi="ar-SA"/>
              </w:rPr>
              <w:t>五、本批复自批准之日起5年内有效。本项目5年后方开工建设或项目的性质、规模、地点、采用的生产工艺、防治污染、防止生态破坏的措施发生重大变动的，应当重新报批项目的环境影响评价文件。</w:t>
            </w:r>
          </w:p>
          <w:p>
            <w:pPr>
              <w:pStyle w:val="2"/>
              <w:ind w:left="0" w:leftChars="0" w:firstLine="560" w:firstLineChars="200"/>
              <w:rPr>
                <w:rFonts w:ascii="Tahoma" w:hAnsi="Tahoma" w:eastAsia="仿宋_GB2312" w:cs="Times New Roman"/>
                <w:color w:val="000000"/>
                <w:kern w:val="0"/>
                <w:szCs w:val="21"/>
              </w:rPr>
            </w:pPr>
          </w:p>
        </w:tc>
      </w:tr>
    </w:tbl>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r>
        <w:rPr>
          <w:rFonts w:hint="eastAsia" w:ascii="宋体" w:hAnsi="宋体" w:eastAsia="宋体" w:cs="宋体"/>
          <w:b/>
          <w:color w:val="000000"/>
          <w:kern w:val="44"/>
          <w:szCs w:val="21"/>
        </w:rPr>
        <w:t>表六、验收监测质量保证及质量控制</w:t>
      </w:r>
      <w:bookmarkEnd w:id="12"/>
      <w:bookmarkEnd w:id="13"/>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1"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before="48" w:beforeLines="20" w:after="200" w:line="24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验收监测质量保证及质量控制：</w:t>
            </w:r>
          </w:p>
          <w:p>
            <w:pPr>
              <w:spacing w:line="360" w:lineRule="auto"/>
              <w:ind w:firstLine="480" w:firstLineChars="200"/>
              <w:rPr>
                <w:sz w:val="24"/>
                <w:szCs w:val="24"/>
              </w:rPr>
            </w:pPr>
            <w:r>
              <w:rPr>
                <w:rFonts w:hint="eastAsia"/>
                <w:sz w:val="24"/>
                <w:szCs w:val="24"/>
              </w:rPr>
              <w:t>该项目竣工环境保护验收监测质量控制与质量保证按照国家有关技术规范要求进行。</w:t>
            </w:r>
          </w:p>
          <w:p>
            <w:pPr>
              <w:widowControl/>
              <w:adjustRightInd w:val="0"/>
              <w:snapToGrid w:val="0"/>
              <w:spacing w:line="360" w:lineRule="auto"/>
              <w:ind w:firstLine="420" w:firstLineChars="200"/>
              <w:jc w:val="left"/>
              <w:rPr>
                <w:rFonts w:ascii="Times New Roman" w:hAnsi="Times New Roman" w:eastAsia="仿宋_GB2312" w:cs="Times New Roman"/>
                <w:color w:val="000000"/>
                <w:szCs w:val="21"/>
              </w:rPr>
            </w:pPr>
          </w:p>
        </w:tc>
      </w:tr>
    </w:tbl>
    <w:p>
      <w:pPr>
        <w:pStyle w:val="2"/>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4" w:name="_Toc31243"/>
      <w:bookmarkStart w:id="15" w:name="_Toc24428"/>
      <w:r>
        <w:rPr>
          <w:rFonts w:hint="eastAsia" w:ascii="宋体" w:hAnsi="宋体" w:eastAsia="宋体" w:cs="宋体"/>
          <w:b/>
          <w:color w:val="000000"/>
          <w:kern w:val="44"/>
          <w:szCs w:val="21"/>
        </w:rPr>
        <w:t>表七、验收监测内容</w:t>
      </w:r>
      <w:bookmarkEnd w:id="14"/>
      <w:bookmarkEnd w:id="15"/>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9"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before="48" w:beforeLines="20" w:after="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验收监测内容：</w:t>
            </w:r>
          </w:p>
          <w:p>
            <w:pPr>
              <w:spacing w:before="62" w:beforeLines="20" w:line="360" w:lineRule="auto"/>
              <w:ind w:firstLine="480" w:firstLineChars="200"/>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sz w:val="24"/>
                <w:szCs w:val="24"/>
                <w:lang w:eastAsia="zh-CN"/>
              </w:rPr>
              <w:t>本次</w:t>
            </w:r>
            <w:r>
              <w:rPr>
                <w:rFonts w:hint="default" w:ascii="Times New Roman" w:hAnsi="Times New Roman" w:cs="Times New Roman"/>
                <w:color w:val="000000"/>
                <w:sz w:val="24"/>
                <w:szCs w:val="24"/>
                <w:lang w:eastAsia="zh-CN"/>
              </w:rPr>
              <w:t>竣工验收监测是对</w:t>
            </w:r>
            <w:r>
              <w:rPr>
                <w:rFonts w:hint="eastAsia" w:cs="Times New Roman"/>
                <w:sz w:val="24"/>
                <w:lang w:val="en-US" w:eastAsia="zh-CN"/>
              </w:rPr>
              <w:t>吴江吴月齿轮制造有限责任公司年产汽车发动机齿轮10万台（套）项目、新建年产6DL/M 机齿轮8万台套及年产K/F机齿轮6万台套补办项目噪声、</w:t>
            </w:r>
            <w:r>
              <w:rPr>
                <w:rFonts w:hint="eastAsia" w:ascii="Times New Roman" w:hAnsi="Times New Roman" w:eastAsia="宋体" w:cs="Times New Roman"/>
                <w:sz w:val="24"/>
                <w:lang w:val="en-US" w:eastAsia="zh-CN"/>
              </w:rPr>
              <w:t>固废</w:t>
            </w:r>
            <w:r>
              <w:rPr>
                <w:rFonts w:hint="default" w:ascii="Times New Roman" w:hAnsi="Times New Roman" w:cs="Times New Roman"/>
                <w:color w:val="000000"/>
                <w:sz w:val="24"/>
                <w:szCs w:val="24"/>
                <w:lang w:val="en-US" w:eastAsia="zh-CN"/>
              </w:rPr>
              <w:t>环保设施的建设、运行和管理进行全面考核</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val="en-US" w:eastAsia="zh-CN"/>
              </w:rPr>
              <w:t>评价本项目</w:t>
            </w:r>
            <w:r>
              <w:rPr>
                <w:rFonts w:hint="eastAsia" w:ascii="Times New Roman" w:hAnsi="Times New Roman" w:cs="Times New Roman"/>
                <w:color w:val="000000"/>
                <w:sz w:val="24"/>
                <w:szCs w:val="24"/>
                <w:lang w:val="en-US" w:eastAsia="zh-CN"/>
              </w:rPr>
              <w:t>固废</w:t>
            </w:r>
            <w:r>
              <w:rPr>
                <w:rFonts w:hint="default" w:ascii="Times New Roman" w:hAnsi="Times New Roman" w:cs="Times New Roman"/>
                <w:color w:val="000000"/>
                <w:sz w:val="24"/>
                <w:szCs w:val="24"/>
                <w:lang w:val="en-US" w:eastAsia="zh-CN"/>
              </w:rPr>
              <w:t>污染物</w:t>
            </w:r>
            <w:r>
              <w:rPr>
                <w:rFonts w:hint="eastAsia" w:ascii="Times New Roman" w:hAnsi="Times New Roman" w:cs="Times New Roman"/>
                <w:color w:val="000000"/>
                <w:sz w:val="24"/>
                <w:szCs w:val="24"/>
                <w:lang w:val="en-US" w:eastAsia="zh-CN"/>
              </w:rPr>
              <w:t>处置</w:t>
            </w:r>
            <w:r>
              <w:rPr>
                <w:rFonts w:hint="default" w:ascii="Times New Roman" w:hAnsi="Times New Roman" w:cs="Times New Roman"/>
                <w:color w:val="000000"/>
                <w:sz w:val="24"/>
                <w:szCs w:val="24"/>
                <w:lang w:val="en-US" w:eastAsia="zh-CN"/>
              </w:rPr>
              <w:t>是否符合国家标准。</w:t>
            </w:r>
            <w:r>
              <w:rPr>
                <w:rFonts w:hint="eastAsia" w:ascii="Times New Roman" w:hAnsi="Times New Roman" w:cs="Times New Roman"/>
                <w:color w:val="000000"/>
                <w:sz w:val="24"/>
                <w:szCs w:val="24"/>
                <w:lang w:val="en-US" w:eastAsia="zh-CN"/>
              </w:rPr>
              <w:t>调查</w:t>
            </w:r>
            <w:r>
              <w:rPr>
                <w:rFonts w:hint="default" w:ascii="Times New Roman" w:hAnsi="Times New Roman" w:cs="Times New Roman"/>
                <w:color w:val="000000"/>
                <w:sz w:val="24"/>
                <w:szCs w:val="24"/>
                <w:lang w:val="en-US" w:eastAsia="zh-CN"/>
              </w:rPr>
              <w:t>期间项目生产线及各类环保设施正常运行、工况稳定。</w:t>
            </w:r>
          </w:p>
          <w:p>
            <w:pPr>
              <w:pStyle w:val="2"/>
              <w:numPr>
                <w:ilvl w:val="0"/>
                <w:numId w:val="0"/>
              </w:numPr>
              <w:ind w:leftChars="0" w:firstLine="482" w:firstLineChars="200"/>
              <w:rPr>
                <w:rFonts w:hint="default" w:ascii="Times New Roman" w:hAnsi="Times New Roman" w:eastAsia="宋体" w:cs="Times New Roman"/>
                <w:color w:val="000000"/>
                <w:kern w:val="2"/>
                <w:sz w:val="24"/>
                <w:szCs w:val="24"/>
                <w:lang w:val="en-US" w:eastAsia="zh-CN" w:bidi="ar-SA"/>
              </w:rPr>
            </w:pPr>
            <w:r>
              <w:rPr>
                <w:rFonts w:hint="eastAsia" w:ascii="Times New Roman" w:eastAsia="宋体" w:cs="Times New Roman"/>
                <w:b/>
                <w:bCs/>
                <w:color w:val="000000"/>
                <w:kern w:val="2"/>
                <w:sz w:val="24"/>
                <w:szCs w:val="24"/>
                <w:lang w:val="en-US" w:eastAsia="zh-CN" w:bidi="ar-SA"/>
              </w:rPr>
              <w:t>1</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固废调查</w:t>
            </w:r>
          </w:p>
          <w:p>
            <w:pPr>
              <w:widowControl/>
              <w:adjustRightInd w:val="0"/>
              <w:snapToGrid w:val="0"/>
              <w:spacing w:before="48" w:beforeLines="20" w:after="200"/>
              <w:ind w:firstLine="480" w:firstLineChars="200"/>
              <w:jc w:val="left"/>
              <w:rPr>
                <w:rFonts w:ascii="Times New Roman" w:hAnsi="Times New Roman" w:eastAsia="仿宋_GB2312" w:cs="Times New Roman"/>
                <w:color w:val="000000"/>
                <w:kern w:val="0"/>
                <w:szCs w:val="21"/>
              </w:rPr>
            </w:pPr>
            <w:r>
              <w:rPr>
                <w:rFonts w:hint="default" w:ascii="Times New Roman" w:hAnsi="Times New Roman" w:eastAsia="宋体" w:cs="Times New Roman"/>
                <w:color w:val="000000"/>
                <w:sz w:val="24"/>
                <w:szCs w:val="24"/>
                <w:lang w:eastAsia="zh-CN"/>
              </w:rPr>
              <w:t>对本项目固废产生及处置情况进行现场</w:t>
            </w:r>
            <w:r>
              <w:rPr>
                <w:rFonts w:hint="eastAsia" w:ascii="Times New Roman" w:hAnsi="Times New Roman" w:eastAsia="宋体" w:cs="Times New Roman"/>
                <w:color w:val="000000"/>
                <w:sz w:val="24"/>
                <w:szCs w:val="24"/>
                <w:lang w:val="en-US" w:eastAsia="zh-CN"/>
              </w:rPr>
              <w:t>调查</w:t>
            </w:r>
            <w:r>
              <w:rPr>
                <w:rFonts w:hint="eastAsia" w:ascii="Times New Roman" w:hAnsi="Times New Roman" w:eastAsia="宋体" w:cs="Times New Roman"/>
                <w:color w:val="000000"/>
                <w:sz w:val="24"/>
                <w:szCs w:val="24"/>
                <w:lang w:eastAsia="zh-CN"/>
              </w:rPr>
              <w:t>。</w:t>
            </w:r>
          </w:p>
          <w:p>
            <w:pPr>
              <w:widowControl/>
              <w:adjustRightInd w:val="0"/>
              <w:snapToGrid w:val="0"/>
              <w:spacing w:before="48" w:beforeLines="20" w:after="200"/>
              <w:jc w:val="left"/>
              <w:rPr>
                <w:rFonts w:ascii="Times New Roman" w:hAnsi="Times New Roman" w:eastAsia="仿宋_GB2312" w:cs="Times New Roman"/>
                <w:color w:val="000000"/>
                <w:kern w:val="0"/>
                <w:szCs w:val="21"/>
              </w:rPr>
            </w:pPr>
          </w:p>
          <w:p>
            <w:pPr>
              <w:widowControl/>
              <w:adjustRightInd w:val="0"/>
              <w:snapToGrid w:val="0"/>
              <w:spacing w:before="48" w:beforeLines="20" w:after="200"/>
              <w:jc w:val="left"/>
              <w:rPr>
                <w:rFonts w:ascii="Times New Roman" w:hAnsi="Times New Roman" w:eastAsia="仿宋_GB2312" w:cs="Times New Roman"/>
                <w:color w:val="000000"/>
                <w:kern w:val="0"/>
                <w:szCs w:val="21"/>
              </w:rPr>
            </w:pPr>
          </w:p>
          <w:p>
            <w:pPr>
              <w:widowControl/>
              <w:adjustRightInd w:val="0"/>
              <w:snapToGrid w:val="0"/>
              <w:spacing w:before="48" w:beforeLines="20" w:after="200"/>
              <w:jc w:val="left"/>
              <w:rPr>
                <w:rFonts w:ascii="Times New Roman" w:hAnsi="Times New Roman" w:eastAsia="仿宋_GB2312" w:cs="Times New Roman"/>
                <w:color w:val="000000"/>
                <w:kern w:val="0"/>
                <w:szCs w:val="21"/>
              </w:rPr>
            </w:pPr>
          </w:p>
          <w:p>
            <w:pPr>
              <w:widowControl/>
              <w:adjustRightInd w:val="0"/>
              <w:snapToGrid w:val="0"/>
              <w:spacing w:before="48" w:beforeLines="20" w:after="200"/>
              <w:jc w:val="left"/>
              <w:rPr>
                <w:rFonts w:ascii="Times New Roman" w:hAnsi="Times New Roman" w:eastAsia="仿宋_GB2312" w:cs="Times New Roman"/>
                <w:color w:val="000000"/>
                <w:kern w:val="0"/>
                <w:szCs w:val="21"/>
              </w:rPr>
            </w:pPr>
          </w:p>
        </w:tc>
      </w:tr>
    </w:tbl>
    <w:p>
      <w:pPr>
        <w:widowControl/>
        <w:adjustRightInd w:val="0"/>
        <w:snapToGrid w:val="0"/>
        <w:spacing w:line="360" w:lineRule="auto"/>
        <w:jc w:val="left"/>
        <w:rPr>
          <w:rFonts w:ascii="Tahoma" w:hAnsi="Tahoma" w:eastAsia="仿宋_GB2312" w:cs="Times New Roman"/>
          <w:b/>
          <w:color w:val="000000"/>
          <w:kern w:val="0"/>
          <w:szCs w:val="21"/>
        </w:rPr>
      </w:pPr>
    </w:p>
    <w:p>
      <w:pPr>
        <w:widowControl/>
        <w:spacing w:line="360" w:lineRule="auto"/>
        <w:jc w:val="left"/>
        <w:rPr>
          <w:rFonts w:ascii="Tahoma" w:hAnsi="Tahoma" w:eastAsia="仿宋_GB2312" w:cs="Times New Roman"/>
          <w:b/>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keepNext/>
        <w:keepLines/>
        <w:widowControl/>
        <w:adjustRightInd w:val="0"/>
        <w:snapToGrid w:val="0"/>
        <w:spacing w:line="360" w:lineRule="auto"/>
        <w:jc w:val="left"/>
        <w:outlineLvl w:val="0"/>
        <w:rPr>
          <w:rFonts w:ascii="Tahoma" w:hAnsi="Tahoma" w:eastAsia="仿宋_GB2312" w:cs="Times New Roman"/>
          <w:b/>
          <w:color w:val="000000"/>
          <w:kern w:val="44"/>
          <w:szCs w:val="21"/>
        </w:rPr>
      </w:pPr>
      <w:bookmarkStart w:id="16" w:name="_Toc23259"/>
      <w:bookmarkStart w:id="17" w:name="_Toc16084"/>
      <w:r>
        <w:rPr>
          <w:rFonts w:hint="eastAsia" w:ascii="宋体" w:hAnsi="宋体" w:eastAsia="宋体" w:cs="宋体"/>
          <w:b/>
          <w:color w:val="000000"/>
          <w:kern w:val="44"/>
          <w:szCs w:val="21"/>
        </w:rPr>
        <w:t>表</w:t>
      </w:r>
      <w:r>
        <w:rPr>
          <w:rFonts w:hint="eastAsia" w:ascii="宋体" w:hAnsi="宋体" w:eastAsia="宋体" w:cs="宋体"/>
          <w:b/>
          <w:color w:val="000000"/>
          <w:kern w:val="44"/>
          <w:szCs w:val="21"/>
          <w:lang w:val="en-US" w:eastAsia="zh-CN"/>
        </w:rPr>
        <w:t>八</w:t>
      </w:r>
      <w:r>
        <w:rPr>
          <w:rFonts w:hint="eastAsia" w:ascii="宋体" w:hAnsi="宋体" w:eastAsia="宋体" w:cs="宋体"/>
          <w:b/>
          <w:color w:val="000000"/>
          <w:kern w:val="44"/>
          <w:szCs w:val="21"/>
        </w:rPr>
        <w:t>、验收监测期间工况及年排放总量</w:t>
      </w:r>
      <w:bookmarkEnd w:id="16"/>
      <w:bookmarkEnd w:id="17"/>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3" w:hRule="atLeast"/>
          <w:jc w:val="center"/>
        </w:trPr>
        <w:tc>
          <w:tcPr>
            <w:tcW w:w="892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before="48" w:beforeLines="20" w:after="80"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验收监测期间</w:t>
            </w:r>
            <w:r>
              <w:rPr>
                <w:rFonts w:hint="eastAsia" w:ascii="Times New Roman" w:hAnsi="Times New Roman" w:eastAsia="宋体" w:cs="Times New Roman"/>
                <w:color w:val="000000"/>
                <w:kern w:val="0"/>
                <w:sz w:val="24"/>
                <w:szCs w:val="24"/>
                <w:lang w:val="en-US" w:eastAsia="zh-CN"/>
              </w:rPr>
              <w:t>运营</w:t>
            </w:r>
            <w:r>
              <w:rPr>
                <w:rFonts w:hint="default" w:ascii="Times New Roman" w:hAnsi="Times New Roman" w:eastAsia="宋体" w:cs="Times New Roman"/>
                <w:color w:val="000000"/>
                <w:kern w:val="0"/>
                <w:sz w:val="24"/>
                <w:szCs w:val="24"/>
              </w:rPr>
              <w:t>工况记录：</w:t>
            </w:r>
          </w:p>
          <w:p>
            <w:pPr>
              <w:widowControl/>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rPr>
            </w:pPr>
            <w:r>
              <w:rPr>
                <w:rFonts w:hint="eastAsia" w:cs="Times New Roman"/>
                <w:kern w:val="0"/>
                <w:sz w:val="24"/>
                <w:szCs w:val="24"/>
                <w:lang w:eastAsia="zh-CN"/>
              </w:rPr>
              <w:t>吴江吴月齿轮制造有限责任公司年产汽车发动机齿轮10万台（套）项目、新建年产6DL/M 机齿轮8万台套及年产K/F机齿轮6万台套补办项目</w:t>
            </w:r>
            <w:r>
              <w:rPr>
                <w:rFonts w:hint="default" w:ascii="Times New Roman" w:hAnsi="Times New Roman" w:eastAsia="宋体" w:cs="Times New Roman"/>
                <w:kern w:val="0"/>
                <w:sz w:val="24"/>
                <w:szCs w:val="24"/>
              </w:rPr>
              <w:t>20</w:t>
            </w:r>
            <w:r>
              <w:rPr>
                <w:rFonts w:hint="eastAsia" w:ascii="Times New Roman" w:hAnsi="Times New Roman" w:eastAsia="宋体" w:cs="Times New Roman"/>
                <w:kern w:val="0"/>
                <w:sz w:val="24"/>
                <w:szCs w:val="24"/>
                <w:lang w:val="en-US" w:eastAsia="zh-CN"/>
              </w:rPr>
              <w:t>21</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0</w:t>
            </w:r>
            <w:r>
              <w:rPr>
                <w:rFonts w:hint="eastAsia" w:cs="Times New Roman"/>
                <w:kern w:val="0"/>
                <w:sz w:val="24"/>
                <w:szCs w:val="24"/>
                <w:lang w:val="en-US" w:eastAsia="zh-CN"/>
              </w:rPr>
              <w:t>8</w:t>
            </w:r>
            <w:r>
              <w:rPr>
                <w:rFonts w:hint="default"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0</w:t>
            </w:r>
            <w:r>
              <w:rPr>
                <w:rFonts w:hint="eastAsia" w:cs="Times New Roman"/>
                <w:kern w:val="0"/>
                <w:sz w:val="24"/>
                <w:szCs w:val="24"/>
                <w:lang w:val="en-US" w:eastAsia="zh-CN"/>
              </w:rPr>
              <w:t>2</w:t>
            </w:r>
            <w:r>
              <w:rPr>
                <w:rFonts w:hint="default"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val="en-US" w:eastAsia="zh-CN"/>
              </w:rPr>
              <w:t>0</w:t>
            </w:r>
            <w:r>
              <w:rPr>
                <w:rFonts w:hint="eastAsia" w:cs="Times New Roman"/>
                <w:kern w:val="0"/>
                <w:sz w:val="24"/>
                <w:szCs w:val="24"/>
                <w:lang w:val="en-US" w:eastAsia="zh-CN"/>
              </w:rPr>
              <w:t>3</w:t>
            </w:r>
            <w:r>
              <w:rPr>
                <w:rFonts w:hint="default" w:ascii="Times New Roman" w:hAnsi="Times New Roman" w:eastAsia="宋体" w:cs="Times New Roman"/>
                <w:kern w:val="0"/>
                <w:sz w:val="24"/>
                <w:szCs w:val="24"/>
              </w:rPr>
              <w:t>日</w:t>
            </w:r>
            <w:r>
              <w:rPr>
                <w:rFonts w:hint="default" w:ascii="Times New Roman" w:hAnsi="Times New Roman" w:eastAsia="宋体" w:cs="Times New Roman"/>
                <w:color w:val="000000"/>
                <w:kern w:val="0"/>
                <w:sz w:val="24"/>
                <w:szCs w:val="24"/>
              </w:rPr>
              <w:t>验收</w:t>
            </w:r>
            <w:r>
              <w:rPr>
                <w:rFonts w:hint="eastAsia" w:ascii="Times New Roman" w:hAnsi="Times New Roman" w:eastAsia="宋体" w:cs="Times New Roman"/>
                <w:color w:val="000000"/>
                <w:kern w:val="0"/>
                <w:sz w:val="24"/>
                <w:szCs w:val="24"/>
                <w:lang w:val="en-US" w:eastAsia="zh-CN"/>
              </w:rPr>
              <w:t>调查期间</w:t>
            </w:r>
            <w:r>
              <w:rPr>
                <w:rFonts w:hint="eastAsia"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rPr>
              <w:t>本项目生产线及各类环保设施正常运行、工况稳定，生产负荷已达到设计生产能力75%以上，满足环保验收监测技术要求。</w:t>
            </w:r>
          </w:p>
          <w:p>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 xml:space="preserve">9-1 </w:t>
            </w:r>
            <w:r>
              <w:rPr>
                <w:rFonts w:hint="eastAsia" w:ascii="Times New Roman" w:hAnsi="Times New Roman" w:eastAsia="宋体" w:cs="Times New Roman"/>
                <w:color w:val="000000"/>
                <w:kern w:val="0"/>
                <w:szCs w:val="21"/>
              </w:rPr>
              <w:t>验收监测期间生产负荷一览表</w:t>
            </w:r>
          </w:p>
          <w:tbl>
            <w:tblPr>
              <w:tblStyle w:val="9"/>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767"/>
              <w:gridCol w:w="1598"/>
              <w:gridCol w:w="1545"/>
              <w:gridCol w:w="1546"/>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eastAsia"/>
                      <w:lang w:eastAsia="zh-CN"/>
                    </w:rPr>
                  </w:pPr>
                  <w:r>
                    <w:rPr>
                      <w:rFonts w:hint="eastAsia"/>
                      <w:lang w:eastAsia="zh-CN"/>
                    </w:rPr>
                    <w:t>监测日期</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eastAsia"/>
                      <w:lang w:eastAsia="zh-CN"/>
                    </w:rPr>
                  </w:pPr>
                  <w:r>
                    <w:rPr>
                      <w:rFonts w:hint="eastAsia"/>
                      <w:lang w:eastAsia="zh-CN"/>
                    </w:rPr>
                    <w:t>产品名称</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eastAsia"/>
                      <w:lang w:eastAsia="zh-CN"/>
                    </w:rPr>
                  </w:pPr>
                  <w:r>
                    <w:rPr>
                      <w:rFonts w:hint="eastAsia"/>
                      <w:lang w:eastAsia="zh-CN"/>
                    </w:rPr>
                    <w:t>设计产量（</w:t>
                  </w:r>
                  <w:r>
                    <w:rPr>
                      <w:rFonts w:hint="eastAsia"/>
                      <w:lang w:val="en-US" w:eastAsia="zh-CN"/>
                    </w:rPr>
                    <w:t>/</w:t>
                  </w:r>
                  <w:r>
                    <w:rPr>
                      <w:rFonts w:hint="eastAsia"/>
                      <w:lang w:eastAsia="zh-CN"/>
                    </w:rPr>
                    <w:t>年）</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default"/>
                      <w:lang w:val="en-US" w:eastAsia="zh-CN"/>
                    </w:rPr>
                  </w:pPr>
                  <w:r>
                    <w:rPr>
                      <w:rFonts w:hint="eastAsia"/>
                      <w:lang w:val="en-US" w:eastAsia="zh-CN"/>
                    </w:rPr>
                    <w:t>实际产量</w:t>
                  </w:r>
                  <w:r>
                    <w:rPr>
                      <w:rFonts w:hint="eastAsia"/>
                      <w:lang w:eastAsia="zh-CN"/>
                    </w:rPr>
                    <w:t>（</w:t>
                  </w:r>
                  <w:r>
                    <w:rPr>
                      <w:rFonts w:hint="eastAsia"/>
                      <w:lang w:val="en-US" w:eastAsia="zh-CN"/>
                    </w:rPr>
                    <w:t>/年</w:t>
                  </w:r>
                  <w:r>
                    <w:rPr>
                      <w:rFonts w:hint="eastAsia"/>
                      <w:lang w:eastAsia="zh-CN"/>
                    </w:rPr>
                    <w:t>）</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eastAsia" w:ascii="Times New Roman" w:hAnsi="Times New Roman" w:eastAsia="宋体" w:cs="Times New Roman"/>
                      <w:kern w:val="2"/>
                      <w:sz w:val="21"/>
                      <w:szCs w:val="24"/>
                      <w:lang w:val="en-US" w:eastAsia="zh-CN" w:bidi="ar-SA"/>
                    </w:rPr>
                  </w:pPr>
                  <w:r>
                    <w:rPr>
                      <w:rFonts w:hint="eastAsia"/>
                      <w:lang w:eastAsia="zh-CN"/>
                    </w:rPr>
                    <w:t>实际产量（</w:t>
                  </w:r>
                  <w:r>
                    <w:rPr>
                      <w:rFonts w:hint="eastAsia"/>
                      <w:lang w:val="en-US" w:eastAsia="zh-CN"/>
                    </w:rPr>
                    <w:t>/</w:t>
                  </w:r>
                  <w:r>
                    <w:rPr>
                      <w:rFonts w:hint="eastAsia"/>
                      <w:lang w:eastAsia="zh-CN"/>
                    </w:rPr>
                    <w:t>天）</w:t>
                  </w:r>
                </w:p>
              </w:tc>
              <w:tc>
                <w:tcPr>
                  <w:tcW w:w="1076" w:type="dxa"/>
                  <w:vAlign w:val="center"/>
                </w:tcPr>
                <w:p>
                  <w:pPr>
                    <w:keepNext w:val="0"/>
                    <w:keepLines w:val="0"/>
                    <w:pageBreakBefore w:val="0"/>
                    <w:widowControl w:val="0"/>
                    <w:kinsoku/>
                    <w:wordWrap/>
                    <w:overflowPunct/>
                    <w:topLinePunct w:val="0"/>
                    <w:autoSpaceDE/>
                    <w:autoSpaceDN/>
                    <w:bidi w:val="0"/>
                    <w:adjustRightInd/>
                    <w:snapToGrid/>
                    <w:spacing w:before="62" w:beforeLines="20" w:line="288" w:lineRule="auto"/>
                    <w:jc w:val="center"/>
                    <w:textAlignment w:val="auto"/>
                    <w:outlineLvl w:val="9"/>
                    <w:rPr>
                      <w:rFonts w:hint="eastAsia"/>
                      <w:lang w:eastAsia="zh-CN"/>
                    </w:rPr>
                  </w:pPr>
                  <w:r>
                    <w:rPr>
                      <w:rFonts w:hint="eastAsia"/>
                      <w:lang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eastAsia" w:eastAsia="宋体"/>
                      <w:lang w:val="en-US" w:eastAsia="zh-CN"/>
                    </w:rPr>
                  </w:pPr>
                  <w:r>
                    <w:rPr>
                      <w:rFonts w:hint="eastAsia" w:ascii="Times New Roman" w:hAnsi="Times New Roman" w:eastAsia="宋体" w:cs="Times New Roman"/>
                      <w:bCs/>
                      <w:kern w:val="0"/>
                      <w:szCs w:val="21"/>
                      <w:lang w:val="en-US" w:eastAsia="zh-CN"/>
                    </w:rPr>
                    <w:t>2021.0</w:t>
                  </w:r>
                  <w:r>
                    <w:rPr>
                      <w:rFonts w:hint="eastAsia" w:ascii="Times New Roman" w:hAnsi="Times New Roman" w:cs="Times New Roman"/>
                      <w:bCs/>
                      <w:kern w:val="0"/>
                      <w:szCs w:val="21"/>
                      <w:lang w:val="en-US" w:eastAsia="zh-CN"/>
                    </w:rPr>
                    <w:t>8.0</w:t>
                  </w:r>
                  <w:r>
                    <w:rPr>
                      <w:rFonts w:hint="eastAsia" w:ascii="Times New Roman" w:hAnsi="Times New Roman" w:eastAsia="宋体" w:cs="Times New Roman"/>
                      <w:bCs/>
                      <w:kern w:val="0"/>
                      <w:szCs w:val="21"/>
                      <w:lang w:val="en-US" w:eastAsia="zh-CN"/>
                    </w:rPr>
                    <w:t>2</w:t>
                  </w:r>
                </w:p>
              </w:tc>
              <w:tc>
                <w:tcPr>
                  <w:tcW w:w="1767"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K/F 齿轮</w:t>
                  </w:r>
                </w:p>
              </w:tc>
              <w:tc>
                <w:tcPr>
                  <w:tcW w:w="1598"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 万台套</w:t>
                  </w:r>
                </w:p>
              </w:tc>
              <w:tc>
                <w:tcPr>
                  <w:tcW w:w="1545"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 万台套</w:t>
                  </w:r>
                </w:p>
              </w:tc>
              <w:tc>
                <w:tcPr>
                  <w:tcW w:w="1546"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180</w:t>
                  </w:r>
                </w:p>
              </w:tc>
              <w:tc>
                <w:tcPr>
                  <w:tcW w:w="1076"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eastAsia" w:eastAsia="宋体"/>
                      <w:lang w:val="en-US" w:eastAsia="zh-CN"/>
                    </w:rPr>
                  </w:pPr>
                </w:p>
              </w:tc>
              <w:tc>
                <w:tcPr>
                  <w:tcW w:w="1767"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6DL/M 机齿轮</w:t>
                  </w:r>
                </w:p>
              </w:tc>
              <w:tc>
                <w:tcPr>
                  <w:tcW w:w="1598"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 万台套</w:t>
                  </w:r>
                </w:p>
              </w:tc>
              <w:tc>
                <w:tcPr>
                  <w:tcW w:w="1545"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 万台套</w:t>
                  </w:r>
                </w:p>
              </w:tc>
              <w:tc>
                <w:tcPr>
                  <w:tcW w:w="1546"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238</w:t>
                  </w:r>
                </w:p>
              </w:tc>
              <w:tc>
                <w:tcPr>
                  <w:tcW w:w="1076" w:type="dxa"/>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eastAsia" w:eastAsia="宋体"/>
                      <w:lang w:val="en-US" w:eastAsia="zh-CN"/>
                    </w:rPr>
                  </w:pPr>
                </w:p>
              </w:tc>
              <w:tc>
                <w:tcPr>
                  <w:tcW w:w="1767"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汽车发动机齿轮</w:t>
                  </w:r>
                </w:p>
              </w:tc>
              <w:tc>
                <w:tcPr>
                  <w:tcW w:w="1598"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10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10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298</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default" w:eastAsia="宋体"/>
                      <w:lang w:val="en-US" w:eastAsia="zh-CN"/>
                    </w:rPr>
                  </w:pPr>
                  <w:r>
                    <w:rPr>
                      <w:rFonts w:hint="eastAsia" w:ascii="Times New Roman" w:hAnsi="Times New Roman" w:eastAsia="宋体" w:cs="Times New Roman"/>
                      <w:bCs/>
                      <w:kern w:val="0"/>
                      <w:szCs w:val="21"/>
                      <w:lang w:val="en-US" w:eastAsia="zh-CN"/>
                    </w:rPr>
                    <w:t>2021.0</w:t>
                  </w:r>
                  <w:r>
                    <w:rPr>
                      <w:rFonts w:hint="eastAsia" w:ascii="Times New Roman" w:hAnsi="Times New Roman" w:cs="Times New Roman"/>
                      <w:bCs/>
                      <w:kern w:val="0"/>
                      <w:szCs w:val="21"/>
                      <w:lang w:val="en-US" w:eastAsia="zh-CN"/>
                    </w:rPr>
                    <w:t>8.0</w:t>
                  </w:r>
                  <w:r>
                    <w:rPr>
                      <w:rFonts w:hint="eastAsia" w:cs="Times New Roman"/>
                      <w:bCs/>
                      <w:kern w:val="0"/>
                      <w:szCs w:val="21"/>
                      <w:lang w:val="en-US" w:eastAsia="zh-CN"/>
                    </w:rPr>
                    <w:t>3</w:t>
                  </w:r>
                </w:p>
              </w:tc>
              <w:tc>
                <w:tcPr>
                  <w:tcW w:w="1767"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K/F 齿轮</w:t>
                  </w:r>
                </w:p>
              </w:tc>
              <w:tc>
                <w:tcPr>
                  <w:tcW w:w="1598"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170</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eastAsia" w:eastAsia="宋体"/>
                      <w:lang w:val="en-US" w:eastAsia="zh-CN"/>
                    </w:rPr>
                  </w:pPr>
                </w:p>
              </w:tc>
              <w:tc>
                <w:tcPr>
                  <w:tcW w:w="1767"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6DL/M 机齿轮</w:t>
                  </w:r>
                </w:p>
              </w:tc>
              <w:tc>
                <w:tcPr>
                  <w:tcW w:w="1598"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232</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outlineLvl w:val="9"/>
                    <w:rPr>
                      <w:rFonts w:hint="eastAsia" w:eastAsia="宋体"/>
                      <w:lang w:val="en-US" w:eastAsia="zh-CN"/>
                    </w:rPr>
                  </w:pPr>
                </w:p>
              </w:tc>
              <w:tc>
                <w:tcPr>
                  <w:tcW w:w="1767"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汽车发动机齿轮</w:t>
                  </w:r>
                </w:p>
              </w:tc>
              <w:tc>
                <w:tcPr>
                  <w:tcW w:w="1598" w:type="dxa"/>
                  <w:vAlign w:val="center"/>
                </w:tcPr>
                <w:p>
                  <w:pPr>
                    <w:spacing w:line="240" w:lineRule="auto"/>
                    <w:jc w:val="center"/>
                    <w:rPr>
                      <w:rFonts w:hint="eastAsia"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10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10 万台套</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291</w:t>
                  </w:r>
                </w:p>
              </w:tc>
              <w:tc>
                <w:tcPr>
                  <w:tcW w:w="0" w:type="auto"/>
                  <w:vAlign w:val="center"/>
                </w:tcPr>
                <w:p>
                  <w:pPr>
                    <w:spacing w:line="240" w:lineRule="auto"/>
                    <w:jc w:val="center"/>
                    <w:rPr>
                      <w:rFonts w:hint="default" w:ascii="Times New Roman" w:hAnsi="Times New Roman" w:cs="Times New Roman"/>
                      <w:bCs/>
                      <w:kern w:val="0"/>
                      <w:szCs w:val="21"/>
                      <w:lang w:val="en-US" w:eastAsia="zh-CN"/>
                    </w:rPr>
                  </w:pPr>
                  <w:r>
                    <w:rPr>
                      <w:rFonts w:hint="eastAsia" w:ascii="Times New Roman" w:hAnsi="Times New Roman" w:cs="Times New Roman"/>
                      <w:bCs/>
                      <w:kern w:val="0"/>
                      <w:szCs w:val="21"/>
                      <w:lang w:val="en-US" w:eastAsia="zh-CN"/>
                    </w:rPr>
                    <w:t>89.2</w:t>
                  </w:r>
                </w:p>
              </w:tc>
            </w:tr>
          </w:tbl>
          <w:p>
            <w:pPr>
              <w:widowControl/>
              <w:adjustRightInd w:val="0"/>
              <w:snapToGrid w:val="0"/>
              <w:spacing w:before="48" w:beforeLines="20" w:after="200" w:line="360" w:lineRule="auto"/>
              <w:jc w:val="left"/>
              <w:rPr>
                <w:rFonts w:ascii="Tahoma" w:hAnsi="Tahoma" w:eastAsia="仿宋_GB2312" w:cs="Times New Roman"/>
                <w:color w:val="000000"/>
                <w:kern w:val="0"/>
                <w:szCs w:val="21"/>
              </w:rPr>
            </w:pPr>
          </w:p>
        </w:tc>
      </w:tr>
    </w:tbl>
    <w:p>
      <w:pPr>
        <w:widowControl/>
        <w:adjustRightInd w:val="0"/>
        <w:snapToGrid w:val="0"/>
        <w:spacing w:line="360" w:lineRule="auto"/>
        <w:jc w:val="left"/>
        <w:rPr>
          <w:rFonts w:ascii="Tahoma" w:hAnsi="Tahoma" w:eastAsia="仿宋_GB2312" w:cs="Times New Roman"/>
          <w:b/>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pPr>
        <w:keepNext/>
        <w:keepLines/>
        <w:widowControl/>
        <w:adjustRightInd w:val="0"/>
        <w:snapToGrid w:val="0"/>
        <w:spacing w:line="360" w:lineRule="auto"/>
        <w:jc w:val="left"/>
        <w:outlineLvl w:val="0"/>
        <w:rPr>
          <w:rFonts w:hint="default" w:ascii="宋体" w:hAnsi="宋体" w:eastAsia="宋体" w:cs="宋体"/>
          <w:b/>
          <w:color w:val="000000"/>
          <w:kern w:val="44"/>
          <w:szCs w:val="21"/>
          <w:lang w:val="en-US" w:eastAsia="zh-CN"/>
        </w:rPr>
      </w:pPr>
      <w:r>
        <w:rPr>
          <w:rFonts w:hint="eastAsia" w:ascii="宋体" w:hAnsi="宋体" w:eastAsia="宋体" w:cs="宋体"/>
          <w:b/>
          <w:color w:val="000000"/>
          <w:kern w:val="44"/>
          <w:szCs w:val="21"/>
        </w:rPr>
        <w:t>表</w:t>
      </w:r>
      <w:r>
        <w:rPr>
          <w:rFonts w:hint="eastAsia" w:ascii="宋体" w:hAnsi="宋体" w:eastAsia="宋体" w:cs="宋体"/>
          <w:b/>
          <w:color w:val="000000"/>
          <w:kern w:val="44"/>
          <w:szCs w:val="21"/>
          <w:lang w:val="en-US" w:eastAsia="zh-CN"/>
        </w:rPr>
        <w:t>九</w:t>
      </w:r>
      <w:r>
        <w:rPr>
          <w:rFonts w:hint="eastAsia" w:ascii="宋体" w:hAnsi="宋体" w:eastAsia="宋体" w:cs="宋体"/>
          <w:b/>
          <w:color w:val="000000"/>
          <w:kern w:val="44"/>
          <w:szCs w:val="21"/>
        </w:rPr>
        <w:t>、</w:t>
      </w:r>
      <w:r>
        <w:rPr>
          <w:rFonts w:hint="eastAsia" w:ascii="宋体" w:hAnsi="宋体" w:eastAsia="宋体" w:cs="宋体"/>
          <w:b/>
          <w:color w:val="000000"/>
          <w:kern w:val="44"/>
          <w:szCs w:val="21"/>
          <w:lang w:val="en-US" w:eastAsia="zh-CN"/>
        </w:rPr>
        <w:t>验收</w:t>
      </w:r>
      <w:r>
        <w:rPr>
          <w:rFonts w:hint="eastAsia" w:ascii="宋体" w:hAnsi="宋体" w:cs="宋体"/>
          <w:b/>
          <w:color w:val="000000"/>
          <w:kern w:val="44"/>
          <w:szCs w:val="21"/>
          <w:lang w:val="en-US" w:eastAsia="zh-CN"/>
        </w:rPr>
        <w:t>监测</w:t>
      </w:r>
      <w:r>
        <w:rPr>
          <w:rFonts w:hint="eastAsia" w:ascii="宋体" w:hAnsi="宋体" w:eastAsia="宋体" w:cs="宋体"/>
          <w:b/>
          <w:color w:val="000000"/>
          <w:kern w:val="44"/>
          <w:szCs w:val="21"/>
          <w:lang w:val="en-US" w:eastAsia="zh-CN"/>
        </w:rPr>
        <w:t>结果</w:t>
      </w:r>
    </w:p>
    <w:tbl>
      <w:tblPr>
        <w:tblStyle w:val="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440" w:hRule="atLeast"/>
          <w:jc w:val="center"/>
        </w:trPr>
        <w:tc>
          <w:tcPr>
            <w:tcW w:w="8516" w:type="dxa"/>
            <w:tcBorders>
              <w:top w:val="single" w:color="auto" w:sz="4" w:space="0"/>
              <w:left w:val="single" w:color="auto" w:sz="4" w:space="0"/>
              <w:bottom w:val="single" w:color="auto" w:sz="4" w:space="0"/>
              <w:right w:val="single" w:color="auto" w:sz="4" w:space="0"/>
            </w:tcBorders>
          </w:tcPr>
          <w:p>
            <w:pPr>
              <w:pStyle w:val="2"/>
              <w:spacing w:line="240" w:lineRule="auto"/>
              <w:jc w:val="both"/>
              <w:rPr>
                <w:rFonts w:hint="eastAsia" w:ascii="Times New Roman" w:hAnsi="Times New Roman" w:eastAsia="宋体" w:cs="Times New Roman"/>
                <w:sz w:val="24"/>
                <w:szCs w:val="24"/>
                <w:lang w:val="en-US" w:eastAsia="zh-CN"/>
              </w:rPr>
            </w:pPr>
            <w:bookmarkStart w:id="18" w:name="_Toc26436"/>
            <w:r>
              <w:rPr>
                <w:rFonts w:hint="eastAsia" w:ascii="Times New Roman" w:hAnsi="Times New Roman" w:eastAsia="宋体" w:cs="Times New Roman"/>
                <w:sz w:val="24"/>
                <w:szCs w:val="24"/>
                <w:lang w:val="en-US" w:eastAsia="zh-CN"/>
              </w:rPr>
              <w:t>固废核查结果：</w:t>
            </w:r>
          </w:p>
          <w:p>
            <w:pPr>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b/>
                <w:bCs/>
                <w:color w:val="000000"/>
                <w:sz w:val="21"/>
                <w:szCs w:val="21"/>
              </w:rPr>
              <w:t>表</w:t>
            </w:r>
            <w:r>
              <w:rPr>
                <w:rFonts w:hint="eastAsia" w:cs="Times New Roman"/>
                <w:b/>
                <w:bCs/>
                <w:color w:val="000000"/>
                <w:sz w:val="21"/>
                <w:szCs w:val="21"/>
                <w:lang w:val="en-US" w:eastAsia="zh-CN"/>
              </w:rPr>
              <w:t>10-2</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lang w:eastAsia="zh-CN"/>
              </w:rPr>
              <w:t>环保措施落实情况表</w:t>
            </w:r>
          </w:p>
          <w:tbl>
            <w:tblPr>
              <w:tblStyle w:val="9"/>
              <w:tblW w:w="85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42"/>
              <w:gridCol w:w="2795"/>
              <w:gridCol w:w="3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序号</w:t>
                  </w:r>
                </w:p>
              </w:tc>
              <w:tc>
                <w:tcPr>
                  <w:tcW w:w="134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固废类别</w:t>
                  </w:r>
                </w:p>
              </w:tc>
              <w:tc>
                <w:tcPr>
                  <w:tcW w:w="279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环评设计措施</w:t>
                  </w:r>
                </w:p>
              </w:tc>
              <w:tc>
                <w:tcPr>
                  <w:tcW w:w="3671"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实际建设措施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1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1</w:t>
                  </w:r>
                </w:p>
              </w:tc>
              <w:tc>
                <w:tcPr>
                  <w:tcW w:w="134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危险废物</w:t>
                  </w:r>
                </w:p>
              </w:tc>
              <w:tc>
                <w:tcPr>
                  <w:tcW w:w="279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w:t>
                  </w:r>
                </w:p>
              </w:tc>
              <w:tc>
                <w:tcPr>
                  <w:tcW w:w="3671"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设置</w:t>
                  </w:r>
                  <w:r>
                    <w:rPr>
                      <w:rFonts w:hint="default" w:ascii="Times New Roman" w:hAnsi="Times New Roman" w:eastAsia="宋体" w:cs="Times New Roman"/>
                      <w:color w:val="000000"/>
                      <w:kern w:val="2"/>
                      <w:sz w:val="21"/>
                      <w:szCs w:val="21"/>
                      <w:shd w:val="clear" w:color="auto" w:fill="FFFFFF"/>
                      <w:lang w:val="en-US" w:eastAsia="zh-CN"/>
                    </w:rPr>
                    <w:t>危废仓库</w:t>
                  </w:r>
                  <w:r>
                    <w:rPr>
                      <w:rFonts w:hint="eastAsia" w:ascii="Times New Roman" w:hAnsi="Times New Roman" w:eastAsia="宋体" w:cs="Times New Roman"/>
                      <w:color w:val="000000"/>
                      <w:kern w:val="2"/>
                      <w:sz w:val="21"/>
                      <w:szCs w:val="21"/>
                      <w:shd w:val="clear" w:color="auto" w:fill="FFFFFF"/>
                      <w:lang w:val="en-US" w:eastAsia="zh-CN"/>
                    </w:rPr>
                    <w:t>20</w:t>
                  </w:r>
                  <w:r>
                    <w:rPr>
                      <w:rFonts w:hint="default" w:ascii="Times New Roman" w:hAnsi="Times New Roman" w:eastAsia="宋体" w:cs="Times New Roman"/>
                      <w:color w:val="000000"/>
                      <w:kern w:val="2"/>
                      <w:sz w:val="21"/>
                      <w:szCs w:val="21"/>
                      <w:shd w:val="clear" w:color="auto" w:fill="FFFFFF"/>
                      <w:lang w:val="en-US" w:eastAsia="zh-CN"/>
                    </w:rPr>
                    <w:t>m</w:t>
                  </w:r>
                  <w:r>
                    <w:rPr>
                      <w:rFonts w:hint="default" w:ascii="Times New Roman" w:hAnsi="Times New Roman" w:eastAsia="宋体" w:cs="Times New Roman"/>
                      <w:color w:val="000000"/>
                      <w:kern w:val="2"/>
                      <w:sz w:val="21"/>
                      <w:szCs w:val="21"/>
                      <w:shd w:val="clear" w:color="auto" w:fill="FFFFFF"/>
                      <w:vertAlign w:val="superscript"/>
                      <w:lang w:val="en-US" w:eastAsia="zh-CN"/>
                    </w:rPr>
                    <w:t>2</w:t>
                  </w:r>
                  <w:r>
                    <w:rPr>
                      <w:rFonts w:hint="default" w:ascii="Times New Roman" w:hAnsi="Times New Roman" w:eastAsia="宋体" w:cs="Times New Roman"/>
                      <w:color w:val="000000"/>
                      <w:kern w:val="2"/>
                      <w:sz w:val="21"/>
                      <w:szCs w:val="21"/>
                      <w:shd w:val="clear" w:color="auto" w:fill="FFFFFF"/>
                      <w:lang w:val="en-US" w:eastAsia="zh-CN"/>
                    </w:rPr>
                    <w:t>，并设防雨、防渗漏、防溢流等措施，交</w:t>
                  </w:r>
                  <w:r>
                    <w:rPr>
                      <w:rFonts w:hint="eastAsia" w:ascii="Times New Roman" w:hAnsi="Times New Roman" w:eastAsia="宋体" w:cs="Times New Roman"/>
                      <w:color w:val="000000"/>
                      <w:kern w:val="2"/>
                      <w:sz w:val="21"/>
                      <w:szCs w:val="21"/>
                      <w:shd w:val="clear" w:color="auto" w:fill="FFFFFF"/>
                      <w:lang w:val="en-US" w:eastAsia="zh-CN"/>
                    </w:rPr>
                    <w:t>有资质单位</w:t>
                  </w:r>
                  <w:r>
                    <w:rPr>
                      <w:rFonts w:hint="default" w:ascii="Times New Roman" w:hAnsi="Times New Roman" w:eastAsia="宋体" w:cs="Times New Roman"/>
                      <w:color w:val="000000"/>
                      <w:kern w:val="2"/>
                      <w:sz w:val="21"/>
                      <w:szCs w:val="21"/>
                      <w:shd w:val="clear" w:color="auto" w:fill="FFFFFF"/>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1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2</w:t>
                  </w:r>
                </w:p>
              </w:tc>
              <w:tc>
                <w:tcPr>
                  <w:tcW w:w="134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一般固废</w:t>
                  </w:r>
                </w:p>
              </w:tc>
              <w:tc>
                <w:tcPr>
                  <w:tcW w:w="279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w:t>
                  </w:r>
                </w:p>
              </w:tc>
              <w:tc>
                <w:tcPr>
                  <w:tcW w:w="3671"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设置</w:t>
                  </w:r>
                  <w:r>
                    <w:rPr>
                      <w:rFonts w:hint="default" w:ascii="Times New Roman" w:hAnsi="Times New Roman" w:eastAsia="宋体" w:cs="Times New Roman"/>
                      <w:color w:val="000000"/>
                      <w:kern w:val="2"/>
                      <w:sz w:val="21"/>
                      <w:szCs w:val="21"/>
                      <w:shd w:val="clear" w:color="auto" w:fill="FFFFFF"/>
                      <w:lang w:val="en-US" w:eastAsia="zh-CN"/>
                    </w:rPr>
                    <w:t>一般固废仓库</w:t>
                  </w:r>
                  <w:r>
                    <w:rPr>
                      <w:rFonts w:hint="eastAsia" w:ascii="Times New Roman" w:hAnsi="Times New Roman" w:eastAsia="宋体" w:cs="Times New Roman"/>
                      <w:color w:val="000000"/>
                      <w:kern w:val="2"/>
                      <w:sz w:val="21"/>
                      <w:szCs w:val="21"/>
                      <w:shd w:val="clear" w:color="auto" w:fill="FFFFFF"/>
                      <w:lang w:val="en-US" w:eastAsia="zh-CN"/>
                    </w:rPr>
                    <w:t>100</w:t>
                  </w:r>
                  <w:r>
                    <w:rPr>
                      <w:rFonts w:hint="default" w:ascii="Times New Roman" w:hAnsi="Times New Roman" w:eastAsia="宋体" w:cs="Times New Roman"/>
                      <w:color w:val="000000"/>
                      <w:kern w:val="2"/>
                      <w:sz w:val="21"/>
                      <w:szCs w:val="21"/>
                      <w:shd w:val="clear" w:color="auto" w:fill="FFFFFF"/>
                      <w:lang w:val="en-US" w:eastAsia="zh-CN"/>
                    </w:rPr>
                    <w:t>m</w:t>
                  </w:r>
                  <w:r>
                    <w:rPr>
                      <w:rFonts w:hint="default" w:ascii="Times New Roman" w:hAnsi="Times New Roman" w:eastAsia="宋体" w:cs="Times New Roman"/>
                      <w:color w:val="000000"/>
                      <w:kern w:val="2"/>
                      <w:sz w:val="21"/>
                      <w:szCs w:val="21"/>
                      <w:shd w:val="clear" w:color="auto" w:fill="FFFFFF"/>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3</w:t>
                  </w:r>
                </w:p>
              </w:tc>
              <w:tc>
                <w:tcPr>
                  <w:tcW w:w="134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生活垃圾</w:t>
                  </w:r>
                </w:p>
              </w:tc>
              <w:tc>
                <w:tcPr>
                  <w:tcW w:w="279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themeColor="text1"/>
                      <w:kern w:val="2"/>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FFFFFF"/>
                      <w:lang w:val="en-US" w:eastAsia="zh-CN"/>
                      <w14:textFill>
                        <w14:solidFill>
                          <w14:schemeClr w14:val="tx1"/>
                        </w14:solidFill>
                      </w14:textFill>
                    </w:rPr>
                    <w:t>由环卫部门统一收集</w:t>
                  </w:r>
                </w:p>
              </w:tc>
              <w:tc>
                <w:tcPr>
                  <w:tcW w:w="3671"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themeColor="text1"/>
                      <w:kern w:val="2"/>
                      <w:sz w:val="21"/>
                      <w:szCs w:val="21"/>
                      <w:shd w:val="clear" w:color="auto" w:fill="FFFFFF"/>
                      <w:lang w:val="en-US" w:eastAsia="zh-CN"/>
                      <w14:textFill>
                        <w14:solidFill>
                          <w14:schemeClr w14:val="tx1"/>
                        </w14:solidFill>
                      </w14:textFill>
                    </w:rPr>
                  </w:pPr>
                  <w:r>
                    <w:rPr>
                      <w:rFonts w:hint="eastAsia" w:ascii="Times New Roman" w:hAnsi="Calibri" w:cs="Times New Roman" w:eastAsiaTheme="minorEastAsia"/>
                      <w:color w:val="000000" w:themeColor="text1"/>
                      <w:kern w:val="2"/>
                      <w:sz w:val="21"/>
                      <w:szCs w:val="24"/>
                      <w:lang w:val="en-US" w:eastAsia="zh-CN" w:bidi="ar-SA"/>
                      <w14:textFill>
                        <w14:solidFill>
                          <w14:schemeClr w14:val="tx1"/>
                        </w14:solidFill>
                      </w14:textFill>
                    </w:rPr>
                    <w:t>由苏州吴江洁美家园物业管理有限公司定期清运处理</w:t>
                  </w:r>
                </w:p>
              </w:tc>
            </w:tr>
          </w:tbl>
          <w:p>
            <w:pPr>
              <w:spacing w:line="240" w:lineRule="auto"/>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w:t>
            </w:r>
            <w:r>
              <w:rPr>
                <w:rFonts w:hint="eastAsia" w:cs="Times New Roman"/>
                <w:b/>
                <w:bCs/>
                <w:color w:val="000000"/>
                <w:sz w:val="21"/>
                <w:szCs w:val="21"/>
                <w:lang w:val="en-US" w:eastAsia="zh-CN"/>
              </w:rPr>
              <w:t>10-3</w:t>
            </w:r>
            <w:r>
              <w:rPr>
                <w:rFonts w:hint="eastAsia" w:ascii="Times New Roman" w:hAnsi="Times New Roman" w:eastAsia="宋体" w:cs="Times New Roman"/>
                <w:b/>
                <w:bCs/>
                <w:color w:val="000000"/>
                <w:sz w:val="21"/>
                <w:szCs w:val="21"/>
                <w:lang w:val="en-US" w:eastAsia="zh-CN"/>
              </w:rPr>
              <w:t xml:space="preserve"> 危险废仓库规范设置一览表</w:t>
            </w:r>
          </w:p>
          <w:tbl>
            <w:tblPr>
              <w:tblStyle w:val="9"/>
              <w:tblW w:w="836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2904"/>
              <w:gridCol w:w="405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序号</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规范设置要求</w:t>
                  </w:r>
                </w:p>
              </w:tc>
              <w:tc>
                <w:tcPr>
                  <w:tcW w:w="4051"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设置情况</w:t>
                  </w:r>
                </w:p>
              </w:tc>
              <w:tc>
                <w:tcPr>
                  <w:tcW w:w="97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1</w:t>
                  </w:r>
                </w:p>
              </w:tc>
              <w:tc>
                <w:tcPr>
                  <w:tcW w:w="2904"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应严格执行《危险废物贮存 污 染 控 制 标（GB18597-2001）、《环境保护图形标志固体废物贮存 （ 处 置 ） 场 》</w:t>
                  </w:r>
                </w:p>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0"/>
                      <w:sz w:val="21"/>
                      <w:szCs w:val="21"/>
                      <w:lang w:val="en-US" w:eastAsia="zh-CN" w:bidi="ar"/>
                    </w:rPr>
                    <w:t>（GB15562.2-1995）和危险废物识别标识设置规范设置志，配备通讯设备、照明设施和消防设施，设置气体导出口及气体净化装置。</w:t>
                  </w:r>
                </w:p>
              </w:tc>
              <w:tc>
                <w:tcPr>
                  <w:tcW w:w="4051"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0"/>
                      <w:sz w:val="21"/>
                      <w:szCs w:val="21"/>
                      <w:lang w:val="en-US" w:eastAsia="zh-CN" w:bidi="ar"/>
                    </w:rPr>
                    <w:t>采用立式固定方式将危废废物信息公开栏固定在厂区 门口醒目的位置，其顶端距离地面 200cm 处，材料及尺寸：底板采用 5mm 铝板、底板20cm×80cm，严格按照规范设置公开内容；危废仓库内部分区规范设置了警示标志牌：顶端距离地面 200cm 处，材料及尺寸： 采用 5mm 铝板，不锈钢边框 2cm 压边，尺寸：75cm×45cm ，三角形警示标志边长 42cm，外檐 2.5cm，并严格按照规范设置公开内容；规范设置包装识别标签，底色为醒目的桔黄色，文字样色为黑色，字体为黑体，尺寸：粘贴式标签 20cm×20cm，系挂式标签10cm×10cm。危废仓库规范配备通讯设备、照明设施和消防设施。</w:t>
                  </w:r>
                </w:p>
              </w:tc>
              <w:tc>
                <w:tcPr>
                  <w:tcW w:w="97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2</w:t>
                  </w:r>
                </w:p>
              </w:tc>
              <w:tc>
                <w:tcPr>
                  <w:tcW w:w="2904"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在出入口、设施内部、危险废物运输车辆通道等关键位置按照危险废物贮存设施视频监控布设要求设置视频监控，并与中控室联网。</w:t>
                  </w:r>
                </w:p>
              </w:tc>
              <w:tc>
                <w:tcPr>
                  <w:tcW w:w="4051"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已在出入口、设施内部、危险废物运输车辆通道等关键位置规范设置视频监控。</w:t>
                  </w:r>
                </w:p>
              </w:tc>
              <w:tc>
                <w:tcPr>
                  <w:tcW w:w="972"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基本符合规范要求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3</w:t>
                  </w:r>
                </w:p>
              </w:tc>
              <w:tc>
                <w:tcPr>
                  <w:tcW w:w="2904"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根据危险废物的种类和特性进行分区、分类贮存，设置防雨、防火、防雷、防扬散、防渗漏装置及泄漏液体收集装置。</w:t>
                  </w:r>
                </w:p>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051"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危废包括</w:t>
                  </w:r>
                  <w:r>
                    <w:rPr>
                      <w:rFonts w:hint="eastAsia" w:cs="Times New Roman"/>
                      <w:color w:val="000000"/>
                      <w:kern w:val="0"/>
                      <w:sz w:val="21"/>
                      <w:szCs w:val="21"/>
                      <w:lang w:val="en-US" w:eastAsia="zh-CN" w:bidi="ar"/>
                    </w:rPr>
                    <w:t>废淬火油、废矿物油、废乳化液、废包装桶</w:t>
                  </w:r>
                  <w:r>
                    <w:rPr>
                      <w:rFonts w:hint="default" w:ascii="Times New Roman" w:hAnsi="Times New Roman" w:eastAsia="宋体" w:cs="Times New Roman"/>
                      <w:color w:val="000000"/>
                      <w:kern w:val="0"/>
                      <w:sz w:val="21"/>
                      <w:szCs w:val="21"/>
                      <w:lang w:val="en-US" w:eastAsia="zh-CN" w:bidi="ar"/>
                    </w:rPr>
                    <w:t>。 已进行分区、分类贮存，危险废物贮存设施规范设置防雨、防火、防雷、防扬散、防渗漏装置，危废仓库设置有围堰及环氧墙面， 以及</w:t>
                  </w:r>
                  <w:r>
                    <w:rPr>
                      <w:rFonts w:hint="eastAsia" w:ascii="Times New Roman" w:hAnsi="Times New Roman" w:eastAsia="宋体" w:cs="Times New Roman"/>
                      <w:color w:val="000000"/>
                      <w:kern w:val="0"/>
                      <w:sz w:val="21"/>
                      <w:szCs w:val="21"/>
                      <w:lang w:val="en-US" w:eastAsia="zh-CN" w:bidi="ar"/>
                    </w:rPr>
                    <w:t>围堰</w:t>
                  </w:r>
                  <w:r>
                    <w:rPr>
                      <w:rFonts w:hint="default" w:ascii="Times New Roman" w:hAnsi="Times New Roman" w:eastAsia="宋体" w:cs="Times New Roman"/>
                      <w:color w:val="000000"/>
                      <w:kern w:val="0"/>
                      <w:sz w:val="21"/>
                      <w:szCs w:val="21"/>
                      <w:lang w:val="en-US" w:eastAsia="zh-CN" w:bidi="ar"/>
                    </w:rPr>
                    <w:t>，能满足最大泄漏液态物质的收集，截留容积满足要求。</w:t>
                  </w:r>
                </w:p>
              </w:tc>
              <w:tc>
                <w:tcPr>
                  <w:tcW w:w="972"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0"/>
                      <w:sz w:val="20"/>
                      <w:szCs w:val="20"/>
                      <w:lang w:val="en-US" w:eastAsia="zh-CN" w:bidi="ar"/>
                    </w:rPr>
                    <w:t>符合规范要求</w:t>
                  </w:r>
                </w:p>
              </w:tc>
            </w:tr>
          </w:tbl>
          <w:p>
            <w:pPr>
              <w:widowControl/>
              <w:adjustRightInd w:val="0"/>
              <w:snapToGrid w:val="0"/>
              <w:spacing w:before="48" w:beforeLines="20" w:after="200" w:line="240" w:lineRule="auto"/>
              <w:ind w:firstLine="420" w:firstLineChars="200"/>
              <w:jc w:val="left"/>
              <w:rPr>
                <w:rFonts w:hint="eastAsia" w:ascii="Tahoma" w:hAnsi="Tahoma" w:eastAsia="宋体" w:cs="Times New Roman"/>
                <w:color w:val="00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38" w:hRule="atLeast"/>
          <w:jc w:val="center"/>
        </w:trPr>
        <w:tc>
          <w:tcPr>
            <w:tcW w:w="8516" w:type="dxa"/>
            <w:tcBorders>
              <w:top w:val="single" w:color="auto" w:sz="4" w:space="0"/>
              <w:left w:val="single" w:color="auto" w:sz="4" w:space="0"/>
              <w:bottom w:val="single" w:color="auto" w:sz="4" w:space="0"/>
              <w:right w:val="single" w:color="auto" w:sz="4" w:space="0"/>
            </w:tcBorders>
          </w:tcPr>
          <w:p>
            <w:pPr>
              <w:spacing w:line="240" w:lineRule="auto"/>
              <w:jc w:val="center"/>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续</w:t>
            </w:r>
            <w:r>
              <w:rPr>
                <w:rFonts w:hint="eastAsia" w:ascii="Times New Roman" w:hAnsi="Times New Roman" w:eastAsia="宋体" w:cs="Times New Roman"/>
                <w:b/>
                <w:bCs/>
                <w:color w:val="000000"/>
                <w:sz w:val="21"/>
                <w:szCs w:val="21"/>
                <w:lang w:val="en-US" w:eastAsia="zh-CN"/>
              </w:rPr>
              <w:t>表</w:t>
            </w:r>
            <w:r>
              <w:rPr>
                <w:rFonts w:hint="eastAsia" w:cs="Times New Roman"/>
                <w:b/>
                <w:bCs/>
                <w:color w:val="000000"/>
                <w:sz w:val="21"/>
                <w:szCs w:val="21"/>
                <w:lang w:val="en-US" w:eastAsia="zh-CN"/>
              </w:rPr>
              <w:t>10-3</w:t>
            </w:r>
            <w:r>
              <w:rPr>
                <w:rFonts w:hint="eastAsia" w:ascii="Times New Roman" w:hAnsi="Times New Roman" w:eastAsia="宋体" w:cs="Times New Roman"/>
                <w:b/>
                <w:bCs/>
                <w:color w:val="000000"/>
                <w:sz w:val="21"/>
                <w:szCs w:val="21"/>
                <w:lang w:val="en-US" w:eastAsia="zh-CN"/>
              </w:rPr>
              <w:t>危险废仓库规范设置一览表</w:t>
            </w:r>
          </w:p>
          <w:tbl>
            <w:tblPr>
              <w:tblStyle w:val="9"/>
              <w:tblW w:w="836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2904"/>
              <w:gridCol w:w="3845"/>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序号</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规范设置要求</w:t>
                  </w: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设置情况</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eastAsia"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kern w:val="2"/>
                      <w:sz w:val="21"/>
                      <w:szCs w:val="21"/>
                      <w:shd w:val="clear" w:color="auto" w:fill="FFFFFF"/>
                      <w:lang w:val="en-US" w:eastAsia="zh-CN"/>
                    </w:rPr>
                    <w:t>4</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对易爆、易燃及排出有毒气体的危险废物进行预处理，稳定后贮存，否则按易爆、易燃危险品贮存。</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p>
              </w:tc>
              <w:tc>
                <w:tcPr>
                  <w:tcW w:w="3845" w:type="dxa"/>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kern w:val="0"/>
                      <w:sz w:val="21"/>
                      <w:szCs w:val="21"/>
                      <w:lang w:val="en-US" w:eastAsia="zh-CN" w:bidi="ar"/>
                    </w:rPr>
                    <w:t>危废包括</w:t>
                  </w:r>
                  <w:r>
                    <w:rPr>
                      <w:rFonts w:hint="eastAsia" w:cs="Times New Roman"/>
                      <w:color w:val="000000"/>
                      <w:kern w:val="0"/>
                      <w:sz w:val="21"/>
                      <w:szCs w:val="21"/>
                      <w:lang w:val="en-US" w:eastAsia="zh-CN" w:bidi="ar"/>
                    </w:rPr>
                    <w:t>废淬火油、废矿物油、废乳化液、废包装桶</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挥发量小</w:t>
                  </w:r>
                  <w:r>
                    <w:rPr>
                      <w:rFonts w:hint="default" w:ascii="Times New Roman" w:hAnsi="Times New Roman" w:eastAsia="宋体" w:cs="Times New Roman"/>
                      <w:color w:val="000000"/>
                      <w:kern w:val="0"/>
                      <w:sz w:val="21"/>
                      <w:szCs w:val="21"/>
                      <w:lang w:val="en-US" w:eastAsia="zh-CN" w:bidi="ar"/>
                    </w:rPr>
                    <w:t>。因此，不涉及易爆、易燃及排出有毒气体的危险废物，无须按照易爆、易燃危险品贮存。</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0"/>
                      <w:sz w:val="20"/>
                      <w:szCs w:val="20"/>
                      <w:lang w:val="en-US" w:eastAsia="zh-CN" w:bidi="ar"/>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5</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贮存设施周转的累积贮存量不得超过年许可经营能力的六分之一，贮存期限原则上不得超过一年。</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 xml:space="preserve">严格规范要求控制贮存量，贮存期限为 </w:t>
                  </w:r>
                  <w:r>
                    <w:rPr>
                      <w:rFonts w:hint="eastAsia" w:ascii="Times New Roman" w:hAnsi="Times New Roman" w:eastAsia="宋体" w:cs="Times New Roman"/>
                      <w:color w:val="000000"/>
                      <w:kern w:val="2"/>
                      <w:sz w:val="21"/>
                      <w:szCs w:val="21"/>
                      <w:shd w:val="clear" w:color="auto" w:fill="FFFFFF"/>
                      <w:lang w:val="en-US" w:eastAsia="zh-CN"/>
                    </w:rPr>
                    <w:t>6</w:t>
                  </w:r>
                  <w:r>
                    <w:rPr>
                      <w:rFonts w:hint="default" w:ascii="Times New Roman" w:hAnsi="Times New Roman" w:eastAsia="宋体" w:cs="Times New Roman"/>
                      <w:color w:val="000000"/>
                      <w:kern w:val="2"/>
                      <w:sz w:val="21"/>
                      <w:szCs w:val="21"/>
                      <w:shd w:val="clear" w:color="auto" w:fill="FFFFFF"/>
                      <w:lang w:val="en-US" w:eastAsia="zh-CN"/>
                    </w:rPr>
                    <w:t>个月</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6</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禁止将不相容（相互反应） 的危险废物在同一容器内混装。</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本项目不涉及同一容器内混装。</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7</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禁止将不相容（相互反应） 的危险废物在同一容器内混装。</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本项目</w:t>
                  </w:r>
                  <w:r>
                    <w:rPr>
                      <w:rFonts w:hint="eastAsia" w:cs="Times New Roman"/>
                      <w:color w:val="000000"/>
                      <w:kern w:val="0"/>
                      <w:sz w:val="21"/>
                      <w:szCs w:val="21"/>
                      <w:lang w:val="en-US" w:eastAsia="zh-CN" w:bidi="ar"/>
                    </w:rPr>
                    <w:t>废淬火油、废矿物油、废乳化液、废包装桶</w:t>
                  </w:r>
                  <w:r>
                    <w:rPr>
                      <w:rFonts w:hint="eastAsia" w:ascii="Times New Roman" w:hAnsi="Times New Roman" w:eastAsia="宋体" w:cs="Times New Roman"/>
                      <w:color w:val="000000"/>
                      <w:kern w:val="0"/>
                      <w:sz w:val="21"/>
                      <w:szCs w:val="21"/>
                      <w:lang w:val="en-US" w:eastAsia="zh-CN" w:bidi="ar"/>
                    </w:rPr>
                    <w:t>单独存放</w:t>
                  </w:r>
                  <w:r>
                    <w:rPr>
                      <w:rFonts w:hint="default" w:ascii="Times New Roman" w:hAnsi="Times New Roman" w:eastAsia="宋体" w:cs="Times New Roman"/>
                      <w:color w:val="000000"/>
                      <w:kern w:val="2"/>
                      <w:sz w:val="21"/>
                      <w:szCs w:val="21"/>
                      <w:shd w:val="clear" w:color="auto" w:fill="FFFFFF"/>
                      <w:lang w:val="en-US" w:eastAsia="zh-CN"/>
                    </w:rPr>
                    <w:t>，不涉及同一容器内混装。不涉及不相容的危险废物混情形。</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8</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装载液体、半固体危险废物 的容器内须留足够空间，容 器顶部与液体表面之间保留 100 毫米以上的空间。</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cs="Times New Roman"/>
                      <w:color w:val="000000"/>
                      <w:kern w:val="0"/>
                      <w:sz w:val="21"/>
                      <w:szCs w:val="21"/>
                      <w:lang w:val="en-US" w:eastAsia="zh-CN" w:bidi="ar"/>
                    </w:rPr>
                    <w:t>废淬火油、废矿物油、废乳化液</w:t>
                  </w:r>
                  <w:r>
                    <w:rPr>
                      <w:rFonts w:hint="default" w:ascii="Times New Roman" w:hAnsi="Times New Roman" w:eastAsia="宋体" w:cs="Times New Roman"/>
                      <w:color w:val="000000"/>
                      <w:kern w:val="2"/>
                      <w:sz w:val="21"/>
                      <w:szCs w:val="21"/>
                      <w:shd w:val="clear" w:color="auto" w:fill="FFFFFF"/>
                      <w:lang w:val="en-US" w:eastAsia="zh-CN"/>
                    </w:rPr>
                    <w:t>容 器顶部与液体表面之间保留 100 毫米以上的空间</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9</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盛装危险废物的容器材质和衬里要与危险废物相容 （不相互反应）。</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cs="Times New Roman"/>
                      <w:color w:val="000000"/>
                      <w:kern w:val="0"/>
                      <w:sz w:val="21"/>
                      <w:szCs w:val="21"/>
                      <w:lang w:val="en-US" w:eastAsia="zh-CN" w:bidi="ar"/>
                    </w:rPr>
                    <w:t>废淬火油、废矿物油、废乳化液、废包装桶</w:t>
                  </w:r>
                  <w:r>
                    <w:rPr>
                      <w:rFonts w:hint="eastAsia" w:ascii="Times New Roman" w:hAnsi="Times New Roman" w:eastAsia="宋体" w:cs="Times New Roman"/>
                      <w:color w:val="000000"/>
                      <w:kern w:val="0"/>
                      <w:sz w:val="21"/>
                      <w:szCs w:val="21"/>
                      <w:lang w:val="en-US" w:eastAsia="zh-CN" w:bidi="ar"/>
                    </w:rPr>
                    <w:t>单独存放</w:t>
                  </w:r>
                  <w:r>
                    <w:rPr>
                      <w:rFonts w:hint="default" w:ascii="Times New Roman" w:hAnsi="Times New Roman" w:eastAsia="宋体" w:cs="Times New Roman"/>
                      <w:color w:val="000000"/>
                      <w:kern w:val="2"/>
                      <w:sz w:val="21"/>
                      <w:szCs w:val="21"/>
                      <w:shd w:val="clear" w:color="auto" w:fill="FFFFFF"/>
                      <w:lang w:val="en-US" w:eastAsia="zh-CN"/>
                    </w:rPr>
                    <w:t>，不涉及同一容器内混装，也不与衬里反应，故盛装危险废物的容器材质和衬里要与危险废物相容。</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1</w:t>
                  </w:r>
                  <w:r>
                    <w:rPr>
                      <w:rFonts w:hint="eastAsia" w:ascii="Times New Roman" w:hAnsi="Times New Roman" w:eastAsia="宋体" w:cs="Times New Roman"/>
                      <w:color w:val="000000"/>
                      <w:kern w:val="2"/>
                      <w:sz w:val="21"/>
                      <w:szCs w:val="21"/>
                      <w:shd w:val="clear" w:color="auto" w:fill="FFFFFF"/>
                      <w:lang w:val="en-US" w:eastAsia="zh-CN"/>
                    </w:rPr>
                    <w:t>0</w:t>
                  </w:r>
                </w:p>
              </w:tc>
              <w:tc>
                <w:tcPr>
                  <w:tcW w:w="2904"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应在易燃、易爆等危险品仓</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库、高压输电线路防护区域</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以外。</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p>
              </w:tc>
              <w:tc>
                <w:tcPr>
                  <w:tcW w:w="3845"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本项目不涉及易燃易爆危险化学品贮存，顾危废仓库不在易燃、易爆等危险品仓库内、同时周边不涉及高压输电线路，故不在高压输电线路防护区域内。</w:t>
                  </w:r>
                </w:p>
              </w:tc>
              <w:tc>
                <w:tcPr>
                  <w:tcW w:w="1178" w:type="dxa"/>
                  <w:tcBorders>
                    <w:tl2br w:val="nil"/>
                    <w:tr2bl w:val="nil"/>
                  </w:tcBorders>
                  <w:vAlign w:val="center"/>
                </w:tcPr>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符合规范</w:t>
                  </w:r>
                </w:p>
                <w:p>
                  <w:pPr>
                    <w:pStyle w:val="14"/>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要求</w:t>
                  </w:r>
                </w:p>
              </w:tc>
            </w:tr>
          </w:tbl>
          <w:p>
            <w:pPr>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default" w:ascii="Times New Roman" w:hAnsi="Times New Roman" w:eastAsia="宋体" w:cs="Times New Roman"/>
                <w:b w:val="0"/>
                <w:bCs/>
                <w:color w:val="000000"/>
                <w:sz w:val="24"/>
                <w:szCs w:val="24"/>
                <w:lang w:val="en-US"/>
              </w:rPr>
            </w:pPr>
            <w:r>
              <w:rPr>
                <w:rFonts w:hint="default" w:ascii="Times New Roman" w:hAnsi="Times New Roman" w:eastAsia="宋体" w:cs="Times New Roman"/>
                <w:b w:val="0"/>
                <w:bCs/>
                <w:color w:val="000000"/>
                <w:sz w:val="24"/>
                <w:szCs w:val="24"/>
                <w:lang w:val="en-US"/>
              </w:rPr>
              <w:t>企业已建立危险废物台账，悬挂于危废仓库内，如实记载危险废物的种类、数量、性质、产生环节、流向、贮存、利用处置等信息。已选择有相应危险废物经营资质的单位及时处置所产生的危险废物，贮存期限不超过一年。并执行危险废物转移联单制度。</w:t>
            </w:r>
          </w:p>
          <w:p>
            <w:pPr>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default" w:ascii="Times New Roman" w:hAnsi="Times New Roman" w:eastAsia="宋体" w:cs="Times New Roman"/>
                <w:b w:val="0"/>
                <w:bCs/>
                <w:color w:val="000000"/>
                <w:sz w:val="24"/>
                <w:szCs w:val="24"/>
                <w:lang w:val="en-US"/>
              </w:rPr>
            </w:pPr>
            <w:r>
              <w:rPr>
                <w:rFonts w:hint="default" w:ascii="Times New Roman" w:hAnsi="Times New Roman" w:eastAsia="宋体" w:cs="Times New Roman"/>
                <w:b w:val="0"/>
                <w:bCs/>
                <w:color w:val="000000"/>
                <w:sz w:val="24"/>
                <w:szCs w:val="24"/>
                <w:lang w:val="en-US"/>
              </w:rPr>
              <w:t xml:space="preserve">企业已严格按照以上规范设置危废仓库，项目各类废物在按相关要求分类收集、 分别存放，得到妥善的处理或处置的情况下，各种固废可得到有效处置，对周围环境影响较小，不会对周围环境产生二次污染。 </w:t>
            </w:r>
          </w:p>
          <w:p>
            <w:pPr>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Tahoma" w:hAnsi="Tahoma" w:eastAsia="宋体" w:cs="Times New Roman"/>
                <w:color w:val="000000"/>
                <w:kern w:val="0"/>
                <w:szCs w:val="21"/>
                <w:lang w:val="en-US" w:eastAsia="zh-CN"/>
              </w:rPr>
            </w:pPr>
            <w:r>
              <w:rPr>
                <w:rFonts w:hint="default" w:ascii="Times New Roman" w:hAnsi="Times New Roman" w:eastAsia="宋体" w:cs="Times New Roman"/>
                <w:b w:val="0"/>
                <w:bCs/>
                <w:color w:val="000000"/>
                <w:sz w:val="24"/>
                <w:szCs w:val="24"/>
                <w:lang w:val="en-US"/>
              </w:rPr>
              <w:t>综上分析，采取上述措施后，企业危废仓库的建设符合《危险废物贮存污染控制标准》（GB18597-2001）及其修改单、《省生态环境厅关于进一步加强危险废物污染防治工作的实 施意见》（苏环办[2019]327 号）、《苏州市危险废物贮存规范化管理专项整治行动方案配套实施意见》(苏环管字[2019]53 号)中的要求，由于固废（一般固废、危险废物）在收集、暂存、转移处置过程均满足相关标准要求，对周围环境不产生影响</w:t>
            </w:r>
            <w:r>
              <w:rPr>
                <w:rFonts w:hint="eastAsia" w:ascii="Times New Roman" w:hAnsi="Times New Roman" w:eastAsia="宋体" w:cs="Times New Roman"/>
                <w:b w:val="0"/>
                <w:bCs/>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38" w:hRule="atLeast"/>
          <w:jc w:val="center"/>
        </w:trPr>
        <w:tc>
          <w:tcPr>
            <w:tcW w:w="8516" w:type="dxa"/>
            <w:tcBorders>
              <w:top w:val="single" w:color="auto" w:sz="4" w:space="0"/>
              <w:left w:val="single" w:color="auto" w:sz="4" w:space="0"/>
              <w:bottom w:val="single" w:color="auto" w:sz="4" w:space="0"/>
              <w:right w:val="single" w:color="auto" w:sz="4" w:space="0"/>
            </w:tcBorders>
          </w:tcPr>
          <w:p>
            <w:pPr>
              <w:pStyle w:val="2"/>
              <w:spacing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固废核查结果：</w:t>
            </w:r>
          </w:p>
          <w:p>
            <w:pPr>
              <w:pStyle w:val="2"/>
              <w:ind w:firstLine="480" w:firstLineChars="200"/>
              <w:rPr>
                <w:rFonts w:hint="eastAsia" w:ascii="Times New Roman" w:eastAsia="宋体" w:cs="Times New Roman"/>
                <w:b w:val="0"/>
                <w:bCs w:val="0"/>
                <w:kern w:val="2"/>
                <w:sz w:val="24"/>
                <w:szCs w:val="24"/>
                <w:lang w:val="en-US" w:eastAsia="zh-CN" w:bidi="ar-SA"/>
              </w:rPr>
            </w:pPr>
            <w:r>
              <w:rPr>
                <w:rFonts w:hint="eastAsia" w:ascii="Times New Roman" w:eastAsia="宋体" w:cs="Times New Roman"/>
                <w:b w:val="0"/>
                <w:bCs w:val="0"/>
                <w:kern w:val="2"/>
                <w:sz w:val="24"/>
                <w:szCs w:val="24"/>
                <w:lang w:val="en-US" w:eastAsia="zh-CN" w:bidi="ar-SA"/>
              </w:rPr>
              <w:t>一般固废：</w:t>
            </w:r>
          </w:p>
          <w:p>
            <w:pPr>
              <w:ind w:firstLine="480" w:firstLineChars="200"/>
              <w:rPr>
                <w:rFonts w:hint="eastAsia" w:asci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color w:val="000000"/>
                <w:sz w:val="24"/>
                <w:szCs w:val="24"/>
              </w:rPr>
              <w:t>边角料</w:t>
            </w:r>
            <w:r>
              <w:rPr>
                <w:rFonts w:hint="eastAsia" w:cs="Times New Roman"/>
                <w:b w:val="0"/>
                <w:bCs/>
                <w:color w:val="000000"/>
                <w:sz w:val="24"/>
                <w:szCs w:val="24"/>
                <w:lang w:val="en-US" w:eastAsia="zh-CN"/>
              </w:rPr>
              <w:t>收集外售。</w:t>
            </w:r>
          </w:p>
          <w:p>
            <w:pPr>
              <w:pStyle w:val="2"/>
              <w:ind w:firstLine="480" w:firstLineChars="200"/>
              <w:rPr>
                <w:rFonts w:hint="eastAsia" w:ascii="Times New Roman" w:eastAsia="宋体" w:cs="Times New Roman"/>
                <w:b w:val="0"/>
                <w:bCs w:val="0"/>
                <w:kern w:val="2"/>
                <w:sz w:val="24"/>
                <w:szCs w:val="24"/>
                <w:lang w:val="en-US" w:eastAsia="zh-CN" w:bidi="ar-SA"/>
              </w:rPr>
            </w:pPr>
            <w:r>
              <w:rPr>
                <w:rFonts w:hint="eastAsia" w:ascii="Times New Roman" w:eastAsia="宋体" w:cs="Times New Roman"/>
                <w:b w:val="0"/>
                <w:bCs w:val="0"/>
                <w:kern w:val="2"/>
                <w:sz w:val="24"/>
                <w:szCs w:val="24"/>
                <w:lang w:val="en-US" w:eastAsia="zh-CN" w:bidi="ar-SA"/>
              </w:rPr>
              <w:t>危险废物：</w:t>
            </w:r>
          </w:p>
          <w:p>
            <w:pPr>
              <w:ind w:firstLine="480" w:firstLineChars="200"/>
              <w:rPr>
                <w:rFonts w:hint="eastAsia" w:cs="Times New Roman"/>
                <w:b w:val="0"/>
                <w:bCs/>
                <w:color w:val="000000"/>
                <w:sz w:val="24"/>
                <w:szCs w:val="24"/>
                <w:lang w:eastAsia="zh-CN"/>
              </w:rPr>
            </w:pPr>
            <w:r>
              <w:rPr>
                <w:rFonts w:hint="default" w:ascii="Times New Roman" w:hAnsi="Times New Roman" w:eastAsia="宋体" w:cs="Times New Roman"/>
                <w:b w:val="0"/>
                <w:bCs/>
                <w:color w:val="000000"/>
                <w:sz w:val="24"/>
                <w:szCs w:val="24"/>
              </w:rPr>
              <w:t>废淬火油</w:t>
            </w:r>
            <w:r>
              <w:rPr>
                <w:rFonts w:hint="eastAsia" w:cs="Times New Roman"/>
                <w:b w:val="0"/>
                <w:bCs/>
                <w:color w:val="000000"/>
                <w:sz w:val="24"/>
                <w:szCs w:val="24"/>
                <w:lang w:eastAsia="zh-CN"/>
              </w:rPr>
              <w:t>、</w:t>
            </w:r>
            <w:r>
              <w:rPr>
                <w:rFonts w:hint="eastAsia" w:cs="Times New Roman"/>
                <w:b w:val="0"/>
                <w:bCs/>
                <w:color w:val="000000"/>
                <w:sz w:val="24"/>
                <w:szCs w:val="24"/>
                <w:lang w:val="en-US" w:eastAsia="zh-CN"/>
              </w:rPr>
              <w:t>废矿物油</w:t>
            </w:r>
            <w:r>
              <w:rPr>
                <w:rFonts w:hint="default" w:ascii="Times New Roman" w:hAnsi="Times New Roman" w:eastAsia="宋体" w:cs="Times New Roman"/>
                <w:b w:val="0"/>
                <w:bCs/>
                <w:color w:val="000000"/>
                <w:sz w:val="24"/>
                <w:szCs w:val="24"/>
              </w:rPr>
              <w:t>、</w:t>
            </w:r>
            <w:r>
              <w:rPr>
                <w:rFonts w:hint="eastAsia" w:cs="Times New Roman"/>
                <w:b w:val="0"/>
                <w:bCs/>
                <w:color w:val="000000"/>
                <w:sz w:val="24"/>
                <w:szCs w:val="24"/>
                <w:lang w:eastAsia="zh-CN"/>
              </w:rPr>
              <w:t>废乳化液</w:t>
            </w:r>
            <w:r>
              <w:rPr>
                <w:rFonts w:hint="default" w:ascii="Times New Roman" w:hAnsi="Times New Roman" w:eastAsia="宋体" w:cs="Times New Roman"/>
                <w:b w:val="0"/>
                <w:bCs/>
                <w:color w:val="000000"/>
                <w:sz w:val="24"/>
                <w:szCs w:val="24"/>
              </w:rPr>
              <w:t>委托常州市锦云工业废弃物处理有限公司处置</w:t>
            </w:r>
            <w:r>
              <w:rPr>
                <w:rFonts w:hint="eastAsia" w:cs="Times New Roman"/>
                <w:b w:val="0"/>
                <w:bCs/>
                <w:color w:val="000000"/>
                <w:sz w:val="24"/>
                <w:szCs w:val="24"/>
                <w:lang w:eastAsia="zh-CN"/>
              </w:rPr>
              <w:t>。</w:t>
            </w:r>
          </w:p>
          <w:p>
            <w:pPr>
              <w:ind w:firstLine="480" w:firstLineChars="200"/>
              <w:rPr>
                <w:rFonts w:hint="eastAsia" w:eastAsia="宋体"/>
                <w:lang w:val="en-US" w:eastAsia="zh-CN"/>
              </w:rPr>
            </w:pPr>
            <w:r>
              <w:rPr>
                <w:rFonts w:hint="default" w:ascii="Times New Roman" w:hAnsi="Times New Roman" w:eastAsia="宋体" w:cs="Times New Roman"/>
                <w:b w:val="0"/>
                <w:bCs/>
                <w:color w:val="000000"/>
                <w:sz w:val="24"/>
                <w:szCs w:val="24"/>
              </w:rPr>
              <w:t>废包装桶委托南通海之阳环保工程技术有限公司</w:t>
            </w:r>
            <w:r>
              <w:rPr>
                <w:rFonts w:hint="eastAsia" w:cs="Times New Roman"/>
                <w:b w:val="0"/>
                <w:bCs/>
                <w:color w:val="000000"/>
                <w:sz w:val="24"/>
                <w:szCs w:val="24"/>
                <w:lang w:val="en-US" w:eastAsia="zh-CN"/>
              </w:rPr>
              <w:t>处置。</w:t>
            </w:r>
          </w:p>
          <w:p>
            <w:pPr>
              <w:ind w:firstLine="480" w:firstLineChars="200"/>
              <w:rPr>
                <w:rFonts w:hint="eastAsia" w:cs="Times New Roman"/>
                <w:b w:val="0"/>
                <w:bCs w:val="0"/>
                <w:kern w:val="2"/>
                <w:sz w:val="24"/>
                <w:szCs w:val="24"/>
                <w:lang w:val="en-US" w:eastAsia="zh-CN" w:bidi="ar-SA"/>
              </w:rPr>
            </w:pPr>
            <w:r>
              <w:rPr>
                <w:rFonts w:hint="eastAsia" w:cs="Times New Roman"/>
                <w:b w:val="0"/>
                <w:bCs w:val="0"/>
                <w:kern w:val="2"/>
                <w:sz w:val="24"/>
                <w:szCs w:val="24"/>
                <w:lang w:val="en-US" w:eastAsia="zh-CN" w:bidi="ar-SA"/>
              </w:rPr>
              <w:t>生活垃圾：</w:t>
            </w:r>
          </w:p>
          <w:p>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生活垃圾</w:t>
            </w:r>
            <w:r>
              <w:rPr>
                <w:rFonts w:hint="eastAsia" w:ascii="Times New Roman" w:eastAsia="宋体" w:cs="Times New Roman"/>
                <w:b w:val="0"/>
                <w:bCs/>
                <w:color w:val="000000"/>
                <w:kern w:val="2"/>
                <w:sz w:val="24"/>
                <w:szCs w:val="24"/>
                <w:lang w:val="en-US" w:eastAsia="zh-CN" w:bidi="ar-SA"/>
              </w:rPr>
              <w:t>委托苏州吴江洁美家园物业管理有限公司定期清运处理</w:t>
            </w:r>
            <w:r>
              <w:rPr>
                <w:rFonts w:hint="eastAsia" w:ascii="Times New Roman" w:hAnsi="Times New Roman" w:eastAsia="宋体" w:cs="Times New Roman"/>
                <w:b w:val="0"/>
                <w:bCs w:val="0"/>
                <w:kern w:val="2"/>
                <w:sz w:val="24"/>
                <w:szCs w:val="24"/>
                <w:lang w:val="en-US" w:eastAsia="zh-CN" w:bidi="ar-SA"/>
              </w:rPr>
              <w:t>。</w:t>
            </w:r>
          </w:p>
          <w:p>
            <w:pPr>
              <w:widowControl/>
              <w:adjustRightInd w:val="0"/>
              <w:snapToGrid w:val="0"/>
              <w:spacing w:before="48" w:beforeLines="20" w:after="200" w:line="360" w:lineRule="auto"/>
              <w:ind w:firstLine="420" w:firstLineChars="200"/>
              <w:jc w:val="left"/>
              <w:rPr>
                <w:rFonts w:ascii="Tahoma" w:hAnsi="Tahoma" w:eastAsia="仿宋_GB2312" w:cs="Times New Roman"/>
                <w:color w:val="000000"/>
                <w:kern w:val="0"/>
                <w:szCs w:val="21"/>
                <w:lang w:val="en-US"/>
              </w:rPr>
            </w:pPr>
          </w:p>
        </w:tc>
      </w:tr>
    </w:tbl>
    <w:p>
      <w:pPr>
        <w:rPr>
          <w:rFonts w:hint="eastAsia" w:ascii="宋体" w:hAnsi="宋体" w:eastAsia="宋体" w:cs="宋体"/>
          <w:b/>
          <w:color w:val="000000"/>
          <w:kern w:val="44"/>
          <w:szCs w:val="21"/>
        </w:rPr>
      </w:pPr>
    </w:p>
    <w:p>
      <w:pPr>
        <w:rPr>
          <w:rFonts w:hint="eastAsia" w:ascii="宋体" w:hAnsi="宋体" w:eastAsia="宋体" w:cs="宋体"/>
          <w:b/>
          <w:color w:val="000000"/>
          <w:kern w:val="44"/>
          <w:szCs w:val="21"/>
        </w:rPr>
      </w:pPr>
      <w:r>
        <w:rPr>
          <w:rFonts w:hint="eastAsia" w:ascii="宋体" w:hAnsi="宋体" w:eastAsia="宋体" w:cs="宋体"/>
          <w:b/>
          <w:color w:val="000000"/>
          <w:kern w:val="44"/>
          <w:szCs w:val="21"/>
        </w:rPr>
        <w:t>表十、环评审批决定落实情况</w:t>
      </w:r>
      <w:bookmarkEnd w:id="18"/>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0" w:hRule="atLeast"/>
        </w:trPr>
        <w:tc>
          <w:tcPr>
            <w:tcW w:w="8926" w:type="dxa"/>
            <w:noWrap w:val="0"/>
            <w:vAlign w:val="top"/>
          </w:tcPr>
          <w:p>
            <w:pPr>
              <w:spacing w:line="5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本项目环评批复执行情况检查结果详见下表：</w:t>
            </w:r>
          </w:p>
          <w:tbl>
            <w:tblPr>
              <w:tblStyle w:val="8"/>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2"/>
              <w:gridCol w:w="40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4372" w:type="dxa"/>
                  <w:noWrap w:val="0"/>
                  <w:vAlign w:val="top"/>
                </w:tcPr>
                <w:p>
                  <w:pPr>
                    <w:spacing w:line="28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该项目环评批复意见</w:t>
                  </w:r>
                </w:p>
              </w:tc>
              <w:tc>
                <w:tcPr>
                  <w:tcW w:w="4053" w:type="dxa"/>
                  <w:noWrap w:val="0"/>
                  <w:vAlign w:val="top"/>
                </w:tcPr>
                <w:p>
                  <w:pPr>
                    <w:spacing w:line="28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实际执行情况检查结果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szCs w:val="21"/>
                    </w:rPr>
                    <w:t>按</w:t>
                  </w:r>
                  <w:r>
                    <w:rPr>
                      <w:rFonts w:hint="eastAsia"/>
                      <w:szCs w:val="21"/>
                    </w:rPr>
                    <w:t>“减量化、资源化、无害化”处理处置原则，落实各类固体废物的分类收集处理处置和综合利用措施，实现固体废物“零排放”，其中属危险废物必须委托具有危险废物处理、经营许可证的单位进行处理，并执行危险废物转移联单制度。</w:t>
                  </w:r>
                </w:p>
              </w:tc>
              <w:tc>
                <w:tcPr>
                  <w:tcW w:w="0" w:type="auto"/>
                  <w:vAlign w:val="center"/>
                </w:tcPr>
                <w:p>
                  <w:pPr>
                    <w:snapToGrid w:val="0"/>
                    <w:spacing w:line="400" w:lineRule="exact"/>
                    <w:ind w:firstLine="420" w:firstLineChars="200"/>
                    <w:rPr>
                      <w:rFonts w:hint="eastAsia"/>
                      <w:szCs w:val="21"/>
                    </w:rPr>
                  </w:pPr>
                  <w:r>
                    <w:rPr>
                      <w:rFonts w:hint="eastAsia"/>
                      <w:szCs w:val="21"/>
                    </w:rPr>
                    <w:t>一般固废：</w:t>
                  </w:r>
                </w:p>
                <w:p>
                  <w:pPr>
                    <w:snapToGrid w:val="0"/>
                    <w:spacing w:line="400" w:lineRule="exact"/>
                    <w:ind w:firstLine="420" w:firstLineChars="200"/>
                    <w:rPr>
                      <w:rFonts w:hint="eastAsia"/>
                      <w:szCs w:val="21"/>
                    </w:rPr>
                  </w:pPr>
                  <w:r>
                    <w:rPr>
                      <w:rFonts w:hint="eastAsia"/>
                      <w:szCs w:val="21"/>
                    </w:rPr>
                    <w:t>边角料收集外售。</w:t>
                  </w:r>
                </w:p>
                <w:p>
                  <w:pPr>
                    <w:snapToGrid w:val="0"/>
                    <w:spacing w:line="400" w:lineRule="exact"/>
                    <w:ind w:firstLine="420" w:firstLineChars="200"/>
                    <w:rPr>
                      <w:rFonts w:hint="eastAsia"/>
                      <w:szCs w:val="21"/>
                    </w:rPr>
                  </w:pPr>
                  <w:r>
                    <w:rPr>
                      <w:rFonts w:hint="eastAsia"/>
                      <w:szCs w:val="21"/>
                    </w:rPr>
                    <w:t>危险废物：</w:t>
                  </w:r>
                </w:p>
                <w:p>
                  <w:pPr>
                    <w:snapToGrid w:val="0"/>
                    <w:spacing w:line="400" w:lineRule="exact"/>
                    <w:ind w:firstLine="420" w:firstLineChars="200"/>
                    <w:rPr>
                      <w:rFonts w:hint="eastAsia"/>
                      <w:szCs w:val="21"/>
                    </w:rPr>
                  </w:pPr>
                  <w:r>
                    <w:rPr>
                      <w:rFonts w:hint="eastAsia"/>
                      <w:szCs w:val="21"/>
                    </w:rPr>
                    <w:t>废淬火油、废矿物油、废乳化液委托常州市锦云工业废弃物处理有限公司处置。</w:t>
                  </w:r>
                </w:p>
                <w:p>
                  <w:pPr>
                    <w:snapToGrid w:val="0"/>
                    <w:spacing w:line="400" w:lineRule="exact"/>
                    <w:ind w:firstLine="420" w:firstLineChars="200"/>
                    <w:rPr>
                      <w:rFonts w:hint="eastAsia"/>
                      <w:szCs w:val="21"/>
                    </w:rPr>
                  </w:pPr>
                  <w:r>
                    <w:rPr>
                      <w:rFonts w:hint="eastAsia"/>
                      <w:szCs w:val="21"/>
                    </w:rPr>
                    <w:t>废包装桶委托南通海之阳环保工程技术有限公司处置。</w:t>
                  </w:r>
                </w:p>
                <w:p>
                  <w:pPr>
                    <w:snapToGrid w:val="0"/>
                    <w:spacing w:line="400" w:lineRule="exact"/>
                    <w:ind w:firstLine="420" w:firstLineChars="200"/>
                    <w:rPr>
                      <w:rFonts w:hint="eastAsia"/>
                      <w:szCs w:val="21"/>
                    </w:rPr>
                  </w:pPr>
                  <w:r>
                    <w:rPr>
                      <w:rFonts w:hint="eastAsia"/>
                      <w:szCs w:val="21"/>
                    </w:rPr>
                    <w:t>生活垃圾：</w:t>
                  </w:r>
                </w:p>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rFonts w:hint="eastAsia"/>
                      <w:szCs w:val="21"/>
                    </w:rPr>
                    <w:t>生活垃圾委托苏州吴江洁美家园物业管理有限公司定期清运处理。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szCs w:val="21"/>
                    </w:rPr>
                    <w:t>加强环境管理</w:t>
                  </w:r>
                  <w:r>
                    <w:rPr>
                      <w:rFonts w:hint="eastAsia"/>
                      <w:szCs w:val="21"/>
                    </w:rPr>
                    <w:t>，</w:t>
                  </w:r>
                  <w:r>
                    <w:rPr>
                      <w:szCs w:val="21"/>
                    </w:rPr>
                    <w:t>落实风险防范措施</w:t>
                  </w:r>
                  <w:r>
                    <w:rPr>
                      <w:rFonts w:hint="eastAsia"/>
                      <w:szCs w:val="21"/>
                    </w:rPr>
                    <w:t>，</w:t>
                  </w:r>
                  <w:r>
                    <w:rPr>
                      <w:szCs w:val="21"/>
                    </w:rPr>
                    <w:t>防止污染事故发生</w:t>
                  </w:r>
                  <w:r>
                    <w:rPr>
                      <w:rFonts w:hint="eastAsia"/>
                      <w:szCs w:val="21"/>
                    </w:rPr>
                    <w:t>。</w:t>
                  </w:r>
                </w:p>
              </w:tc>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szCs w:val="21"/>
                    </w:rPr>
                    <w:t>企业制定相关环保管理制度对生产及环境进行管理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0" w:type="auto"/>
                  <w:vAlign w:val="center"/>
                </w:tcPr>
                <w:p>
                  <w:pPr>
                    <w:snapToGrid w:val="0"/>
                    <w:spacing w:line="400" w:lineRule="exact"/>
                    <w:ind w:firstLine="420" w:firstLineChars="200"/>
                    <w:jc w:val="left"/>
                    <w:rPr>
                      <w:rFonts w:hint="default" w:ascii="Times New Roman" w:hAnsi="Times New Roman" w:eastAsia="宋体" w:cs="Times New Roman"/>
                      <w:kern w:val="2"/>
                      <w:sz w:val="21"/>
                      <w:szCs w:val="21"/>
                      <w:lang w:val="en-US" w:eastAsia="zh-CN" w:bidi="ar-SA"/>
                    </w:rPr>
                  </w:pPr>
                  <w:r>
                    <w:rPr>
                      <w:szCs w:val="21"/>
                    </w:rPr>
                    <w:t>按</w:t>
                  </w:r>
                  <w:r>
                    <w:rPr>
                      <w:rFonts w:hint="eastAsia"/>
                      <w:szCs w:val="21"/>
                    </w:rPr>
                    <w:t>《江苏省排污口设置及规范化整治管理办法》（苏环控[1997]122号）的要求规范化设置各类排污口和标志。</w:t>
                  </w:r>
                </w:p>
              </w:tc>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rFonts w:hint="eastAsia"/>
                      <w:szCs w:val="21"/>
                    </w:rPr>
                    <w:t>已</w:t>
                  </w:r>
                  <w:r>
                    <w:rPr>
                      <w:szCs w:val="21"/>
                    </w:rPr>
                    <w:t>按照</w:t>
                  </w:r>
                  <w:r>
                    <w:rPr>
                      <w:rFonts w:hint="eastAsia"/>
                      <w:szCs w:val="21"/>
                    </w:rPr>
                    <w:t>《江苏省排污口设置及规范化整治管理办法》（苏环控[1997]122号）的要求规范化设置各类排污口和标志。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szCs w:val="21"/>
                    </w:rPr>
                    <w:t>积极开展厂区绿化工作</w:t>
                  </w:r>
                  <w:r>
                    <w:rPr>
                      <w:rFonts w:hint="eastAsia"/>
                      <w:szCs w:val="21"/>
                    </w:rPr>
                    <w:t>，</w:t>
                  </w:r>
                  <w:r>
                    <w:rPr>
                      <w:szCs w:val="21"/>
                    </w:rPr>
                    <w:t>厂界四周应建设一定宽度的绿化隔离带</w:t>
                  </w:r>
                  <w:r>
                    <w:rPr>
                      <w:rFonts w:hint="eastAsia"/>
                      <w:szCs w:val="21"/>
                    </w:rPr>
                    <w:t>，</w:t>
                  </w:r>
                  <w:r>
                    <w:rPr>
                      <w:szCs w:val="21"/>
                    </w:rPr>
                    <w:t>以减轻废气和噪声对周围环境的影响</w:t>
                  </w:r>
                  <w:r>
                    <w:rPr>
                      <w:rFonts w:hint="eastAsia"/>
                      <w:szCs w:val="21"/>
                    </w:rPr>
                    <w:t>。</w:t>
                  </w:r>
                </w:p>
              </w:tc>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rFonts w:hint="eastAsia"/>
                      <w:szCs w:val="21"/>
                    </w:rPr>
                    <w:t>验收监测期间现场勘察，厂界建有一定宽度的绿化隔离带。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szCs w:val="21"/>
                    </w:rPr>
                    <w:t>请做好其他污染防治工作</w:t>
                  </w:r>
                  <w:r>
                    <w:rPr>
                      <w:rFonts w:hint="eastAsia"/>
                      <w:szCs w:val="21"/>
                    </w:rPr>
                    <w:t>。</w:t>
                  </w:r>
                </w:p>
              </w:tc>
              <w:tc>
                <w:tcPr>
                  <w:tcW w:w="0" w:type="auto"/>
                  <w:vAlign w:val="center"/>
                </w:tcPr>
                <w:p>
                  <w:pPr>
                    <w:snapToGrid w:val="0"/>
                    <w:spacing w:line="400" w:lineRule="exact"/>
                    <w:ind w:firstLine="420" w:firstLineChars="200"/>
                    <w:rPr>
                      <w:rFonts w:hint="default" w:ascii="Times New Roman" w:hAnsi="Times New Roman" w:eastAsia="宋体" w:cs="Times New Roman"/>
                      <w:kern w:val="2"/>
                      <w:sz w:val="21"/>
                      <w:szCs w:val="21"/>
                      <w:lang w:val="en-US" w:eastAsia="zh-CN" w:bidi="ar-SA"/>
                    </w:rPr>
                  </w:pPr>
                  <w:r>
                    <w:rPr>
                      <w:rFonts w:hint="eastAsia"/>
                      <w:szCs w:val="21"/>
                    </w:rPr>
                    <w:t>-</w:t>
                  </w:r>
                </w:p>
              </w:tc>
            </w:tr>
          </w:tbl>
          <w:p>
            <w:pPr>
              <w:spacing w:line="20" w:lineRule="exact"/>
              <w:rPr>
                <w:rFonts w:hint="default" w:ascii="Times New Roman" w:hAnsi="Times New Roman" w:eastAsia="宋体" w:cs="Times New Roman"/>
                <w:sz w:val="21"/>
                <w:szCs w:val="21"/>
              </w:rPr>
            </w:pPr>
          </w:p>
        </w:tc>
      </w:tr>
    </w:tbl>
    <w:p>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9" w:name="_Toc27506"/>
      <w:bookmarkStart w:id="20" w:name="_Toc30243"/>
      <w:r>
        <w:rPr>
          <w:rFonts w:hint="eastAsia" w:ascii="宋体" w:hAnsi="宋体" w:eastAsia="宋体" w:cs="宋体"/>
          <w:b/>
          <w:color w:val="000000"/>
          <w:kern w:val="44"/>
          <w:szCs w:val="21"/>
        </w:rPr>
        <w:t>表十</w:t>
      </w:r>
      <w:r>
        <w:rPr>
          <w:rFonts w:hint="eastAsia" w:ascii="宋体" w:hAnsi="宋体" w:cs="宋体"/>
          <w:b/>
          <w:color w:val="000000"/>
          <w:kern w:val="44"/>
          <w:szCs w:val="21"/>
          <w:lang w:val="en-US" w:eastAsia="zh-CN"/>
        </w:rPr>
        <w:t>一</w:t>
      </w:r>
      <w:r>
        <w:rPr>
          <w:rFonts w:hint="eastAsia" w:ascii="宋体" w:hAnsi="宋体" w:eastAsia="宋体" w:cs="宋体"/>
          <w:b/>
          <w:color w:val="000000"/>
          <w:kern w:val="44"/>
          <w:szCs w:val="21"/>
        </w:rPr>
        <w:t>、验收监测结论</w:t>
      </w:r>
      <w:bookmarkEnd w:id="19"/>
      <w:bookmarkEnd w:id="20"/>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9" w:hRule="atLeast"/>
          <w:jc w:val="center"/>
        </w:trPr>
        <w:tc>
          <w:tcPr>
            <w:tcW w:w="8924"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48" w:beforeLines="20" w:after="200" w:line="360" w:lineRule="auto"/>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验收监测结论：</w:t>
            </w:r>
          </w:p>
          <w:p>
            <w:pPr>
              <w:widowControl/>
              <w:adjustRightInd w:val="0"/>
              <w:snapToGrid w:val="0"/>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表</w:t>
            </w:r>
            <w:r>
              <w:rPr>
                <w:rFonts w:hint="eastAsia" w:cs="Times New Roman"/>
                <w:bCs/>
                <w:kern w:val="0"/>
                <w:szCs w:val="21"/>
                <w:lang w:val="en-US" w:eastAsia="zh-CN"/>
              </w:rPr>
              <w:t>11</w:t>
            </w:r>
            <w:r>
              <w:rPr>
                <w:rFonts w:ascii="Times New Roman" w:hAnsi="Times New Roman" w:eastAsia="宋体" w:cs="Times New Roman"/>
                <w:bCs/>
                <w:kern w:val="0"/>
                <w:szCs w:val="21"/>
              </w:rPr>
              <w:t xml:space="preserve">-1 </w:t>
            </w:r>
            <w:r>
              <w:rPr>
                <w:rFonts w:hint="eastAsia" w:ascii="Times New Roman" w:hAnsi="Times New Roman" w:eastAsia="宋体" w:cs="Times New Roman"/>
                <w:bCs/>
                <w:kern w:val="0"/>
                <w:szCs w:val="21"/>
              </w:rPr>
              <w:t>监测结论一览表</w:t>
            </w:r>
          </w:p>
          <w:tbl>
            <w:tblPr>
              <w:tblStyle w:val="9"/>
              <w:tblW w:w="852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2"/>
              <w:gridCol w:w="6064"/>
              <w:gridCol w:w="15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22" w:type="dxa"/>
                  <w:tcBorders>
                    <w:top w:val="single" w:color="auto" w:sz="12" w:space="0"/>
                    <w:left w:val="nil"/>
                    <w:bottom w:val="single" w:color="auto" w:sz="6" w:space="0"/>
                    <w:right w:val="single" w:color="auto" w:sz="6" w:space="0"/>
                  </w:tcBorders>
                  <w:vAlign w:val="center"/>
                </w:tcPr>
                <w:p>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类别</w:t>
                  </w:r>
                </w:p>
              </w:tc>
              <w:tc>
                <w:tcPr>
                  <w:tcW w:w="6064" w:type="dxa"/>
                  <w:tcBorders>
                    <w:top w:val="single" w:color="auto" w:sz="12" w:space="0"/>
                    <w:left w:val="single" w:color="auto" w:sz="6" w:space="0"/>
                    <w:bottom w:val="single" w:color="auto" w:sz="6" w:space="0"/>
                    <w:right w:val="single" w:color="auto" w:sz="6" w:space="0"/>
                  </w:tcBorders>
                  <w:vAlign w:val="center"/>
                </w:tcPr>
                <w:p>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污染物达标情况</w:t>
                  </w:r>
                </w:p>
              </w:tc>
              <w:tc>
                <w:tcPr>
                  <w:tcW w:w="1542" w:type="dxa"/>
                  <w:tcBorders>
                    <w:top w:val="single" w:color="auto" w:sz="12" w:space="0"/>
                    <w:left w:val="single" w:color="auto" w:sz="6" w:space="0"/>
                    <w:bottom w:val="single" w:color="auto" w:sz="6" w:space="0"/>
                    <w:right w:val="nil"/>
                  </w:tcBorders>
                  <w:vAlign w:val="center"/>
                </w:tcPr>
                <w:p>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总量控制情况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7" w:hRule="atLeast"/>
              </w:trPr>
              <w:tc>
                <w:tcPr>
                  <w:tcW w:w="922" w:type="dxa"/>
                  <w:tcBorders>
                    <w:top w:val="single" w:color="auto" w:sz="6" w:space="0"/>
                    <w:left w:val="nil"/>
                    <w:bottom w:val="single" w:color="auto" w:sz="6" w:space="0"/>
                    <w:right w:val="single" w:color="auto" w:sz="6" w:space="0"/>
                  </w:tcBorders>
                  <w:vAlign w:val="center"/>
                </w:tcPr>
                <w:p>
                  <w:pPr>
                    <w:widowControl/>
                    <w:adjustRightInd w:val="0"/>
                    <w:snapToGrid w:val="0"/>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固体废物</w:t>
                  </w:r>
                </w:p>
              </w:tc>
              <w:tc>
                <w:tcPr>
                  <w:tcW w:w="6064"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一般固废：</w:t>
                  </w:r>
                </w:p>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边角料收集外售。</w:t>
                  </w:r>
                </w:p>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w:t>
                  </w:r>
                </w:p>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废淬火油、废矿物油、废乳化液委托常州市锦云工业废弃物处理有限公司处置。</w:t>
                  </w:r>
                </w:p>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废包装桶委托南通海之阳环保工程技术有限公司处置。</w:t>
                  </w:r>
                </w:p>
                <w:p>
                  <w:pPr>
                    <w:widowControl/>
                    <w:adjustRightInd w:val="0"/>
                    <w:snapToGrid w:val="0"/>
                    <w:spacing w:line="240" w:lineRule="auto"/>
                    <w:ind w:firstLine="420" w:firstLineChars="200"/>
                    <w:jc w:val="both"/>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生活垃圾：</w:t>
                  </w:r>
                </w:p>
                <w:p>
                  <w:pPr>
                    <w:widowControl/>
                    <w:adjustRightInd w:val="0"/>
                    <w:snapToGrid w:val="0"/>
                    <w:spacing w:line="240" w:lineRule="auto"/>
                    <w:ind w:firstLine="420" w:firstLineChars="200"/>
                    <w:jc w:val="both"/>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生活垃圾委托苏州吴江洁美家园物业管理有限公司定期清运处理</w:t>
                  </w:r>
                  <w:r>
                    <w:rPr>
                      <w:rFonts w:hint="eastAsia" w:cs="Times New Roman"/>
                      <w:kern w:val="0"/>
                      <w:sz w:val="21"/>
                      <w:szCs w:val="21"/>
                      <w:lang w:val="en-US" w:eastAsia="zh-CN"/>
                    </w:rPr>
                    <w:t>。</w:t>
                  </w:r>
                </w:p>
              </w:tc>
              <w:tc>
                <w:tcPr>
                  <w:tcW w:w="1542" w:type="dxa"/>
                  <w:tcBorders>
                    <w:top w:val="single" w:color="auto" w:sz="6" w:space="0"/>
                    <w:left w:val="single" w:color="auto" w:sz="6" w:space="0"/>
                    <w:bottom w:val="single" w:color="auto" w:sz="6" w:space="0"/>
                    <w:right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固废零排放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22" w:type="dxa"/>
                  <w:tcBorders>
                    <w:top w:val="single" w:color="auto" w:sz="6" w:space="0"/>
                    <w:left w:val="nil"/>
                    <w:bottom w:val="single" w:color="auto" w:sz="12" w:space="0"/>
                    <w:right w:val="single" w:color="auto" w:sz="6" w:space="0"/>
                  </w:tcBorders>
                  <w:vAlign w:val="center"/>
                </w:tcPr>
                <w:p>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总结论</w:t>
                  </w:r>
                </w:p>
              </w:tc>
              <w:tc>
                <w:tcPr>
                  <w:tcW w:w="7606" w:type="dxa"/>
                  <w:gridSpan w:val="2"/>
                  <w:tcBorders>
                    <w:top w:val="single" w:color="auto" w:sz="6" w:space="0"/>
                    <w:left w:val="single" w:color="auto" w:sz="6" w:space="0"/>
                    <w:bottom w:val="single" w:color="auto" w:sz="12" w:space="0"/>
                    <w:right w:val="nil"/>
                  </w:tcBorders>
                  <w:vAlign w:val="center"/>
                </w:tcPr>
                <w:p>
                  <w:pPr>
                    <w:snapToGrid w:val="0"/>
                    <w:spacing w:before="48" w:beforeLines="20" w:line="240" w:lineRule="auto"/>
                    <w:ind w:firstLine="420" w:firstLineChars="20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该项目执行了“三同时”制度。验收监测期间，各类环保治理措施运行正常，生产工况满足要求。项目所测的各类污染物均达标排放，固体废物皆安全处置，做到零排放。环评批复中各项要求基本落实。</w:t>
                  </w:r>
                </w:p>
              </w:tc>
            </w:tr>
          </w:tbl>
          <w:p>
            <w:pPr>
              <w:widowControl/>
              <w:adjustRightInd w:val="0"/>
              <w:snapToGrid w:val="0"/>
              <w:spacing w:line="360" w:lineRule="auto"/>
              <w:jc w:val="left"/>
              <w:rPr>
                <w:rFonts w:ascii="Tahoma" w:hAnsi="Tahoma" w:eastAsia="仿宋_GB2312" w:cs="Times New Roman"/>
                <w:color w:val="000000"/>
                <w:kern w:val="0"/>
                <w:szCs w:val="21"/>
              </w:rPr>
            </w:pPr>
          </w:p>
        </w:tc>
      </w:tr>
    </w:tbl>
    <w:p>
      <w:pPr>
        <w:pStyle w:val="2"/>
      </w:pPr>
    </w:p>
    <w:p>
      <w:pPr>
        <w:pStyle w:val="2"/>
        <w:ind w:left="0" w:leftChars="0" w:firstLine="0" w:firstLineChars="0"/>
        <w:rPr>
          <w:rFonts w:hint="default" w:ascii="Times New Roman" w:hAnsi="Times New Roman" w:eastAsia="宋体" w:cs="Times New Roman"/>
          <w:b/>
          <w:bCs/>
          <w:sz w:val="21"/>
          <w:szCs w:val="21"/>
          <w:lang w:val="en-US" w:eastAsia="zh-CN"/>
        </w:rPr>
      </w:pPr>
      <w:bookmarkStart w:id="21" w:name="_Toc21948"/>
      <w:r>
        <w:rPr>
          <w:rFonts w:hint="default" w:ascii="Times New Roman" w:hAnsi="Times New Roman" w:eastAsia="宋体" w:cs="Times New Roman"/>
          <w:b/>
          <w:bCs/>
          <w:sz w:val="21"/>
          <w:szCs w:val="21"/>
          <w:lang w:val="en-US" w:eastAsia="zh-CN"/>
        </w:rPr>
        <w:t>附图一：项目地理位置图</w:t>
      </w:r>
    </w:p>
    <w:p>
      <w:pPr>
        <w:pStyle w:val="2"/>
        <w:ind w:left="0" w:leftChars="0" w:firstLine="0" w:firstLineChars="0"/>
        <w:jc w:val="center"/>
        <w:rPr>
          <w:rFonts w:hint="default" w:ascii="宋体" w:hAnsi="宋体" w:cs="宋体"/>
          <w:b/>
          <w:bCs/>
          <w:sz w:val="21"/>
          <w:szCs w:val="21"/>
          <w:lang w:val="en-US" w:eastAsia="zh-CN"/>
        </w:rPr>
      </w:pPr>
      <w:r>
        <w:rPr>
          <w:b/>
          <w:bCs/>
          <w:sz w:val="24"/>
        </w:rPr>
        <w:drawing>
          <wp:inline distT="0" distB="0" distL="0" distR="0">
            <wp:extent cx="6892925" cy="4109720"/>
            <wp:effectExtent l="15875" t="15875" r="27305" b="25400"/>
            <wp:docPr id="4" name="图片 1" descr="C:\Users\Administrator\Desktop\新建文件夹\微信截图_20210908121713.png微信截图_2021090812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新建文件夹\微信截图_20210908121713.png微信截图_20210908121713"/>
                    <pic:cNvPicPr>
                      <a:picLocks noChangeAspect="1" noChangeArrowheads="1"/>
                    </pic:cNvPicPr>
                  </pic:nvPicPr>
                  <pic:blipFill>
                    <a:blip r:embed="rId8"/>
                    <a:srcRect/>
                    <a:stretch>
                      <a:fillRect/>
                    </a:stretch>
                  </pic:blipFill>
                  <pic:spPr>
                    <a:xfrm rot="16200000">
                      <a:off x="0" y="0"/>
                      <a:ext cx="6892925" cy="4109720"/>
                    </a:xfrm>
                    <a:prstGeom prst="rect">
                      <a:avLst/>
                    </a:prstGeom>
                    <a:noFill/>
                    <a:ln w="15875">
                      <a:solidFill>
                        <a:schemeClr val="tx1"/>
                      </a:solidFill>
                      <a:miter lim="800000"/>
                      <a:headEnd/>
                      <a:tailEnd/>
                    </a:ln>
                  </pic:spPr>
                </pic:pic>
              </a:graphicData>
            </a:graphic>
          </wp:inline>
        </w:drawing>
      </w:r>
    </w:p>
    <w:p>
      <w:pPr>
        <w:pStyle w:val="2"/>
        <w:ind w:left="0" w:leftChars="0" w:firstLine="0" w:firstLineChars="0"/>
        <w:rPr>
          <w:rFonts w:hint="default" w:ascii="宋体" w:hAnsi="宋体" w:cs="宋体"/>
          <w:b/>
          <w:bCs/>
          <w:sz w:val="21"/>
          <w:szCs w:val="21"/>
          <w:lang w:val="en-US" w:eastAsia="zh-CN"/>
        </w:rPr>
      </w:pPr>
    </w:p>
    <w:p>
      <w:pPr>
        <w:pStyle w:val="2"/>
        <w:ind w:left="0" w:leftChars="0" w:firstLine="0" w:firstLineChars="0"/>
        <w:rPr>
          <w:rFonts w:hint="eastAsia" w:ascii="Times New Roman" w:hAnsi="Times New Roman" w:eastAsia="宋体" w:cs="Times New Roman"/>
          <w:b/>
          <w:bCs/>
          <w:sz w:val="21"/>
          <w:szCs w:val="21"/>
          <w:lang w:val="en-US" w:eastAsia="zh-CN"/>
        </w:rPr>
      </w:pPr>
    </w:p>
    <w:p>
      <w:pPr>
        <w:pStyle w:val="2"/>
        <w:ind w:left="0" w:leftChars="0" w:firstLine="0" w:firstLineChars="0"/>
        <w:rPr>
          <w:rFonts w:hint="eastAsia" w:ascii="Times New Roman" w:hAnsi="Times New Roman" w:eastAsia="宋体" w:cs="Times New Roman"/>
          <w:b/>
          <w:bCs/>
          <w:sz w:val="21"/>
          <w:szCs w:val="21"/>
          <w:lang w:val="en-US" w:eastAsia="zh-CN"/>
        </w:rPr>
      </w:pPr>
    </w:p>
    <w:p>
      <w:pPr>
        <w:pStyle w:val="2"/>
        <w:ind w:left="0" w:leftChars="0" w:firstLine="0" w:firstLineChars="0"/>
        <w:rPr>
          <w:rFonts w:hint="eastAsia" w:ascii="Times New Roman" w:hAnsi="Times New Roman" w:eastAsia="宋体" w:cs="Times New Roman"/>
          <w:b/>
          <w:bCs/>
          <w:sz w:val="21"/>
          <w:szCs w:val="21"/>
          <w:lang w:val="en-US" w:eastAsia="zh-CN"/>
        </w:rPr>
      </w:pPr>
    </w:p>
    <w:p>
      <w:pPr>
        <w:pStyle w:val="2"/>
        <w:ind w:left="0" w:leftChars="0" w:firstLine="0" w:firstLineChars="0"/>
        <w:rPr>
          <w:rFonts w:hint="eastAsia" w:ascii="Times New Roman" w:hAnsi="Times New Roman" w:eastAsia="宋体" w:cs="Times New Roman"/>
          <w:b/>
          <w:bCs/>
          <w:sz w:val="21"/>
          <w:szCs w:val="21"/>
          <w:lang w:val="en-US" w:eastAsia="zh-CN"/>
        </w:rPr>
      </w:pPr>
    </w:p>
    <w:p>
      <w:pPr>
        <w:pStyle w:val="2"/>
        <w:ind w:left="0" w:leftChars="0" w:firstLine="0" w:firstLineChars="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附图二：本项目平面布置图</w:t>
      </w:r>
    </w:p>
    <w:p>
      <w:pPr>
        <w:pStyle w:val="2"/>
        <w:ind w:left="0" w:leftChars="0" w:firstLine="0" w:firstLineChars="0"/>
        <w:rPr>
          <w:rFonts w:hint="default" w:ascii="宋体" w:hAnsi="宋体" w:cs="宋体"/>
          <w:b/>
          <w:bCs/>
          <w:sz w:val="21"/>
          <w:szCs w:val="21"/>
          <w:lang w:val="en-US" w:eastAsia="zh-CN"/>
        </w:rPr>
      </w:pPr>
      <w:r>
        <w:rPr>
          <w:b/>
          <w:bCs/>
          <w:sz w:val="24"/>
        </w:rPr>
        <w:drawing>
          <wp:inline distT="0" distB="0" distL="0" distR="0">
            <wp:extent cx="8283575" cy="4904740"/>
            <wp:effectExtent l="0" t="0" r="10160" b="3175"/>
            <wp:docPr id="5" name="图片 7" descr="C:\Users\Administrator\Desktop\新建文件夹\微信截图_20210908121742.png微信截图_2021090812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Administrator\Desktop\新建文件夹\微信截图_20210908121742.png微信截图_20210908121742"/>
                    <pic:cNvPicPr>
                      <a:picLocks noChangeAspect="1" noChangeArrowheads="1"/>
                    </pic:cNvPicPr>
                  </pic:nvPicPr>
                  <pic:blipFill>
                    <a:blip r:embed="rId9"/>
                    <a:srcRect/>
                    <a:stretch>
                      <a:fillRect/>
                    </a:stretch>
                  </pic:blipFill>
                  <pic:spPr>
                    <a:xfrm rot="16200000">
                      <a:off x="0" y="0"/>
                      <a:ext cx="8283575" cy="4904740"/>
                    </a:xfrm>
                    <a:prstGeom prst="rect">
                      <a:avLst/>
                    </a:prstGeom>
                    <a:noFill/>
                    <a:ln w="9525">
                      <a:noFill/>
                      <a:miter lim="800000"/>
                      <a:headEnd/>
                      <a:tailEnd/>
                    </a:ln>
                  </pic:spPr>
                </pic:pic>
              </a:graphicData>
            </a:graphic>
          </wp:inline>
        </w:drawing>
      </w:r>
    </w:p>
    <w:p>
      <w:pPr>
        <w:pStyle w:val="2"/>
        <w:ind w:left="0" w:leftChars="0" w:firstLine="0" w:firstLineChars="0"/>
        <w:rPr>
          <w:rFonts w:hint="default" w:ascii="宋体" w:hAnsi="宋体" w:cs="宋体"/>
          <w:b/>
          <w:bCs/>
          <w:color w:val="auto"/>
          <w:sz w:val="21"/>
          <w:szCs w:val="21"/>
          <w:lang w:val="en-US" w:eastAsia="zh-CN"/>
        </w:rPr>
      </w:pPr>
    </w:p>
    <w:p>
      <w:pPr>
        <w:keepNext/>
        <w:keepLines/>
        <w:widowControl/>
        <w:adjustRightInd w:val="0"/>
        <w:snapToGrid w:val="0"/>
        <w:spacing w:line="360" w:lineRule="auto"/>
        <w:jc w:val="left"/>
        <w:outlineLvl w:val="0"/>
        <w:rPr>
          <w:rFonts w:hint="eastAsia" w:ascii="宋体" w:hAnsi="宋体" w:eastAsia="宋体" w:cs="宋体"/>
          <w:b/>
          <w:color w:val="000000"/>
          <w:kern w:val="0"/>
          <w:szCs w:val="21"/>
          <w:lang w:eastAsia="zh-CN"/>
        </w:rPr>
      </w:pPr>
      <w:r>
        <w:rPr>
          <w:rFonts w:hint="eastAsia" w:ascii="宋体" w:hAnsi="宋体" w:eastAsia="宋体" w:cs="宋体"/>
          <w:b/>
          <w:color w:val="000000"/>
          <w:kern w:val="44"/>
          <w:szCs w:val="21"/>
        </w:rPr>
        <w:t>附图</w:t>
      </w:r>
      <w:r>
        <w:rPr>
          <w:rFonts w:hint="eastAsia" w:ascii="宋体" w:hAnsi="宋体" w:cs="宋体"/>
          <w:b/>
          <w:color w:val="000000"/>
          <w:kern w:val="44"/>
          <w:szCs w:val="21"/>
          <w:lang w:val="en-US" w:eastAsia="zh-CN"/>
        </w:rPr>
        <w:t>3</w:t>
      </w:r>
      <w:r>
        <w:rPr>
          <w:rFonts w:hint="eastAsia" w:ascii="宋体" w:hAnsi="宋体" w:eastAsia="宋体" w:cs="宋体"/>
          <w:b/>
          <w:color w:val="000000"/>
          <w:kern w:val="44"/>
          <w:szCs w:val="21"/>
        </w:rPr>
        <w:t>、环保设施等照片</w:t>
      </w:r>
      <w:bookmarkEnd w:id="21"/>
      <w:r>
        <w:rPr>
          <w:rFonts w:hint="eastAsia" w:ascii="宋体" w:hAnsi="宋体" w:eastAsia="宋体" w:cs="宋体"/>
          <w:b/>
          <w:color w:val="000000"/>
          <w:kern w:val="0"/>
          <w:szCs w:val="21"/>
        </w:rPr>
        <w:t xml:space="preserve"> </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widowControl/>
              <w:adjustRightInd w:val="0"/>
              <w:snapToGrid w:val="0"/>
              <w:spacing w:after="200" w:line="240" w:lineRule="auto"/>
              <w:jc w:val="center"/>
              <w:rPr>
                <w:rFonts w:hint="eastAsia" w:ascii="宋体" w:hAnsi="宋体" w:eastAsia="宋体" w:cs="宋体"/>
                <w:b/>
                <w:color w:val="000000"/>
                <w:kern w:val="0"/>
                <w:szCs w:val="21"/>
                <w:vertAlign w:val="baseline"/>
                <w:lang w:eastAsia="zh-CN"/>
              </w:rPr>
            </w:pPr>
            <w:r>
              <w:rPr>
                <w:rFonts w:hint="eastAsia" w:ascii="宋体" w:hAnsi="宋体" w:eastAsia="宋体" w:cs="宋体"/>
                <w:b/>
                <w:color w:val="000000"/>
                <w:kern w:val="0"/>
                <w:szCs w:val="21"/>
                <w:vertAlign w:val="baseline"/>
                <w:lang w:eastAsia="zh-CN"/>
              </w:rPr>
              <w:drawing>
                <wp:inline distT="0" distB="0" distL="114300" distR="114300">
                  <wp:extent cx="2632710" cy="1974215"/>
                  <wp:effectExtent l="0" t="0" r="15240" b="6985"/>
                  <wp:docPr id="9" name="图片 9" descr="C:\Users\Administrator\Desktop\新建文件夹\微信图片_20210908101811.jpg微信图片_202109081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新建文件夹\微信图片_20210908101811.jpg微信图片_20210908101811"/>
                          <pic:cNvPicPr>
                            <a:picLocks noChangeAspect="1"/>
                          </pic:cNvPicPr>
                        </pic:nvPicPr>
                        <pic:blipFill>
                          <a:blip r:embed="rId10"/>
                          <a:srcRect/>
                          <a:stretch>
                            <a:fillRect/>
                          </a:stretch>
                        </pic:blipFill>
                        <pic:spPr>
                          <a:xfrm>
                            <a:off x="0" y="0"/>
                            <a:ext cx="2632710" cy="1974215"/>
                          </a:xfrm>
                          <a:prstGeom prst="rect">
                            <a:avLst/>
                          </a:prstGeom>
                        </pic:spPr>
                      </pic:pic>
                    </a:graphicData>
                  </a:graphic>
                </wp:inline>
              </w:drawing>
            </w:r>
          </w:p>
        </w:tc>
        <w:tc>
          <w:tcPr>
            <w:tcW w:w="4261" w:type="dxa"/>
          </w:tcPr>
          <w:p>
            <w:pPr>
              <w:widowControl/>
              <w:adjustRightInd w:val="0"/>
              <w:snapToGrid w:val="0"/>
              <w:spacing w:after="200" w:line="240" w:lineRule="auto"/>
              <w:jc w:val="center"/>
              <w:rPr>
                <w:rFonts w:hint="eastAsia" w:ascii="宋体" w:hAnsi="宋体" w:eastAsia="宋体" w:cs="宋体"/>
                <w:b/>
                <w:color w:val="000000"/>
                <w:kern w:val="0"/>
                <w:szCs w:val="21"/>
                <w:vertAlign w:val="baseline"/>
                <w:lang w:eastAsia="zh-CN"/>
              </w:rPr>
            </w:pPr>
            <w:r>
              <w:rPr>
                <w:rFonts w:hint="eastAsia" w:ascii="宋体" w:hAnsi="宋体" w:eastAsia="宋体" w:cs="宋体"/>
                <w:b/>
                <w:color w:val="000000"/>
                <w:kern w:val="0"/>
                <w:szCs w:val="21"/>
                <w:vertAlign w:val="baseline"/>
                <w:lang w:eastAsia="zh-CN"/>
              </w:rPr>
              <w:drawing>
                <wp:inline distT="0" distB="0" distL="114300" distR="114300">
                  <wp:extent cx="2535555" cy="1901825"/>
                  <wp:effectExtent l="0" t="0" r="17145" b="3175"/>
                  <wp:docPr id="23" name="图片 23" descr="C:\Users\Administrator\Desktop\新建文件夹\微信图片_20210908121916.jpg微信图片_2021090812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新建文件夹\微信图片_20210908121916.jpg微信图片_20210908121916"/>
                          <pic:cNvPicPr>
                            <a:picLocks noChangeAspect="1"/>
                          </pic:cNvPicPr>
                        </pic:nvPicPr>
                        <pic:blipFill>
                          <a:blip r:embed="rId11"/>
                          <a:srcRect/>
                          <a:stretch>
                            <a:fillRect/>
                          </a:stretch>
                        </pic:blipFill>
                        <pic:spPr>
                          <a:xfrm>
                            <a:off x="0" y="0"/>
                            <a:ext cx="2535555" cy="1901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widowControl/>
              <w:adjustRightInd w:val="0"/>
              <w:snapToGrid w:val="0"/>
              <w:spacing w:after="200" w:line="240" w:lineRule="auto"/>
              <w:jc w:val="center"/>
              <w:rPr>
                <w:rFonts w:hint="default" w:ascii="宋体" w:hAnsi="宋体" w:eastAsia="宋体" w:cs="宋体"/>
                <w:b/>
                <w:color w:val="000000"/>
                <w:kern w:val="0"/>
                <w:szCs w:val="21"/>
                <w:vertAlign w:val="baseline"/>
                <w:lang w:val="en-US" w:eastAsia="zh-CN"/>
              </w:rPr>
            </w:pPr>
            <w:r>
              <w:rPr>
                <w:rFonts w:hint="eastAsia" w:ascii="宋体" w:hAnsi="宋体" w:cs="宋体"/>
                <w:b/>
                <w:color w:val="000000"/>
                <w:kern w:val="0"/>
                <w:szCs w:val="21"/>
                <w:vertAlign w:val="baseline"/>
                <w:lang w:val="en-US" w:eastAsia="zh-CN"/>
              </w:rPr>
              <w:t>危废信息公开标识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widowControl/>
              <w:adjustRightInd w:val="0"/>
              <w:snapToGrid w:val="0"/>
              <w:spacing w:after="200" w:line="240" w:lineRule="auto"/>
              <w:jc w:val="center"/>
              <w:rPr>
                <w:rFonts w:hint="eastAsia" w:ascii="宋体" w:hAnsi="宋体" w:eastAsia="宋体" w:cs="宋体"/>
                <w:b/>
                <w:color w:val="000000"/>
                <w:kern w:val="0"/>
                <w:szCs w:val="21"/>
                <w:vertAlign w:val="baseline"/>
                <w:lang w:eastAsia="zh-CN"/>
              </w:rPr>
            </w:pPr>
            <w:r>
              <w:rPr>
                <w:rFonts w:hint="eastAsia" w:ascii="宋体" w:hAnsi="宋体" w:cs="宋体"/>
                <w:b/>
                <w:color w:val="000000"/>
                <w:kern w:val="0"/>
                <w:szCs w:val="21"/>
                <w:vertAlign w:val="baseline"/>
                <w:lang w:val="en-US" w:eastAsia="zh-CN"/>
              </w:rPr>
              <w:drawing>
                <wp:inline distT="0" distB="0" distL="114300" distR="114300">
                  <wp:extent cx="2644140" cy="1983105"/>
                  <wp:effectExtent l="0" t="0" r="3810" b="17145"/>
                  <wp:docPr id="14" name="图片 14" descr="C:\Users\Administrator\Desktop\新建文件夹\微信图片_20210908121923.jpg微信图片_2021090812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新建文件夹\微信图片_20210908121923.jpg微信图片_20210908121923"/>
                          <pic:cNvPicPr>
                            <a:picLocks noChangeAspect="1"/>
                          </pic:cNvPicPr>
                        </pic:nvPicPr>
                        <pic:blipFill>
                          <a:blip r:embed="rId12"/>
                          <a:srcRect/>
                          <a:stretch>
                            <a:fillRect/>
                          </a:stretch>
                        </pic:blipFill>
                        <pic:spPr>
                          <a:xfrm>
                            <a:off x="0" y="0"/>
                            <a:ext cx="2644140" cy="1983105"/>
                          </a:xfrm>
                          <a:prstGeom prst="rect">
                            <a:avLst/>
                          </a:prstGeom>
                        </pic:spPr>
                      </pic:pic>
                    </a:graphicData>
                  </a:graphic>
                </wp:inline>
              </w:drawing>
            </w:r>
          </w:p>
        </w:tc>
        <w:tc>
          <w:tcPr>
            <w:tcW w:w="4261" w:type="dxa"/>
          </w:tcPr>
          <w:p>
            <w:pPr>
              <w:widowControl/>
              <w:adjustRightInd w:val="0"/>
              <w:snapToGrid w:val="0"/>
              <w:spacing w:after="200" w:line="240" w:lineRule="auto"/>
              <w:jc w:val="center"/>
              <w:rPr>
                <w:rFonts w:hint="eastAsia" w:ascii="宋体" w:hAnsi="宋体" w:cs="宋体"/>
                <w:b/>
                <w:color w:val="000000"/>
                <w:kern w:val="0"/>
                <w:szCs w:val="21"/>
                <w:vertAlign w:val="baseline"/>
                <w:lang w:val="en-US" w:eastAsia="zh-CN"/>
              </w:rPr>
            </w:pPr>
            <w:r>
              <w:rPr>
                <w:rFonts w:hint="eastAsia" w:ascii="宋体" w:hAnsi="宋体" w:cs="宋体"/>
                <w:b/>
                <w:color w:val="000000"/>
                <w:kern w:val="0"/>
                <w:szCs w:val="21"/>
                <w:vertAlign w:val="baseline"/>
                <w:lang w:val="en-US" w:eastAsia="zh-CN"/>
              </w:rPr>
              <w:drawing>
                <wp:inline distT="0" distB="0" distL="114300" distR="114300">
                  <wp:extent cx="2564765" cy="1923415"/>
                  <wp:effectExtent l="0" t="0" r="6985" b="635"/>
                  <wp:docPr id="2" name="图片 2" descr="微信图片_202109081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908121940"/>
                          <pic:cNvPicPr>
                            <a:picLocks noChangeAspect="1"/>
                          </pic:cNvPicPr>
                        </pic:nvPicPr>
                        <pic:blipFill>
                          <a:blip r:embed="rId13"/>
                          <a:stretch>
                            <a:fillRect/>
                          </a:stretch>
                        </pic:blipFill>
                        <pic:spPr>
                          <a:xfrm>
                            <a:off x="0" y="0"/>
                            <a:ext cx="2564765" cy="19234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pPr>
              <w:widowControl/>
              <w:adjustRightInd w:val="0"/>
              <w:snapToGrid w:val="0"/>
              <w:spacing w:after="200" w:line="240" w:lineRule="auto"/>
              <w:jc w:val="center"/>
              <w:rPr>
                <w:rFonts w:hint="eastAsia" w:ascii="宋体" w:hAnsi="宋体" w:cs="宋体"/>
                <w:b/>
                <w:color w:val="000000"/>
                <w:kern w:val="0"/>
                <w:szCs w:val="21"/>
                <w:vertAlign w:val="baseline"/>
                <w:lang w:val="en-US" w:eastAsia="zh-CN"/>
              </w:rPr>
            </w:pPr>
            <w:r>
              <w:rPr>
                <w:rFonts w:hint="eastAsia" w:ascii="宋体" w:hAnsi="宋体" w:cs="宋体"/>
                <w:b/>
                <w:color w:val="000000"/>
                <w:kern w:val="0"/>
                <w:szCs w:val="21"/>
                <w:vertAlign w:val="baseline"/>
                <w:lang w:val="en-US" w:eastAsia="zh-CN"/>
              </w:rPr>
              <w:t>危废仓库内部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4" w:hRule="atLeast"/>
        </w:trPr>
        <w:tc>
          <w:tcPr>
            <w:tcW w:w="8522" w:type="dxa"/>
            <w:gridSpan w:val="2"/>
          </w:tcPr>
          <w:p>
            <w:pPr>
              <w:widowControl/>
              <w:adjustRightInd w:val="0"/>
              <w:snapToGrid w:val="0"/>
              <w:spacing w:after="200" w:line="240" w:lineRule="auto"/>
              <w:jc w:val="center"/>
              <w:rPr>
                <w:rFonts w:hint="eastAsia" w:ascii="宋体" w:hAnsi="宋体" w:cs="宋体"/>
                <w:b/>
                <w:color w:val="000000"/>
                <w:kern w:val="0"/>
                <w:szCs w:val="21"/>
                <w:vertAlign w:val="baseline"/>
                <w:lang w:val="en-US" w:eastAsia="zh-CN"/>
              </w:rPr>
            </w:pPr>
            <w:r>
              <w:rPr>
                <w:rFonts w:hint="eastAsia" w:ascii="宋体" w:hAnsi="宋体" w:cs="宋体"/>
                <w:b/>
                <w:color w:val="000000"/>
                <w:kern w:val="0"/>
                <w:szCs w:val="21"/>
                <w:vertAlign w:val="baseline"/>
                <w:lang w:val="en-US" w:eastAsia="zh-CN"/>
              </w:rPr>
              <w:drawing>
                <wp:inline distT="0" distB="0" distL="114300" distR="114300">
                  <wp:extent cx="2564765" cy="1923415"/>
                  <wp:effectExtent l="0" t="0" r="6985" b="635"/>
                  <wp:docPr id="1" name="图片 1" descr="微信图片_202109081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908121928"/>
                          <pic:cNvPicPr>
                            <a:picLocks noChangeAspect="1"/>
                          </pic:cNvPicPr>
                        </pic:nvPicPr>
                        <pic:blipFill>
                          <a:blip r:embed="rId14"/>
                          <a:stretch>
                            <a:fillRect/>
                          </a:stretch>
                        </pic:blipFill>
                        <pic:spPr>
                          <a:xfrm>
                            <a:off x="0" y="0"/>
                            <a:ext cx="2564765" cy="19234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gridSpan w:val="2"/>
          </w:tcPr>
          <w:p>
            <w:pPr>
              <w:widowControl/>
              <w:adjustRightInd w:val="0"/>
              <w:snapToGrid w:val="0"/>
              <w:spacing w:after="200" w:line="240" w:lineRule="auto"/>
              <w:jc w:val="center"/>
              <w:rPr>
                <w:rFonts w:hint="default" w:ascii="宋体" w:hAnsi="宋体" w:cs="宋体"/>
                <w:b/>
                <w:color w:val="000000"/>
                <w:kern w:val="0"/>
                <w:szCs w:val="21"/>
                <w:vertAlign w:val="baseline"/>
                <w:lang w:val="en-US" w:eastAsia="zh-CN"/>
              </w:rPr>
            </w:pPr>
            <w:r>
              <w:rPr>
                <w:rFonts w:hint="eastAsia" w:ascii="宋体" w:hAnsi="宋体" w:cs="宋体"/>
                <w:b/>
                <w:color w:val="000000"/>
                <w:kern w:val="0"/>
                <w:szCs w:val="21"/>
                <w:vertAlign w:val="baseline"/>
                <w:lang w:val="en-US" w:eastAsia="zh-CN"/>
              </w:rPr>
              <w:t>集水井</w:t>
            </w:r>
          </w:p>
        </w:tc>
      </w:tr>
    </w:tbl>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r>
        <w:rPr>
          <w:rFonts w:hint="default" w:ascii="Times New Roman" w:hAnsi="Times New Roman" w:eastAsia="宋体" w:cs="Times New Roman"/>
          <w:b/>
          <w:color w:val="000000"/>
          <w:kern w:val="44"/>
          <w:szCs w:val="21"/>
        </w:rPr>
        <w:t>附件1、环评审批意见</w:t>
      </w:r>
    </w:p>
    <w:p>
      <w:pPr>
        <w:pStyle w:val="2"/>
        <w:rPr>
          <w:rFonts w:hint="eastAsia" w:ascii="Times New Roman" w:hAnsi="Times New Roman" w:eastAsia="宋体" w:cs="Times New Roman"/>
          <w:b/>
          <w:color w:val="000000"/>
          <w:kern w:val="44"/>
          <w:szCs w:val="21"/>
          <w:lang w:eastAsia="zh-CN"/>
        </w:rPr>
      </w:pPr>
      <w:r>
        <w:rPr>
          <w:rFonts w:hint="eastAsia" w:ascii="Times New Roman" w:hAnsi="Times New Roman" w:eastAsia="宋体" w:cs="Times New Roman"/>
          <w:b/>
          <w:color w:val="000000"/>
          <w:kern w:val="44"/>
          <w:szCs w:val="21"/>
          <w:lang w:eastAsia="zh-CN"/>
        </w:rPr>
        <w:drawing>
          <wp:inline distT="0" distB="0" distL="114300" distR="114300">
            <wp:extent cx="5268595" cy="7446010"/>
            <wp:effectExtent l="0" t="0" r="8255" b="2540"/>
            <wp:docPr id="34" name="图片 34" descr="吴月齿轮年产8万套项目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吴月齿轮年产8万套项目批复_页面_1"/>
                    <pic:cNvPicPr>
                      <a:picLocks noChangeAspect="1"/>
                    </pic:cNvPicPr>
                  </pic:nvPicPr>
                  <pic:blipFill>
                    <a:blip r:embed="rId15"/>
                    <a:stretch>
                      <a:fillRect/>
                    </a:stretch>
                  </pic:blipFill>
                  <pic:spPr>
                    <a:xfrm>
                      <a:off x="0" y="0"/>
                      <a:ext cx="5268595" cy="7446010"/>
                    </a:xfrm>
                    <a:prstGeom prst="rect">
                      <a:avLst/>
                    </a:prstGeom>
                  </pic:spPr>
                </pic:pic>
              </a:graphicData>
            </a:graphic>
          </wp:inline>
        </w:drawing>
      </w:r>
      <w:r>
        <w:rPr>
          <w:rFonts w:hint="eastAsia" w:ascii="Times New Roman" w:hAnsi="Times New Roman" w:eastAsia="宋体" w:cs="Times New Roman"/>
          <w:b/>
          <w:color w:val="000000"/>
          <w:kern w:val="44"/>
          <w:szCs w:val="21"/>
          <w:lang w:eastAsia="zh-CN"/>
        </w:rPr>
        <w:drawing>
          <wp:inline distT="0" distB="0" distL="114300" distR="114300">
            <wp:extent cx="5268595" cy="7446010"/>
            <wp:effectExtent l="0" t="0" r="8255" b="2540"/>
            <wp:docPr id="33" name="图片 33" descr="吴月齿轮年产8万套项目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吴月齿轮年产8万套项目批复_页面_2"/>
                    <pic:cNvPicPr>
                      <a:picLocks noChangeAspect="1"/>
                    </pic:cNvPicPr>
                  </pic:nvPicPr>
                  <pic:blipFill>
                    <a:blip r:embed="rId16"/>
                    <a:stretch>
                      <a:fillRect/>
                    </a:stretch>
                  </pic:blipFill>
                  <pic:spPr>
                    <a:xfrm>
                      <a:off x="0" y="0"/>
                      <a:ext cx="5268595" cy="7446010"/>
                    </a:xfrm>
                    <a:prstGeom prst="rect">
                      <a:avLst/>
                    </a:prstGeom>
                  </pic:spPr>
                </pic:pic>
              </a:graphicData>
            </a:graphic>
          </wp:inline>
        </w:drawing>
      </w:r>
      <w:r>
        <w:rPr>
          <w:rFonts w:hint="eastAsia" w:ascii="Times New Roman" w:hAnsi="Times New Roman" w:eastAsia="宋体" w:cs="Times New Roman"/>
          <w:b/>
          <w:color w:val="000000"/>
          <w:kern w:val="44"/>
          <w:szCs w:val="21"/>
          <w:lang w:eastAsia="zh-CN"/>
        </w:rPr>
        <w:drawing>
          <wp:inline distT="0" distB="0" distL="114300" distR="114300">
            <wp:extent cx="5268595" cy="7446010"/>
            <wp:effectExtent l="0" t="0" r="8255" b="2540"/>
            <wp:docPr id="32" name="图片 32" descr="吴月齿轮年产10万套项目环评及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吴月齿轮年产10万套项目环评及批复_页面_1"/>
                    <pic:cNvPicPr>
                      <a:picLocks noChangeAspect="1"/>
                    </pic:cNvPicPr>
                  </pic:nvPicPr>
                  <pic:blipFill>
                    <a:blip r:embed="rId17"/>
                    <a:stretch>
                      <a:fillRect/>
                    </a:stretch>
                  </pic:blipFill>
                  <pic:spPr>
                    <a:xfrm>
                      <a:off x="0" y="0"/>
                      <a:ext cx="5268595" cy="7446010"/>
                    </a:xfrm>
                    <a:prstGeom prst="rect">
                      <a:avLst/>
                    </a:prstGeom>
                  </pic:spPr>
                </pic:pic>
              </a:graphicData>
            </a:graphic>
          </wp:inline>
        </w:drawing>
      </w:r>
      <w:r>
        <w:rPr>
          <w:rFonts w:hint="eastAsia" w:ascii="Times New Roman" w:hAnsi="Times New Roman" w:eastAsia="宋体" w:cs="Times New Roman"/>
          <w:b/>
          <w:color w:val="000000"/>
          <w:kern w:val="44"/>
          <w:szCs w:val="21"/>
          <w:lang w:eastAsia="zh-CN"/>
        </w:rPr>
        <w:drawing>
          <wp:inline distT="0" distB="0" distL="114300" distR="114300">
            <wp:extent cx="5268595" cy="7446010"/>
            <wp:effectExtent l="0" t="0" r="8255" b="2540"/>
            <wp:docPr id="31" name="图片 31" descr="吴月齿轮年产10万套项目环评及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吴月齿轮年产10万套项目环评及批复_页面_2"/>
                    <pic:cNvPicPr>
                      <a:picLocks noChangeAspect="1"/>
                    </pic:cNvPicPr>
                  </pic:nvPicPr>
                  <pic:blipFill>
                    <a:blip r:embed="rId18"/>
                    <a:stretch>
                      <a:fillRect/>
                    </a:stretch>
                  </pic:blipFill>
                  <pic:spPr>
                    <a:xfrm>
                      <a:off x="0" y="0"/>
                      <a:ext cx="5268595" cy="7446010"/>
                    </a:xfrm>
                    <a:prstGeom prst="rect">
                      <a:avLst/>
                    </a:prstGeom>
                  </pic:spPr>
                </pic:pic>
              </a:graphicData>
            </a:graphic>
          </wp:inline>
        </w:drawing>
      </w:r>
      <w:r>
        <w:rPr>
          <w:rFonts w:hint="eastAsia" w:ascii="Times New Roman" w:hAnsi="Times New Roman" w:eastAsia="宋体" w:cs="Times New Roman"/>
          <w:b/>
          <w:color w:val="000000"/>
          <w:kern w:val="44"/>
          <w:szCs w:val="21"/>
          <w:lang w:eastAsia="zh-CN"/>
        </w:rPr>
        <w:drawing>
          <wp:inline distT="0" distB="0" distL="114300" distR="114300">
            <wp:extent cx="5268595" cy="7446010"/>
            <wp:effectExtent l="0" t="0" r="8255" b="2540"/>
            <wp:docPr id="30" name="图片 30" descr="吴月齿轮年产10万套项目环评及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吴月齿轮年产10万套项目环评及批复_页面_3"/>
                    <pic:cNvPicPr>
                      <a:picLocks noChangeAspect="1"/>
                    </pic:cNvPicPr>
                  </pic:nvPicPr>
                  <pic:blipFill>
                    <a:blip r:embed="rId19"/>
                    <a:stretch>
                      <a:fillRect/>
                    </a:stretch>
                  </pic:blipFill>
                  <pic:spPr>
                    <a:xfrm>
                      <a:off x="0" y="0"/>
                      <a:ext cx="5268595" cy="7446010"/>
                    </a:xfrm>
                    <a:prstGeom prst="rect">
                      <a:avLst/>
                    </a:prstGeom>
                  </pic:spPr>
                </pic:pic>
              </a:graphicData>
            </a:graphic>
          </wp:inline>
        </w:drawing>
      </w: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lang w:val="en-US" w:eastAsia="zh-CN"/>
        </w:rPr>
      </w:pPr>
      <w:r>
        <w:rPr>
          <w:rFonts w:hint="default" w:ascii="Times New Roman" w:hAnsi="Times New Roman" w:eastAsia="宋体" w:cs="Times New Roman"/>
          <w:b/>
          <w:color w:val="000000"/>
          <w:kern w:val="44"/>
          <w:szCs w:val="21"/>
        </w:rPr>
        <w:t>附件</w:t>
      </w:r>
      <w:r>
        <w:rPr>
          <w:rFonts w:hint="eastAsia" w:ascii="Times New Roman" w:hAnsi="Times New Roman" w:eastAsia="宋体" w:cs="Times New Roman"/>
          <w:b/>
          <w:color w:val="000000"/>
          <w:kern w:val="44"/>
          <w:szCs w:val="21"/>
          <w:lang w:val="en-US" w:eastAsia="zh-CN"/>
        </w:rPr>
        <w:t>2</w:t>
      </w:r>
      <w:r>
        <w:rPr>
          <w:rFonts w:hint="default" w:ascii="Times New Roman" w:hAnsi="Times New Roman" w:eastAsia="宋体" w:cs="Times New Roman"/>
          <w:b/>
          <w:color w:val="000000"/>
          <w:kern w:val="44"/>
          <w:szCs w:val="21"/>
        </w:rPr>
        <w:t>、</w:t>
      </w:r>
      <w:r>
        <w:rPr>
          <w:rFonts w:hint="eastAsia" w:ascii="Times New Roman" w:hAnsi="Times New Roman" w:eastAsia="宋体" w:cs="Times New Roman"/>
          <w:b/>
          <w:color w:val="000000"/>
          <w:kern w:val="44"/>
          <w:szCs w:val="21"/>
          <w:lang w:val="en-US" w:eastAsia="zh-CN"/>
        </w:rPr>
        <w:t>危废处置协议</w:t>
      </w:r>
    </w:p>
    <w:p>
      <w:pPr>
        <w:pStyle w:val="2"/>
        <w:rPr>
          <w:rFonts w:hint="eastAsia" w:eastAsia="仿宋_GB2312"/>
          <w:lang w:eastAsia="zh-CN"/>
        </w:rPr>
      </w:pPr>
      <w:r>
        <w:rPr>
          <w:rFonts w:hint="eastAsia" w:eastAsia="仿宋_GB2312"/>
          <w:lang w:eastAsia="zh-CN"/>
        </w:rPr>
        <w:drawing>
          <wp:inline distT="0" distB="0" distL="114300" distR="114300">
            <wp:extent cx="5273675" cy="7426325"/>
            <wp:effectExtent l="0" t="0" r="3175" b="3175"/>
            <wp:docPr id="8" name="图片 8" descr="微信图片_202109081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908101904"/>
                    <pic:cNvPicPr>
                      <a:picLocks noChangeAspect="1"/>
                    </pic:cNvPicPr>
                  </pic:nvPicPr>
                  <pic:blipFill>
                    <a:blip r:embed="rId20"/>
                    <a:stretch>
                      <a:fillRect/>
                    </a:stretch>
                  </pic:blipFill>
                  <pic:spPr>
                    <a:xfrm>
                      <a:off x="0" y="0"/>
                      <a:ext cx="5273675" cy="7426325"/>
                    </a:xfrm>
                    <a:prstGeom prst="rect">
                      <a:avLst/>
                    </a:prstGeom>
                  </pic:spPr>
                </pic:pic>
              </a:graphicData>
            </a:graphic>
          </wp:inline>
        </w:drawing>
      </w:r>
      <w:r>
        <w:rPr>
          <w:rFonts w:hint="eastAsia" w:eastAsia="仿宋_GB2312"/>
          <w:lang w:eastAsia="zh-CN"/>
        </w:rPr>
        <w:drawing>
          <wp:inline distT="0" distB="0" distL="114300" distR="114300">
            <wp:extent cx="5266690" cy="7021830"/>
            <wp:effectExtent l="0" t="0" r="10160" b="7620"/>
            <wp:docPr id="18" name="图片 18" descr="C:\Users\Administrator\Desktop\新建文件夹\微信图片_20210908121948.jpg微信图片_202109081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新建文件夹\微信图片_20210908121948.jpg微信图片_20210908121948"/>
                    <pic:cNvPicPr>
                      <a:picLocks noChangeAspect="1"/>
                    </pic:cNvPicPr>
                  </pic:nvPicPr>
                  <pic:blipFill>
                    <a:blip r:embed="rId21"/>
                    <a:srcRect/>
                    <a:stretch>
                      <a:fillRect/>
                    </a:stretch>
                  </pic:blipFill>
                  <pic:spPr>
                    <a:xfrm>
                      <a:off x="0" y="0"/>
                      <a:ext cx="5266690" cy="7021830"/>
                    </a:xfrm>
                    <a:prstGeom prst="rect">
                      <a:avLst/>
                    </a:prstGeom>
                  </pic:spPr>
                </pic:pic>
              </a:graphicData>
            </a:graphic>
          </wp:inline>
        </w:drawing>
      </w:r>
      <w:r>
        <w:rPr>
          <w:rFonts w:hint="eastAsia" w:eastAsia="仿宋_GB2312"/>
          <w:lang w:eastAsia="zh-CN"/>
        </w:rPr>
        <w:drawing>
          <wp:inline distT="0" distB="0" distL="114300" distR="114300">
            <wp:extent cx="5266690" cy="7110095"/>
            <wp:effectExtent l="0" t="0" r="10160" b="14605"/>
            <wp:docPr id="7" name="图片 7" descr="微信图片_2021090810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908101907"/>
                    <pic:cNvPicPr>
                      <a:picLocks noChangeAspect="1"/>
                    </pic:cNvPicPr>
                  </pic:nvPicPr>
                  <pic:blipFill>
                    <a:blip r:embed="rId22"/>
                    <a:stretch>
                      <a:fillRect/>
                    </a:stretch>
                  </pic:blipFill>
                  <pic:spPr>
                    <a:xfrm>
                      <a:off x="0" y="0"/>
                      <a:ext cx="5266690" cy="7110095"/>
                    </a:xfrm>
                    <a:prstGeom prst="rect">
                      <a:avLst/>
                    </a:prstGeom>
                  </pic:spPr>
                </pic:pic>
              </a:graphicData>
            </a:graphic>
          </wp:inline>
        </w:drawing>
      </w:r>
      <w:r>
        <w:rPr>
          <w:rFonts w:hint="eastAsia" w:eastAsia="仿宋_GB2312"/>
          <w:lang w:eastAsia="zh-CN"/>
        </w:rPr>
        <w:drawing>
          <wp:inline distT="0" distB="0" distL="114300" distR="114300">
            <wp:extent cx="5273675" cy="7412990"/>
            <wp:effectExtent l="0" t="0" r="3175" b="16510"/>
            <wp:docPr id="6" name="图片 6" descr="微信图片_202109081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908101910"/>
                    <pic:cNvPicPr>
                      <a:picLocks noChangeAspect="1"/>
                    </pic:cNvPicPr>
                  </pic:nvPicPr>
                  <pic:blipFill>
                    <a:blip r:embed="rId23"/>
                    <a:stretch>
                      <a:fillRect/>
                    </a:stretch>
                  </pic:blipFill>
                  <pic:spPr>
                    <a:xfrm>
                      <a:off x="0" y="0"/>
                      <a:ext cx="5273675" cy="7412990"/>
                    </a:xfrm>
                    <a:prstGeom prst="rect">
                      <a:avLst/>
                    </a:prstGeom>
                  </pic:spPr>
                </pic:pic>
              </a:graphicData>
            </a:graphic>
          </wp:inline>
        </w:drawing>
      </w:r>
      <w:r>
        <w:rPr>
          <w:rFonts w:hint="eastAsia" w:eastAsia="仿宋_GB2312"/>
          <w:lang w:eastAsia="zh-CN"/>
        </w:rPr>
        <w:drawing>
          <wp:inline distT="0" distB="0" distL="114300" distR="114300">
            <wp:extent cx="5255260" cy="7527925"/>
            <wp:effectExtent l="0" t="0" r="2540" b="15875"/>
            <wp:docPr id="3" name="图片 3" descr="微信图片_202109081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908101912"/>
                    <pic:cNvPicPr>
                      <a:picLocks noChangeAspect="1"/>
                    </pic:cNvPicPr>
                  </pic:nvPicPr>
                  <pic:blipFill>
                    <a:blip r:embed="rId24"/>
                    <a:stretch>
                      <a:fillRect/>
                    </a:stretch>
                  </pic:blipFill>
                  <pic:spPr>
                    <a:xfrm>
                      <a:off x="0" y="0"/>
                      <a:ext cx="5255260" cy="7527925"/>
                    </a:xfrm>
                    <a:prstGeom prst="rect">
                      <a:avLst/>
                    </a:prstGeom>
                  </pic:spPr>
                </pic:pic>
              </a:graphicData>
            </a:graphic>
          </wp:inline>
        </w:drawing>
      </w:r>
    </w:p>
    <w:p>
      <w:pPr>
        <w:pStyle w:val="2"/>
        <w:rPr>
          <w:rFonts w:hint="eastAsia" w:eastAsia="仿宋_GB2312"/>
          <w:lang w:eastAsia="zh-CN"/>
        </w:rPr>
      </w:pPr>
      <w:r>
        <w:rPr>
          <w:rFonts w:hint="eastAsia" w:eastAsia="仿宋_GB2312"/>
          <w:lang w:eastAsia="zh-CN"/>
        </w:rPr>
        <w:drawing>
          <wp:inline distT="0" distB="0" distL="114300" distR="114300">
            <wp:extent cx="5266690" cy="7022465"/>
            <wp:effectExtent l="0" t="0" r="10160" b="6985"/>
            <wp:docPr id="21" name="图片 21" descr="微信图片_202109081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908121936"/>
                    <pic:cNvPicPr>
                      <a:picLocks noChangeAspect="1"/>
                    </pic:cNvPicPr>
                  </pic:nvPicPr>
                  <pic:blipFill>
                    <a:blip r:embed="rId25"/>
                    <a:stretch>
                      <a:fillRect/>
                    </a:stretch>
                  </pic:blipFill>
                  <pic:spPr>
                    <a:xfrm>
                      <a:off x="0" y="0"/>
                      <a:ext cx="5266690" cy="7022465"/>
                    </a:xfrm>
                    <a:prstGeom prst="rect">
                      <a:avLst/>
                    </a:prstGeom>
                  </pic:spPr>
                </pic:pic>
              </a:graphicData>
            </a:graphic>
          </wp:inline>
        </w:drawing>
      </w: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lang w:val="en-US" w:eastAsia="zh-CN"/>
        </w:rPr>
      </w:pPr>
      <w:r>
        <w:rPr>
          <w:rFonts w:hint="default" w:ascii="Times New Roman" w:hAnsi="Times New Roman" w:eastAsia="宋体" w:cs="Times New Roman"/>
          <w:b/>
          <w:color w:val="000000"/>
          <w:kern w:val="44"/>
          <w:szCs w:val="21"/>
        </w:rPr>
        <w:t>附件</w:t>
      </w:r>
      <w:r>
        <w:rPr>
          <w:rFonts w:hint="eastAsia" w:ascii="Times New Roman" w:eastAsia="宋体" w:cs="Times New Roman"/>
          <w:b/>
          <w:color w:val="000000"/>
          <w:kern w:val="44"/>
          <w:szCs w:val="21"/>
          <w:lang w:val="en-US" w:eastAsia="zh-CN"/>
        </w:rPr>
        <w:t>3</w:t>
      </w:r>
      <w:r>
        <w:rPr>
          <w:rFonts w:hint="default" w:ascii="Times New Roman" w:hAnsi="Times New Roman" w:eastAsia="宋体" w:cs="Times New Roman"/>
          <w:b/>
          <w:color w:val="000000"/>
          <w:kern w:val="44"/>
          <w:szCs w:val="21"/>
        </w:rPr>
        <w:t>、</w:t>
      </w:r>
      <w:r>
        <w:rPr>
          <w:rFonts w:hint="eastAsia" w:ascii="Times New Roman" w:hAnsi="Times New Roman" w:eastAsia="宋体" w:cs="Times New Roman"/>
          <w:b/>
          <w:color w:val="000000"/>
          <w:kern w:val="44"/>
          <w:szCs w:val="21"/>
          <w:lang w:val="en-US" w:eastAsia="zh-CN"/>
        </w:rPr>
        <w:t>生活垃圾清运协议</w:t>
      </w:r>
    </w:p>
    <w:p>
      <w:pPr>
        <w:pStyle w:val="2"/>
        <w:rPr>
          <w:rFonts w:hint="default" w:ascii="宋体" w:hAnsi="宋体" w:cs="宋体"/>
          <w:b/>
          <w:bCs/>
          <w:sz w:val="21"/>
          <w:szCs w:val="21"/>
          <w:lang w:val="en-US" w:eastAsia="zh-CN"/>
        </w:rPr>
      </w:pPr>
      <w:r>
        <w:rPr>
          <w:rFonts w:hint="default" w:ascii="宋体" w:hAnsi="宋体" w:cs="宋体"/>
          <w:b/>
          <w:bCs/>
          <w:sz w:val="21"/>
          <w:szCs w:val="21"/>
          <w:lang w:val="en-US" w:eastAsia="zh-CN"/>
        </w:rPr>
        <w:drawing>
          <wp:inline distT="0" distB="0" distL="114300" distR="114300">
            <wp:extent cx="5271135" cy="7028180"/>
            <wp:effectExtent l="0" t="0" r="5715" b="1270"/>
            <wp:docPr id="11" name="图片 11" descr="C:\Users\Administrator\Desktop\新建文件夹\微信图片_20210908121955.jpg微信图片_2021090812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新建文件夹\微信图片_20210908121955.jpg微信图片_20210908121955"/>
                    <pic:cNvPicPr>
                      <a:picLocks noChangeAspect="1"/>
                    </pic:cNvPicPr>
                  </pic:nvPicPr>
                  <pic:blipFill>
                    <a:blip r:embed="rId26"/>
                    <a:srcRect/>
                    <a:stretch>
                      <a:fillRect/>
                    </a:stretch>
                  </pic:blipFill>
                  <pic:spPr>
                    <a:xfrm>
                      <a:off x="0" y="0"/>
                      <a:ext cx="5271135" cy="7028180"/>
                    </a:xfrm>
                    <a:prstGeom prst="rect">
                      <a:avLst/>
                    </a:prstGeom>
                  </pic:spPr>
                </pic:pic>
              </a:graphicData>
            </a:graphic>
          </wp:inline>
        </w:drawing>
      </w:r>
    </w:p>
    <w:p>
      <w:pPr>
        <w:pStyle w:val="2"/>
        <w:rPr>
          <w:rFonts w:hint="default" w:ascii="宋体" w:hAnsi="宋体" w:cs="宋体"/>
          <w:b/>
          <w:bCs/>
          <w:sz w:val="21"/>
          <w:szCs w:val="21"/>
          <w:lang w:val="en-US" w:eastAsia="zh-CN"/>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rPr>
      </w:pPr>
    </w:p>
    <w:p>
      <w:pPr>
        <w:pStyle w:val="2"/>
        <w:rPr>
          <w:rFonts w:hint="default" w:ascii="Times New Roman" w:hAnsi="Times New Roman" w:eastAsia="宋体" w:cs="Times New Roman"/>
          <w:b/>
          <w:color w:val="000000"/>
          <w:kern w:val="44"/>
          <w:szCs w:val="21"/>
          <w:lang w:val="en-US" w:eastAsia="zh-CN"/>
        </w:rPr>
      </w:pPr>
      <w:r>
        <w:rPr>
          <w:rFonts w:hint="default" w:ascii="Times New Roman" w:hAnsi="Times New Roman" w:eastAsia="宋体" w:cs="Times New Roman"/>
          <w:b/>
          <w:color w:val="000000"/>
          <w:kern w:val="44"/>
          <w:szCs w:val="21"/>
        </w:rPr>
        <w:t>附件</w:t>
      </w:r>
      <w:r>
        <w:rPr>
          <w:rFonts w:hint="eastAsia" w:ascii="Times New Roman" w:eastAsia="宋体" w:cs="Times New Roman"/>
          <w:b/>
          <w:color w:val="000000"/>
          <w:kern w:val="44"/>
          <w:szCs w:val="21"/>
          <w:lang w:val="en-US" w:eastAsia="zh-CN"/>
        </w:rPr>
        <w:t>4</w:t>
      </w:r>
      <w:r>
        <w:rPr>
          <w:rFonts w:hint="default" w:ascii="Times New Roman" w:hAnsi="Times New Roman" w:eastAsia="宋体" w:cs="Times New Roman"/>
          <w:b/>
          <w:color w:val="000000"/>
          <w:kern w:val="44"/>
          <w:szCs w:val="21"/>
        </w:rPr>
        <w:t>、</w:t>
      </w:r>
      <w:r>
        <w:rPr>
          <w:rFonts w:hint="eastAsia" w:ascii="Times New Roman" w:eastAsia="宋体" w:cs="Times New Roman"/>
          <w:b/>
          <w:color w:val="000000"/>
          <w:kern w:val="44"/>
          <w:szCs w:val="21"/>
          <w:lang w:val="en-US" w:eastAsia="zh-CN"/>
        </w:rPr>
        <w:t>废水、废气、噪声验收意见</w:t>
      </w:r>
    </w:p>
    <w:p>
      <w:pPr>
        <w:pStyle w:val="2"/>
        <w:rPr>
          <w:rFonts w:hint="eastAsia" w:eastAsia="仿宋_GB2312"/>
          <w:lang w:eastAsia="zh-CN"/>
        </w:rPr>
      </w:pPr>
      <w:r>
        <w:rPr>
          <w:rFonts w:hint="eastAsia"/>
          <w:lang w:val="en-US" w:eastAsia="zh-CN"/>
        </w:rPr>
        <w:t xml:space="preserve">     </w:t>
      </w:r>
      <w:r>
        <w:rPr>
          <w:rFonts w:hint="eastAsia"/>
          <w:lang w:val="en-US" w:eastAsia="zh-CN"/>
        </w:rPr>
        <w:drawing>
          <wp:inline distT="0" distB="0" distL="114300" distR="114300">
            <wp:extent cx="5271135" cy="7453630"/>
            <wp:effectExtent l="0" t="0" r="5715" b="13970"/>
            <wp:docPr id="29" name="图片 29" descr="吴江吴月齿轮制造有限责任公司项目竣工环保验收意见（新）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吴江吴月齿轮制造有限责任公司项目竣工环保验收意见（新）_页面_1"/>
                    <pic:cNvPicPr>
                      <a:picLocks noChangeAspect="1"/>
                    </pic:cNvPicPr>
                  </pic:nvPicPr>
                  <pic:blipFill>
                    <a:blip r:embed="rId27"/>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27" name="图片 27" descr="吴江吴月齿轮制造有限责任公司项目竣工环保验收意见（新）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吴江吴月齿轮制造有限责任公司项目竣工环保验收意见（新）_页面_2"/>
                    <pic:cNvPicPr>
                      <a:picLocks noChangeAspect="1"/>
                    </pic:cNvPicPr>
                  </pic:nvPicPr>
                  <pic:blipFill>
                    <a:blip r:embed="rId28"/>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26" name="图片 26" descr="吴江吴月齿轮制造有限责任公司项目竣工环保验收意见（新）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吴江吴月齿轮制造有限责任公司项目竣工环保验收意见（新）_页面_3"/>
                    <pic:cNvPicPr>
                      <a:picLocks noChangeAspect="1"/>
                    </pic:cNvPicPr>
                  </pic:nvPicPr>
                  <pic:blipFill>
                    <a:blip r:embed="rId29"/>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25" name="图片 25" descr="吴江吴月齿轮制造有限责任公司项目竣工环保验收意见（新）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吴江吴月齿轮制造有限责任公司项目竣工环保验收意见（新）_页面_4"/>
                    <pic:cNvPicPr>
                      <a:picLocks noChangeAspect="1"/>
                    </pic:cNvPicPr>
                  </pic:nvPicPr>
                  <pic:blipFill>
                    <a:blip r:embed="rId30"/>
                    <a:stretch>
                      <a:fillRect/>
                    </a:stretch>
                  </pic:blipFill>
                  <pic:spPr>
                    <a:xfrm>
                      <a:off x="0" y="0"/>
                      <a:ext cx="5271135" cy="7453630"/>
                    </a:xfrm>
                    <a:prstGeom prst="rect">
                      <a:avLst/>
                    </a:prstGeom>
                  </pic:spPr>
                </pic:pic>
              </a:graphicData>
            </a:graphic>
          </wp:inline>
        </w:drawing>
      </w:r>
      <w:r>
        <w:rPr>
          <w:rFonts w:hint="eastAsia"/>
          <w:lang w:val="en-US" w:eastAsia="zh-CN"/>
        </w:rPr>
        <w:drawing>
          <wp:inline distT="0" distB="0" distL="114300" distR="114300">
            <wp:extent cx="5271135" cy="7453630"/>
            <wp:effectExtent l="0" t="0" r="5715" b="13970"/>
            <wp:docPr id="24" name="图片 24" descr="吴江吴月齿轮制造有限责任公司项目竣工环保验收意见（新）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吴江吴月齿轮制造有限责任公司项目竣工环保验收意见（新）_页面_5"/>
                    <pic:cNvPicPr>
                      <a:picLocks noChangeAspect="1"/>
                    </pic:cNvPicPr>
                  </pic:nvPicPr>
                  <pic:blipFill>
                    <a:blip r:embed="rId31"/>
                    <a:stretch>
                      <a:fillRect/>
                    </a:stretch>
                  </pic:blipFill>
                  <pic:spPr>
                    <a:xfrm>
                      <a:off x="0" y="0"/>
                      <a:ext cx="5271135" cy="7453630"/>
                    </a:xfrm>
                    <a:prstGeom prst="rect">
                      <a:avLst/>
                    </a:prstGeom>
                  </pic:spPr>
                </pic:pic>
              </a:graphicData>
            </a:graphic>
          </wp:inline>
        </w:drawing>
      </w:r>
      <w:r>
        <w:rPr>
          <w:rFonts w:hint="eastAsia"/>
          <w:lang w:val="en-US" w:eastAsia="zh-CN"/>
        </w:rPr>
        <w:t xml:space="preserve">                                                                                                                                        </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42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42</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279CA"/>
    <w:multiLevelType w:val="singleLevel"/>
    <w:tmpl w:val="A62279CA"/>
    <w:lvl w:ilvl="0" w:tentative="0">
      <w:start w:val="4"/>
      <w:numFmt w:val="chineseCounting"/>
      <w:suff w:val="nothing"/>
      <w:lvlText w:val="%1、"/>
      <w:lvlJc w:val="left"/>
      <w:rPr>
        <w:rFonts w:hint="eastAsia"/>
      </w:rPr>
    </w:lvl>
  </w:abstractNum>
  <w:abstractNum w:abstractNumId="1">
    <w:nsid w:val="5B1127E2"/>
    <w:multiLevelType w:val="singleLevel"/>
    <w:tmpl w:val="5B1127E2"/>
    <w:lvl w:ilvl="0" w:tentative="0">
      <w:start w:val="1"/>
      <w:numFmt w:val="decimal"/>
      <w:suff w:val="nothing"/>
      <w:lvlText w:val="%1、"/>
      <w:lvlJc w:val="left"/>
      <w:pPr>
        <w:ind w:left="0" w:firstLine="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4403BF"/>
    <w:rsid w:val="0A7B6D47"/>
    <w:rsid w:val="1A411395"/>
    <w:rsid w:val="25A962DF"/>
    <w:rsid w:val="36F96076"/>
    <w:rsid w:val="423D4031"/>
    <w:rsid w:val="4B4403BF"/>
    <w:rsid w:val="4CAF6C2A"/>
    <w:rsid w:val="50EF3784"/>
    <w:rsid w:val="546D0E00"/>
    <w:rsid w:val="560542B4"/>
    <w:rsid w:val="6739020F"/>
    <w:rsid w:val="775750E0"/>
    <w:rsid w:val="7D1D7447"/>
    <w:rsid w:val="7E4A349D"/>
    <w:rsid w:val="7F1C7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28"/>
      <w:szCs w:val="20"/>
    </w:rPr>
  </w:style>
  <w:style w:type="paragraph" w:styleId="3">
    <w:name w:val="Body Text Indent"/>
    <w:basedOn w:val="1"/>
    <w:qFormat/>
    <w:uiPriority w:val="0"/>
    <w:pPr>
      <w:ind w:firstLine="480" w:firstLineChars="200"/>
    </w:pPr>
    <w:rPr>
      <w:sz w:val="24"/>
    </w:rPr>
  </w:style>
  <w:style w:type="paragraph" w:styleId="4">
    <w:name w:val="Body Text Indent 2"/>
    <w:basedOn w:val="1"/>
    <w:qFormat/>
    <w:uiPriority w:val="0"/>
    <w:pPr>
      <w:spacing w:line="360" w:lineRule="auto"/>
      <w:ind w:firstLine="560" w:firstLineChars="200"/>
    </w:pPr>
    <w:rPr>
      <w:rFonts w:eastAsia="仿宋_GB2312"/>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line="240" w:lineRule="auto"/>
      <w:jc w:val="left"/>
    </w:pPr>
    <w:rPr>
      <w:rFonts w:ascii="宋体" w:hAnsi="宋体" w:cs="宋体"/>
      <w:kern w:val="0"/>
      <w:sz w:val="24"/>
    </w:rPr>
  </w:style>
  <w:style w:type="table" w:styleId="9">
    <w:name w:val="Table Grid"/>
    <w:basedOn w:val="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样式1"/>
    <w:basedOn w:val="1"/>
    <w:qFormat/>
    <w:uiPriority w:val="0"/>
    <w:pPr>
      <w:adjustRightInd w:val="0"/>
      <w:spacing w:line="480" w:lineRule="atLeast"/>
      <w:jc w:val="center"/>
      <w:textAlignment w:val="baseline"/>
    </w:pPr>
    <w:rPr>
      <w:rFonts w:ascii="仿宋_GB2312" w:eastAsia="仿宋_GB2312"/>
      <w:b/>
      <w:bCs/>
      <w:kern w:val="0"/>
      <w:sz w:val="24"/>
      <w:szCs w:val="20"/>
    </w:rPr>
  </w:style>
  <w:style w:type="paragraph" w:customStyle="1" w:styleId="12">
    <w:name w:val="表头2"/>
    <w:basedOn w:val="13"/>
    <w:qFormat/>
    <w:uiPriority w:val="99"/>
  </w:style>
  <w:style w:type="paragraph" w:customStyle="1" w:styleId="13">
    <w:name w:val="表头x-"/>
    <w:basedOn w:val="4"/>
    <w:qFormat/>
    <w:uiPriority w:val="99"/>
    <w:pPr>
      <w:widowControl/>
      <w:spacing w:line="440" w:lineRule="exact"/>
      <w:jc w:val="center"/>
    </w:pPr>
  </w:style>
  <w:style w:type="paragraph" w:customStyle="1" w:styleId="14">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rPr>
  </w:style>
  <w:style w:type="paragraph" w:customStyle="1" w:styleId="15">
    <w:name w:val="表格文字"/>
    <w:basedOn w:val="1"/>
    <w:qFormat/>
    <w:uiPriority w:val="0"/>
    <w:pPr>
      <w:spacing w:line="240" w:lineRule="auto"/>
      <w:jc w:val="center"/>
    </w:pPr>
    <w:rPr>
      <w:rFonts w:ascii="宋体"/>
      <w:sz w:val="24"/>
      <w:szCs w:val="20"/>
    </w:rPr>
  </w:style>
  <w:style w:type="paragraph" w:customStyle="1" w:styleId="16">
    <w:name w:val="表格字体"/>
    <w:basedOn w:val="1"/>
    <w:qFormat/>
    <w:uiPriority w:val="0"/>
    <w:pPr>
      <w:adjustRightInd w:val="0"/>
      <w:snapToGrid w:val="0"/>
      <w:spacing w:beforeLines="20" w:afterLines="20"/>
      <w:jc w:val="center"/>
    </w:pPr>
    <w:rPr>
      <w:rFonts w:ascii="Times New Roman" w:hAnsi="Times New Roman" w:cs="Times New Roman"/>
      <w:sz w:val="21"/>
      <w:szCs w:val="21"/>
    </w:rPr>
  </w:style>
  <w:style w:type="paragraph" w:customStyle="1" w:styleId="17">
    <w:name w:val="Table Paragraph"/>
    <w:basedOn w:val="1"/>
    <w:qFormat/>
    <w:uiPriority w:val="1"/>
    <w:pPr>
      <w:jc w:val="center"/>
    </w:pPr>
    <w:rPr>
      <w:rFonts w:ascii="仿宋" w:hAnsi="仿宋" w:eastAsia="仿宋" w:cs="仿宋"/>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2021-04-06T06:28:00Z</dcterms:created>
  <dc:creator>Diu Diu</dc:creator>
  <cp:lastModifiedBy>Diu Diu</cp:lastModifiedBy>
  <cp:lastPrinted>2021-08-17T06:08:00Z</cp:lastPrinted>
  <dcterms:modified xsi:type="dcterms:W3CDTF">2021-09-08T04:38:22Z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FA426ACF247840E69BC0C91CEE0A30FE</vt:lpwstr>
  </property>
</Properties>
</file>