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华文中宋"/>
          <w:sz w:val="52"/>
          <w:szCs w:val="52"/>
        </w:rPr>
      </w:pPr>
    </w:p>
    <w:p>
      <w:pPr>
        <w:snapToGrid w:val="0"/>
        <w:spacing w:line="360" w:lineRule="auto"/>
        <w:jc w:val="center"/>
        <w:rPr>
          <w:rFonts w:hint="default"/>
          <w:b/>
          <w:bCs/>
          <w:spacing w:val="20"/>
          <w:sz w:val="40"/>
          <w:szCs w:val="40"/>
          <w:lang w:val="en-US" w:eastAsia="zh-CN"/>
        </w:rPr>
      </w:pPr>
      <w:r>
        <w:rPr>
          <w:rFonts w:hint="eastAsia"/>
          <w:b/>
          <w:bCs/>
          <w:spacing w:val="20"/>
          <w:sz w:val="40"/>
          <w:szCs w:val="40"/>
          <w:lang w:eastAsia="zh-CN"/>
        </w:rPr>
        <w:t>2018-320509-50-03-616824年产非承重普通混凝土空心砖6万平方米、混凝土实心砖3万平方米生产技术改造项目</w:t>
      </w:r>
    </w:p>
    <w:p>
      <w:pPr>
        <w:snapToGrid w:val="0"/>
        <w:spacing w:line="360" w:lineRule="auto"/>
        <w:jc w:val="center"/>
        <w:rPr>
          <w:b w:val="0"/>
          <w:bCs w:val="0"/>
          <w:sz w:val="44"/>
          <w:szCs w:val="44"/>
        </w:rPr>
      </w:pPr>
      <w:r>
        <w:rPr>
          <w:b w:val="0"/>
          <w:bCs w:val="0"/>
          <w:spacing w:val="20"/>
          <w:sz w:val="44"/>
          <w:szCs w:val="44"/>
        </w:rPr>
        <w:t>竣工环境保护验收监测报告表</w:t>
      </w:r>
    </w:p>
    <w:p/>
    <w:p/>
    <w:p/>
    <w:p/>
    <w:p/>
    <w:p/>
    <w:p/>
    <w:p/>
    <w:p/>
    <w:p/>
    <w:p/>
    <w:p/>
    <w:tbl>
      <w:tblPr>
        <w:tblStyle w:val="27"/>
        <w:tblW w:w="6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4"/>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854" w:type="dxa"/>
            <w:tcBorders>
              <w:tl2br w:val="nil"/>
              <w:tr2bl w:val="nil"/>
            </w:tcBorders>
            <w:vAlign w:val="center"/>
          </w:tcPr>
          <w:p>
            <w:pPr>
              <w:adjustRightInd w:val="0"/>
              <w:snapToGrid w:val="0"/>
              <w:jc w:val="center"/>
              <w:rPr>
                <w:b/>
                <w:sz w:val="32"/>
                <w:szCs w:val="32"/>
              </w:rPr>
            </w:pPr>
            <w:r>
              <w:rPr>
                <w:b/>
                <w:sz w:val="32"/>
                <w:szCs w:val="32"/>
              </w:rPr>
              <w:t>建设单位：</w:t>
            </w:r>
          </w:p>
        </w:tc>
        <w:tc>
          <w:tcPr>
            <w:tcW w:w="4800" w:type="dxa"/>
            <w:tcBorders>
              <w:tl2br w:val="nil"/>
              <w:tr2bl w:val="nil"/>
            </w:tcBorders>
            <w:vAlign w:val="center"/>
          </w:tcPr>
          <w:p>
            <w:pPr>
              <w:adjustRightInd w:val="0"/>
              <w:snapToGrid w:val="0"/>
              <w:jc w:val="both"/>
              <w:rPr>
                <w:rFonts w:hint="eastAsia" w:eastAsiaTheme="minorEastAsia"/>
                <w:sz w:val="32"/>
                <w:szCs w:val="32"/>
                <w:u w:val="single"/>
                <w:lang w:eastAsia="zh-CN"/>
              </w:rPr>
            </w:pPr>
            <w:r>
              <w:rPr>
                <w:rFonts w:hint="eastAsia" w:eastAsiaTheme="minorEastAsia"/>
                <w:bCs/>
                <w:color w:val="000000"/>
                <w:sz w:val="32"/>
                <w:szCs w:val="32"/>
                <w:u w:val="single"/>
                <w:lang w:eastAsia="zh-CN"/>
              </w:rPr>
              <w:t>吴江华茂新型建材有限公司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1854" w:type="dxa"/>
            <w:tcBorders>
              <w:tl2br w:val="nil"/>
              <w:tr2bl w:val="nil"/>
            </w:tcBorders>
            <w:vAlign w:val="center"/>
          </w:tcPr>
          <w:p>
            <w:pPr>
              <w:adjustRightInd w:val="0"/>
              <w:snapToGrid w:val="0"/>
              <w:jc w:val="center"/>
              <w:rPr>
                <w:rFonts w:eastAsia="楷体_GB2312"/>
                <w:sz w:val="28"/>
              </w:rPr>
            </w:pPr>
            <w:r>
              <w:rPr>
                <w:b/>
                <w:sz w:val="32"/>
                <w:szCs w:val="32"/>
              </w:rPr>
              <w:t>编制单位：</w:t>
            </w:r>
          </w:p>
        </w:tc>
        <w:tc>
          <w:tcPr>
            <w:tcW w:w="4800" w:type="dxa"/>
            <w:tcBorders>
              <w:tl2br w:val="nil"/>
              <w:tr2bl w:val="nil"/>
            </w:tcBorders>
            <w:vAlign w:val="center"/>
          </w:tcPr>
          <w:p>
            <w:pPr>
              <w:adjustRightInd w:val="0"/>
              <w:snapToGrid w:val="0"/>
              <w:jc w:val="both"/>
              <w:rPr>
                <w:rFonts w:hint="eastAsia" w:eastAsiaTheme="minorEastAsia"/>
                <w:color w:val="FF0000"/>
                <w:sz w:val="32"/>
                <w:szCs w:val="32"/>
                <w:u w:val="single"/>
                <w:lang w:eastAsia="zh-CN"/>
              </w:rPr>
            </w:pPr>
            <w:r>
              <w:rPr>
                <w:rFonts w:hint="eastAsia" w:eastAsiaTheme="minorEastAsia"/>
                <w:bCs/>
                <w:color w:val="000000"/>
                <w:sz w:val="32"/>
                <w:szCs w:val="32"/>
                <w:u w:val="single"/>
                <w:lang w:eastAsia="zh-CN"/>
              </w:rPr>
              <w:t>吴江华茂新型建材有限公司</w:t>
            </w:r>
          </w:p>
        </w:tc>
      </w:tr>
    </w:tbl>
    <w:p>
      <w:pPr>
        <w:snapToGrid w:val="0"/>
        <w:spacing w:line="360" w:lineRule="auto"/>
        <w:rPr>
          <w:sz w:val="32"/>
          <w:u w:val="single"/>
        </w:rPr>
      </w:pPr>
    </w:p>
    <w:p>
      <w:pPr>
        <w:pStyle w:val="4"/>
      </w:pPr>
    </w:p>
    <w:p/>
    <w:p>
      <w:pPr>
        <w:snapToGrid w:val="0"/>
        <w:spacing w:line="360" w:lineRule="auto"/>
        <w:jc w:val="center"/>
        <w:rPr>
          <w:b/>
          <w:bCs/>
          <w:spacing w:val="40"/>
          <w:sz w:val="32"/>
        </w:rPr>
        <w:sectPr>
          <w:headerReference r:id="rId3" w:type="default"/>
          <w:footerReference r:id="rId4" w:type="default"/>
          <w:footerReference r:id="rId5" w:type="even"/>
          <w:pgSz w:w="11906" w:h="16838"/>
          <w:pgMar w:top="1474" w:right="1361" w:bottom="1361" w:left="141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b/>
          <w:bCs/>
          <w:spacing w:val="40"/>
          <w:sz w:val="32"/>
        </w:rPr>
        <w:t>二○二</w:t>
      </w:r>
      <w:r>
        <w:rPr>
          <w:rFonts w:hint="eastAsia"/>
          <w:b/>
          <w:bCs/>
          <w:spacing w:val="40"/>
          <w:sz w:val="32"/>
          <w:lang w:val="en-US" w:eastAsia="zh-CN"/>
        </w:rPr>
        <w:t>二</w:t>
      </w:r>
      <w:r>
        <w:rPr>
          <w:b/>
          <w:bCs/>
          <w:spacing w:val="40"/>
          <w:sz w:val="32"/>
        </w:rPr>
        <w:t>年</w:t>
      </w:r>
      <w:r>
        <w:rPr>
          <w:rFonts w:hint="eastAsia"/>
          <w:b/>
          <w:bCs/>
          <w:spacing w:val="40"/>
          <w:sz w:val="32"/>
          <w:lang w:val="en-US" w:eastAsia="zh-CN"/>
        </w:rPr>
        <w:t>三</w:t>
      </w:r>
      <w:r>
        <w:rPr>
          <w:b/>
          <w:bCs/>
          <w:spacing w:val="40"/>
          <w:sz w:val="32"/>
        </w:rPr>
        <w:t>月</w:t>
      </w:r>
    </w:p>
    <w:p>
      <w:pPr>
        <w:snapToGrid w:val="0"/>
        <w:spacing w:line="360" w:lineRule="auto"/>
        <w:rPr>
          <w:rFonts w:hint="eastAsia" w:eastAsia="宋体"/>
          <w:b/>
          <w:sz w:val="28"/>
          <w:szCs w:val="20"/>
          <w:lang w:eastAsia="zh-CN"/>
        </w:rPr>
      </w:pPr>
      <w:r>
        <w:rPr>
          <w:b/>
          <w:sz w:val="28"/>
          <w:szCs w:val="20"/>
        </w:rPr>
        <w:t>建设单位：</w:t>
      </w:r>
      <w:r>
        <w:rPr>
          <w:rFonts w:hint="eastAsia"/>
          <w:b/>
          <w:sz w:val="28"/>
          <w:szCs w:val="20"/>
          <w:lang w:eastAsia="zh-CN"/>
        </w:rPr>
        <w:t>吴江华茂新型建材有限公司</w:t>
      </w:r>
    </w:p>
    <w:p>
      <w:pPr>
        <w:snapToGrid w:val="0"/>
        <w:spacing w:line="360" w:lineRule="auto"/>
        <w:rPr>
          <w:rFonts w:hint="eastAsia" w:eastAsia="宋体"/>
          <w:b/>
          <w:sz w:val="28"/>
          <w:szCs w:val="20"/>
          <w:lang w:eastAsia="zh-CN"/>
        </w:rPr>
      </w:pPr>
      <w:r>
        <w:rPr>
          <w:b/>
          <w:sz w:val="28"/>
          <w:szCs w:val="20"/>
        </w:rPr>
        <w:t>法定代表人：</w:t>
      </w:r>
      <w:r>
        <w:rPr>
          <w:rFonts w:hint="eastAsia"/>
          <w:b/>
          <w:sz w:val="28"/>
          <w:szCs w:val="20"/>
          <w:lang w:eastAsia="zh-CN"/>
        </w:rPr>
        <w:t>吴俊军</w:t>
      </w:r>
    </w:p>
    <w:p>
      <w:pPr>
        <w:snapToGrid w:val="0"/>
        <w:spacing w:line="360" w:lineRule="auto"/>
        <w:rPr>
          <w:rFonts w:hint="eastAsia" w:eastAsia="宋体"/>
          <w:b/>
          <w:sz w:val="28"/>
          <w:szCs w:val="20"/>
          <w:lang w:eastAsia="zh-CN"/>
        </w:rPr>
      </w:pPr>
      <w:r>
        <w:rPr>
          <w:b/>
          <w:sz w:val="28"/>
          <w:szCs w:val="20"/>
        </w:rPr>
        <w:t>编制单位：</w:t>
      </w:r>
      <w:r>
        <w:rPr>
          <w:rFonts w:hint="eastAsia"/>
          <w:b/>
          <w:sz w:val="28"/>
          <w:szCs w:val="20"/>
          <w:lang w:eastAsia="zh-CN"/>
        </w:rPr>
        <w:t>吴江华茂新型建材有限公司</w:t>
      </w:r>
    </w:p>
    <w:p>
      <w:pPr>
        <w:pStyle w:val="4"/>
      </w:pPr>
    </w:p>
    <w:p>
      <w:pPr>
        <w:snapToGrid w:val="0"/>
        <w:spacing w:line="360" w:lineRule="auto"/>
        <w:rPr>
          <w:rFonts w:hint="eastAsia" w:eastAsia="宋体"/>
          <w:b/>
          <w:sz w:val="28"/>
          <w:szCs w:val="20"/>
          <w:lang w:eastAsia="zh-CN"/>
        </w:rPr>
      </w:pPr>
      <w:r>
        <w:rPr>
          <w:rFonts w:hint="eastAsia"/>
          <w:b/>
          <w:sz w:val="28"/>
          <w:szCs w:val="20"/>
        </w:rPr>
        <w:t>检测</w:t>
      </w:r>
      <w:r>
        <w:rPr>
          <w:b/>
          <w:sz w:val="28"/>
          <w:szCs w:val="20"/>
        </w:rPr>
        <w:t>单位：</w:t>
      </w:r>
    </w:p>
    <w:p>
      <w:pPr>
        <w:snapToGrid w:val="0"/>
        <w:spacing w:line="360" w:lineRule="auto"/>
        <w:rPr>
          <w:rFonts w:hint="eastAsia" w:eastAsia="宋体"/>
          <w:b/>
          <w:sz w:val="28"/>
          <w:szCs w:val="20"/>
          <w:lang w:eastAsia="zh-CN"/>
        </w:rPr>
      </w:pPr>
      <w:r>
        <w:rPr>
          <w:b/>
          <w:sz w:val="28"/>
          <w:szCs w:val="20"/>
        </w:rPr>
        <w:t>法定代表人：</w:t>
      </w: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24"/>
        </w:rPr>
      </w:pPr>
    </w:p>
    <w:p>
      <w:pPr>
        <w:snapToGrid w:val="0"/>
        <w:spacing w:line="360" w:lineRule="auto"/>
        <w:rPr>
          <w:b/>
          <w:bCs/>
          <w:sz w:val="24"/>
        </w:rPr>
      </w:pPr>
    </w:p>
    <w:p>
      <w:pPr>
        <w:snapToGrid w:val="0"/>
        <w:spacing w:line="360" w:lineRule="auto"/>
        <w:rPr>
          <w:b/>
          <w:bCs/>
          <w:sz w:val="24"/>
        </w:rPr>
      </w:pPr>
    </w:p>
    <w:p>
      <w:pPr>
        <w:rPr>
          <w:sz w:val="24"/>
        </w:rPr>
      </w:pPr>
    </w:p>
    <w:p>
      <w:pPr>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3098800</wp:posOffset>
                </wp:positionH>
                <wp:positionV relativeFrom="paragraph">
                  <wp:posOffset>170815</wp:posOffset>
                </wp:positionV>
                <wp:extent cx="2958465" cy="2294255"/>
                <wp:effectExtent l="0" t="0" r="13335" b="10795"/>
                <wp:wrapNone/>
                <wp:docPr id="26" name="矩形 1149"/>
                <wp:cNvGraphicFramePr/>
                <a:graphic xmlns:a="http://schemas.openxmlformats.org/drawingml/2006/main">
                  <a:graphicData uri="http://schemas.microsoft.com/office/word/2010/wordprocessingShape">
                    <wps:wsp>
                      <wps:cNvSpPr/>
                      <wps:spPr>
                        <a:xfrm>
                          <a:off x="0" y="0"/>
                          <a:ext cx="3396615" cy="2294255"/>
                        </a:xfrm>
                        <a:prstGeom prst="rect">
                          <a:avLst/>
                        </a:prstGeom>
                        <a:solidFill>
                          <a:srgbClr val="FFFFFF"/>
                        </a:solidFill>
                        <a:ln w="38100">
                          <a:noFill/>
                        </a:ln>
                        <a:effectLst/>
                      </wps:spPr>
                      <wps:txb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检测单位：</w:t>
                            </w:r>
                            <w:r>
                              <w:rPr>
                                <w:rFonts w:hint="eastAsia" w:eastAsiaTheme="minorEastAsia"/>
                                <w:b/>
                                <w:sz w:val="24"/>
                                <w:lang w:eastAsia="zh-CN"/>
                              </w:rPr>
                              <w:t>苏州华瑞环境检测有限公司</w:t>
                            </w:r>
                          </w:p>
                          <w:p>
                            <w:pPr>
                              <w:snapToGrid w:val="0"/>
                              <w:spacing w:line="360" w:lineRule="auto"/>
                              <w:ind w:left="1205" w:hanging="1205" w:hangingChars="500"/>
                              <w:rPr>
                                <w:rFonts w:hint="eastAsia" w:eastAsiaTheme="minorEastAsia"/>
                                <w:b/>
                                <w:sz w:val="24"/>
                                <w:lang w:eastAsia="zh-CN"/>
                              </w:rPr>
                            </w:pPr>
                            <w:r>
                              <w:rPr>
                                <w:rFonts w:eastAsiaTheme="minorEastAsia"/>
                                <w:b/>
                                <w:sz w:val="24"/>
                              </w:rPr>
                              <w:t>地　　址：</w:t>
                            </w:r>
                            <w:r>
                              <w:rPr>
                                <w:rFonts w:hint="eastAsia" w:eastAsiaTheme="minorEastAsia"/>
                                <w:b/>
                                <w:sz w:val="24"/>
                                <w:lang w:eastAsia="zh-CN"/>
                              </w:rPr>
                              <w:t>苏州市吴中区木渎镇珠江南路888号1号楼1413室</w:t>
                            </w:r>
                          </w:p>
                          <w:p>
                            <w:pPr>
                              <w:snapToGrid w:val="0"/>
                              <w:spacing w:line="360" w:lineRule="auto"/>
                              <w:rPr>
                                <w:rFonts w:eastAsiaTheme="minorEastAsia"/>
                                <w:b/>
                                <w:sz w:val="24"/>
                              </w:rPr>
                            </w:pPr>
                            <w:r>
                              <w:rPr>
                                <w:rFonts w:eastAsiaTheme="minorEastAsia"/>
                                <w:b/>
                                <w:sz w:val="24"/>
                              </w:rPr>
                              <w:t>邮政编码：</w:t>
                            </w:r>
                            <w:r>
                              <w:rPr>
                                <w:rFonts w:hint="eastAsia" w:eastAsiaTheme="minorEastAsia"/>
                                <w:b/>
                                <w:sz w:val="24"/>
                              </w:rPr>
                              <w:tab/>
                            </w:r>
                            <w:r>
                              <w:rPr>
                                <w:rFonts w:hint="eastAsia" w:eastAsiaTheme="minorEastAsia"/>
                                <w:b/>
                                <w:sz w:val="24"/>
                              </w:rPr>
                              <w:t>215128</w:t>
                            </w:r>
                          </w:p>
                          <w:p>
                            <w:pPr>
                              <w:snapToGrid w:val="0"/>
                              <w:spacing w:line="360" w:lineRule="auto"/>
                              <w:rPr>
                                <w:rFonts w:eastAsiaTheme="minorEastAsia"/>
                                <w:b/>
                                <w:sz w:val="24"/>
                              </w:rPr>
                            </w:pPr>
                            <w:r>
                              <w:rPr>
                                <w:rFonts w:eastAsiaTheme="minorEastAsia"/>
                                <w:b/>
                                <w:sz w:val="24"/>
                              </w:rPr>
                              <w:t>电　　话：</w:t>
                            </w:r>
                            <w:r>
                              <w:rPr>
                                <w:rFonts w:hint="eastAsia" w:eastAsiaTheme="minorEastAsia"/>
                                <w:b/>
                                <w:sz w:val="24"/>
                              </w:rPr>
                              <w:t>0512-68250116</w:t>
                            </w:r>
                          </w:p>
                          <w:p>
                            <w:pPr>
                              <w:snapToGrid w:val="0"/>
                              <w:spacing w:line="360" w:lineRule="auto"/>
                              <w:rPr>
                                <w:rFonts w:eastAsiaTheme="minorEastAsia"/>
                                <w:b/>
                                <w:sz w:val="24"/>
                              </w:rPr>
                            </w:pPr>
                            <w:r>
                              <w:rPr>
                                <w:rFonts w:eastAsiaTheme="minorEastAsia"/>
                                <w:b/>
                                <w:sz w:val="24"/>
                              </w:rPr>
                              <w:t>传　　真：</w:t>
                            </w:r>
                            <w:r>
                              <w:rPr>
                                <w:rFonts w:hint="eastAsia" w:eastAsiaTheme="minorEastAsia"/>
                                <w:b/>
                                <w:sz w:val="24"/>
                              </w:rPr>
                              <w:t>0512-68250116</w:t>
                            </w:r>
                          </w:p>
                          <w:p/>
                        </w:txbxContent>
                      </wps:txbx>
                      <wps:bodyPr upright="1"/>
                    </wps:wsp>
                  </a:graphicData>
                </a:graphic>
              </wp:anchor>
            </w:drawing>
          </mc:Choice>
          <mc:Fallback>
            <w:pict>
              <v:rect id="矩形 1149" o:spid="_x0000_s1026" o:spt="1" style="position:absolute;left:0pt;margin-left:244pt;margin-top:13.45pt;height:180.65pt;width:232.95pt;z-index:251659264;mso-width-relative:page;mso-height-relative:page;" fillcolor="#FFFFFF" filled="t" stroked="f" coordsize="21600,21600" o:gfxdata="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r8UnvaAAAACgEAAA8AAAAAAAAAAQAgAAAAIgAAAGRycy9k&#10;b3ducmV2LnhtbFBLAQIUABQAAAAIAIdO4kBev6lKxwEAAIcDAAAOAAAAAAAAAAEAIAAAACkBAABk&#10;cnMvZTJvRG9jLnhtbFBLBQYAAAAABgAGAFkBAABiBQAAAAA=&#10;">
                <v:fill on="t" focussize="0,0"/>
                <v:stroke on="f" weight="3pt"/>
                <v:imagedata o:title=""/>
                <o:lock v:ext="edit" aspectratio="f"/>
                <v:textbo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检测单位：</w:t>
                      </w:r>
                      <w:r>
                        <w:rPr>
                          <w:rFonts w:hint="eastAsia" w:eastAsiaTheme="minorEastAsia"/>
                          <w:b/>
                          <w:sz w:val="24"/>
                          <w:lang w:eastAsia="zh-CN"/>
                        </w:rPr>
                        <w:t>苏州华瑞环境检测有限公司</w:t>
                      </w:r>
                    </w:p>
                    <w:p>
                      <w:pPr>
                        <w:snapToGrid w:val="0"/>
                        <w:spacing w:line="360" w:lineRule="auto"/>
                        <w:ind w:left="1205" w:hanging="1205" w:hangingChars="500"/>
                        <w:rPr>
                          <w:rFonts w:hint="eastAsia" w:eastAsiaTheme="minorEastAsia"/>
                          <w:b/>
                          <w:sz w:val="24"/>
                          <w:lang w:eastAsia="zh-CN"/>
                        </w:rPr>
                      </w:pPr>
                      <w:r>
                        <w:rPr>
                          <w:rFonts w:eastAsiaTheme="minorEastAsia"/>
                          <w:b/>
                          <w:sz w:val="24"/>
                        </w:rPr>
                        <w:t>地　　址：</w:t>
                      </w:r>
                      <w:r>
                        <w:rPr>
                          <w:rFonts w:hint="eastAsia" w:eastAsiaTheme="minorEastAsia"/>
                          <w:b/>
                          <w:sz w:val="24"/>
                          <w:lang w:eastAsia="zh-CN"/>
                        </w:rPr>
                        <w:t>苏州市吴中区木渎镇珠江南路888号1号楼1413室</w:t>
                      </w:r>
                    </w:p>
                    <w:p>
                      <w:pPr>
                        <w:snapToGrid w:val="0"/>
                        <w:spacing w:line="360" w:lineRule="auto"/>
                        <w:rPr>
                          <w:rFonts w:eastAsiaTheme="minorEastAsia"/>
                          <w:b/>
                          <w:sz w:val="24"/>
                        </w:rPr>
                      </w:pPr>
                      <w:r>
                        <w:rPr>
                          <w:rFonts w:eastAsiaTheme="minorEastAsia"/>
                          <w:b/>
                          <w:sz w:val="24"/>
                        </w:rPr>
                        <w:t>邮政编码：</w:t>
                      </w:r>
                      <w:r>
                        <w:rPr>
                          <w:rFonts w:hint="eastAsia" w:eastAsiaTheme="minorEastAsia"/>
                          <w:b/>
                          <w:sz w:val="24"/>
                        </w:rPr>
                        <w:tab/>
                      </w:r>
                      <w:r>
                        <w:rPr>
                          <w:rFonts w:hint="eastAsia" w:eastAsiaTheme="minorEastAsia"/>
                          <w:b/>
                          <w:sz w:val="24"/>
                        </w:rPr>
                        <w:t>215128</w:t>
                      </w:r>
                    </w:p>
                    <w:p>
                      <w:pPr>
                        <w:snapToGrid w:val="0"/>
                        <w:spacing w:line="360" w:lineRule="auto"/>
                        <w:rPr>
                          <w:rFonts w:eastAsiaTheme="minorEastAsia"/>
                          <w:b/>
                          <w:sz w:val="24"/>
                        </w:rPr>
                      </w:pPr>
                      <w:r>
                        <w:rPr>
                          <w:rFonts w:eastAsiaTheme="minorEastAsia"/>
                          <w:b/>
                          <w:sz w:val="24"/>
                        </w:rPr>
                        <w:t>电　　话：</w:t>
                      </w:r>
                      <w:r>
                        <w:rPr>
                          <w:rFonts w:hint="eastAsia" w:eastAsiaTheme="minorEastAsia"/>
                          <w:b/>
                          <w:sz w:val="24"/>
                        </w:rPr>
                        <w:t>0512-68250116</w:t>
                      </w:r>
                    </w:p>
                    <w:p>
                      <w:pPr>
                        <w:snapToGrid w:val="0"/>
                        <w:spacing w:line="360" w:lineRule="auto"/>
                        <w:rPr>
                          <w:rFonts w:eastAsiaTheme="minorEastAsia"/>
                          <w:b/>
                          <w:sz w:val="24"/>
                        </w:rPr>
                      </w:pPr>
                      <w:r>
                        <w:rPr>
                          <w:rFonts w:eastAsiaTheme="minorEastAsia"/>
                          <w:b/>
                          <w:sz w:val="24"/>
                        </w:rPr>
                        <w:t>传　　真：</w:t>
                      </w:r>
                      <w:r>
                        <w:rPr>
                          <w:rFonts w:hint="eastAsia" w:eastAsiaTheme="minorEastAsia"/>
                          <w:b/>
                          <w:sz w:val="24"/>
                        </w:rPr>
                        <w:t>0512-68250116</w:t>
                      </w:r>
                    </w:p>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167005</wp:posOffset>
                </wp:positionV>
                <wp:extent cx="3371215" cy="2294255"/>
                <wp:effectExtent l="0" t="0" r="635" b="10795"/>
                <wp:wrapNone/>
                <wp:docPr id="124" name="矩形 1149"/>
                <wp:cNvGraphicFramePr/>
                <a:graphic xmlns:a="http://schemas.openxmlformats.org/drawingml/2006/main">
                  <a:graphicData uri="http://schemas.microsoft.com/office/word/2010/wordprocessingShape">
                    <wps:wsp>
                      <wps:cNvSpPr/>
                      <wps:spPr>
                        <a:xfrm>
                          <a:off x="0" y="0"/>
                          <a:ext cx="3371215" cy="2294255"/>
                        </a:xfrm>
                        <a:prstGeom prst="rect">
                          <a:avLst/>
                        </a:prstGeom>
                        <a:solidFill>
                          <a:srgbClr val="FFFFFF"/>
                        </a:solidFill>
                        <a:ln w="38100">
                          <a:noFill/>
                        </a:ln>
                        <a:effectLst/>
                      </wps:spPr>
                      <wps:txb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建设单位：</w:t>
                            </w:r>
                            <w:r>
                              <w:rPr>
                                <w:rFonts w:hint="eastAsia" w:eastAsiaTheme="minorEastAsia"/>
                                <w:b/>
                                <w:sz w:val="24"/>
                                <w:lang w:eastAsia="zh-CN"/>
                              </w:rPr>
                              <w:t>吴江华茂新型建材有限公司</w:t>
                            </w:r>
                          </w:p>
                          <w:p>
                            <w:pPr>
                              <w:snapToGrid w:val="0"/>
                              <w:spacing w:line="360" w:lineRule="auto"/>
                              <w:ind w:left="1205" w:hanging="1205" w:hangingChars="500"/>
                              <w:rPr>
                                <w:rFonts w:hint="eastAsia" w:eastAsiaTheme="minorEastAsia"/>
                                <w:b/>
                                <w:bCs/>
                                <w:sz w:val="24"/>
                                <w:lang w:eastAsia="zh-CN"/>
                              </w:rPr>
                            </w:pPr>
                            <w:r>
                              <w:rPr>
                                <w:rFonts w:eastAsiaTheme="minorEastAsia"/>
                                <w:b/>
                                <w:sz w:val="24"/>
                              </w:rPr>
                              <w:t>地　　址：</w:t>
                            </w:r>
                            <w:r>
                              <w:rPr>
                                <w:rFonts w:hint="eastAsia"/>
                                <w:b/>
                                <w:bCs/>
                                <w:sz w:val="24"/>
                              </w:rPr>
                              <w:t>苏州市吴江区桃源镇青云大道588号</w:t>
                            </w:r>
                          </w:p>
                          <w:p>
                            <w:pPr>
                              <w:snapToGrid w:val="0"/>
                              <w:spacing w:line="360" w:lineRule="auto"/>
                              <w:rPr>
                                <w:rFonts w:hint="eastAsia" w:eastAsiaTheme="minorEastAsia"/>
                                <w:b/>
                                <w:bCs/>
                                <w:sz w:val="24"/>
                                <w:lang w:eastAsia="zh-CN"/>
                              </w:rPr>
                            </w:pPr>
                            <w:r>
                              <w:rPr>
                                <w:rFonts w:eastAsiaTheme="minorEastAsia"/>
                                <w:b/>
                                <w:bCs/>
                                <w:sz w:val="24"/>
                              </w:rPr>
                              <w:t>邮政编码：</w:t>
                            </w:r>
                            <w:r>
                              <w:rPr>
                                <w:rFonts w:hint="eastAsia" w:eastAsiaTheme="minorEastAsia"/>
                                <w:b/>
                                <w:bCs/>
                                <w:sz w:val="24"/>
                                <w:lang w:eastAsia="zh-CN"/>
                              </w:rPr>
                              <w:t>215200</w:t>
                            </w:r>
                          </w:p>
                          <w:p>
                            <w:pPr>
                              <w:snapToGrid w:val="0"/>
                              <w:spacing w:line="360" w:lineRule="auto"/>
                              <w:rPr>
                                <w:b/>
                                <w:bCs/>
                                <w:sz w:val="24"/>
                              </w:rPr>
                            </w:pPr>
                            <w:r>
                              <w:rPr>
                                <w:rFonts w:eastAsiaTheme="minorEastAsia"/>
                                <w:b/>
                                <w:bCs/>
                                <w:sz w:val="24"/>
                              </w:rPr>
                              <w:t>电　　话：</w:t>
                            </w:r>
                            <w:r>
                              <w:rPr>
                                <w:b/>
                                <w:bCs/>
                                <w:sz w:val="24"/>
                              </w:rPr>
                              <w:t>13222266588</w:t>
                            </w:r>
                          </w:p>
                          <w:p>
                            <w:pPr>
                              <w:snapToGrid w:val="0"/>
                              <w:spacing w:line="360" w:lineRule="auto"/>
                              <w:rPr>
                                <w:rFonts w:eastAsiaTheme="minorEastAsia"/>
                                <w:b/>
                                <w:sz w:val="24"/>
                              </w:rPr>
                            </w:pPr>
                            <w:r>
                              <w:rPr>
                                <w:rFonts w:eastAsiaTheme="minorEastAsia"/>
                                <w:b/>
                                <w:sz w:val="24"/>
                              </w:rPr>
                              <w:t>传　　真：/</w:t>
                            </w:r>
                          </w:p>
                          <w:p/>
                        </w:txbxContent>
                      </wps:txbx>
                      <wps:bodyPr upright="1"/>
                    </wps:wsp>
                  </a:graphicData>
                </a:graphic>
              </wp:anchor>
            </w:drawing>
          </mc:Choice>
          <mc:Fallback>
            <w:pict>
              <v:rect id="矩形 1149" o:spid="_x0000_s1026" o:spt="1" style="position:absolute;left:0pt;margin-left:-16.75pt;margin-top:13.15pt;height:180.65pt;width:265.45pt;z-index:251660288;mso-width-relative:page;mso-height-relative:page;" fillcolor="#FFFFFF" filled="t" stroked="f" coordsize="21600,21600" o:gfxdata="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4DiW2wAAAAoBAAAPAAAAAAAAAAEAIAAAACIAAABkcnMv&#10;ZG93bnJldi54bWxQSwECFAAUAAAACACHTuJAuBf+f8cBAACIAwAADgAAAAAAAAABACAAAAAqAQAA&#10;ZHJzL2Uyb0RvYy54bWxQSwUGAAAAAAYABgBZAQAAYwUAAAAA&#10;">
                <v:fill on="t" focussize="0,0"/>
                <v:stroke on="f" weight="3pt"/>
                <v:imagedata o:title=""/>
                <o:lock v:ext="edit" aspectratio="f"/>
                <v:textbo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建设单位：</w:t>
                      </w:r>
                      <w:r>
                        <w:rPr>
                          <w:rFonts w:hint="eastAsia" w:eastAsiaTheme="minorEastAsia"/>
                          <w:b/>
                          <w:sz w:val="24"/>
                          <w:lang w:eastAsia="zh-CN"/>
                        </w:rPr>
                        <w:t>吴江华茂新型建材有限公司</w:t>
                      </w:r>
                    </w:p>
                    <w:p>
                      <w:pPr>
                        <w:snapToGrid w:val="0"/>
                        <w:spacing w:line="360" w:lineRule="auto"/>
                        <w:ind w:left="1205" w:hanging="1205" w:hangingChars="500"/>
                        <w:rPr>
                          <w:rFonts w:hint="eastAsia" w:eastAsiaTheme="minorEastAsia"/>
                          <w:b/>
                          <w:bCs/>
                          <w:sz w:val="24"/>
                          <w:lang w:eastAsia="zh-CN"/>
                        </w:rPr>
                      </w:pPr>
                      <w:r>
                        <w:rPr>
                          <w:rFonts w:eastAsiaTheme="minorEastAsia"/>
                          <w:b/>
                          <w:sz w:val="24"/>
                        </w:rPr>
                        <w:t>地　　址：</w:t>
                      </w:r>
                      <w:r>
                        <w:rPr>
                          <w:rFonts w:hint="eastAsia"/>
                          <w:b/>
                          <w:bCs/>
                          <w:sz w:val="24"/>
                        </w:rPr>
                        <w:t>苏州市吴江区桃源镇青云大道588号</w:t>
                      </w:r>
                    </w:p>
                    <w:p>
                      <w:pPr>
                        <w:snapToGrid w:val="0"/>
                        <w:spacing w:line="360" w:lineRule="auto"/>
                        <w:rPr>
                          <w:rFonts w:hint="eastAsia" w:eastAsiaTheme="minorEastAsia"/>
                          <w:b/>
                          <w:bCs/>
                          <w:sz w:val="24"/>
                          <w:lang w:eastAsia="zh-CN"/>
                        </w:rPr>
                      </w:pPr>
                      <w:r>
                        <w:rPr>
                          <w:rFonts w:eastAsiaTheme="minorEastAsia"/>
                          <w:b/>
                          <w:bCs/>
                          <w:sz w:val="24"/>
                        </w:rPr>
                        <w:t>邮政编码：</w:t>
                      </w:r>
                      <w:r>
                        <w:rPr>
                          <w:rFonts w:hint="eastAsia" w:eastAsiaTheme="minorEastAsia"/>
                          <w:b/>
                          <w:bCs/>
                          <w:sz w:val="24"/>
                          <w:lang w:eastAsia="zh-CN"/>
                        </w:rPr>
                        <w:t>215200</w:t>
                      </w:r>
                    </w:p>
                    <w:p>
                      <w:pPr>
                        <w:snapToGrid w:val="0"/>
                        <w:spacing w:line="360" w:lineRule="auto"/>
                        <w:rPr>
                          <w:b/>
                          <w:bCs/>
                          <w:sz w:val="24"/>
                        </w:rPr>
                      </w:pPr>
                      <w:r>
                        <w:rPr>
                          <w:rFonts w:eastAsiaTheme="minorEastAsia"/>
                          <w:b/>
                          <w:bCs/>
                          <w:sz w:val="24"/>
                        </w:rPr>
                        <w:t>电　　话：</w:t>
                      </w:r>
                      <w:r>
                        <w:rPr>
                          <w:b/>
                          <w:bCs/>
                          <w:sz w:val="24"/>
                        </w:rPr>
                        <w:t>13222266588</w:t>
                      </w:r>
                    </w:p>
                    <w:p>
                      <w:pPr>
                        <w:snapToGrid w:val="0"/>
                        <w:spacing w:line="360" w:lineRule="auto"/>
                        <w:rPr>
                          <w:rFonts w:eastAsiaTheme="minorEastAsia"/>
                          <w:b/>
                          <w:sz w:val="24"/>
                        </w:rPr>
                      </w:pPr>
                      <w:r>
                        <w:rPr>
                          <w:rFonts w:eastAsiaTheme="minorEastAsia"/>
                          <w:b/>
                          <w:sz w:val="24"/>
                        </w:rPr>
                        <w:t>传　　真：/</w:t>
                      </w:r>
                    </w:p>
                    <w:p/>
                  </w:txbxContent>
                </v:textbox>
              </v:rect>
            </w:pict>
          </mc:Fallback>
        </mc:AlternateContent>
      </w:r>
    </w:p>
    <w:p>
      <w:pPr>
        <w:rPr>
          <w:sz w:val="24"/>
        </w:rPr>
      </w:pPr>
    </w:p>
    <w:p>
      <w:pPr>
        <w:rPr>
          <w:sz w:val="24"/>
        </w:rPr>
      </w:pPr>
    </w:p>
    <w:p>
      <w:pPr>
        <w:rPr>
          <w:sz w:val="24"/>
        </w:rPr>
      </w:pPr>
    </w:p>
    <w:p>
      <w:pPr>
        <w:rPr>
          <w:sz w:val="24"/>
        </w:rPr>
      </w:pPr>
    </w:p>
    <w:p>
      <w:pPr>
        <w:rPr>
          <w:sz w:val="24"/>
        </w:rPr>
      </w:pPr>
    </w:p>
    <w:p>
      <w:pPr>
        <w:rPr>
          <w:sz w:val="24"/>
        </w:rPr>
      </w:pPr>
    </w:p>
    <w:p>
      <w:pPr>
        <w:tabs>
          <w:tab w:val="left" w:pos="645"/>
        </w:tabs>
        <w:rPr>
          <w:sz w:val="24"/>
        </w:rPr>
      </w:pPr>
      <w:r>
        <w:rPr>
          <w:sz w:val="24"/>
        </w:rPr>
        <w:tab/>
      </w:r>
    </w:p>
    <w:p/>
    <w:p/>
    <w:p/>
    <w:p/>
    <w:p/>
    <w:p>
      <w:pPr>
        <w:pStyle w:val="68"/>
        <w:jc w:val="center"/>
        <w:rPr>
          <w:rFonts w:ascii="Times New Roman" w:hAnsi="Times New Roman" w:eastAsia="宋体" w:cs="Times New Roman"/>
          <w:b w:val="0"/>
          <w:bCs w:val="0"/>
          <w:color w:val="auto"/>
          <w:kern w:val="2"/>
          <w:sz w:val="21"/>
          <w:szCs w:val="24"/>
          <w:lang w:val="zh-CN"/>
        </w:rPr>
        <w:sectPr>
          <w:headerReference r:id="rId6" w:type="default"/>
          <w:footerReference r:id="rId7" w:type="default"/>
          <w:pgSz w:w="11906" w:h="16838"/>
          <w:pgMar w:top="1474" w:right="1361" w:bottom="1361"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keepLines/>
        <w:widowControl/>
        <w:spacing w:line="360" w:lineRule="auto"/>
        <w:textAlignment w:val="baseline"/>
        <w:outlineLvl w:val="1"/>
        <w:rPr>
          <w:b/>
          <w:color w:val="000000"/>
          <w:sz w:val="24"/>
          <w:lang w:val="zh-CN"/>
        </w:rPr>
      </w:pPr>
      <w:bookmarkStart w:id="0" w:name="_Toc3905039"/>
      <w:bookmarkStart w:id="1" w:name="_Toc3905040"/>
      <w:r>
        <w:rPr>
          <w:b/>
          <w:color w:val="000000"/>
          <w:sz w:val="24"/>
          <w:lang w:val="zh-CN"/>
        </w:rPr>
        <w:t>表</w:t>
      </w:r>
      <w:r>
        <w:rPr>
          <w:rFonts w:hint="eastAsia"/>
          <w:b/>
          <w:color w:val="000000"/>
          <w:sz w:val="24"/>
          <w:lang w:val="en-US" w:eastAsia="zh-CN"/>
        </w:rPr>
        <w:t>一</w:t>
      </w:r>
      <w:r>
        <w:rPr>
          <w:b/>
          <w:color w:val="000000"/>
          <w:sz w:val="24"/>
          <w:lang w:val="zh-CN"/>
        </w:rPr>
        <w:t>、基本概况及验收依据</w:t>
      </w:r>
      <w:bookmarkEnd w:id="0"/>
    </w:p>
    <w:tbl>
      <w:tblPr>
        <w:tblStyle w:val="26"/>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80"/>
        <w:gridCol w:w="2708"/>
        <w:gridCol w:w="1815"/>
        <w:gridCol w:w="945"/>
        <w:gridCol w:w="114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建设项目名称</w:t>
            </w:r>
          </w:p>
        </w:tc>
        <w:tc>
          <w:tcPr>
            <w:tcW w:w="8025" w:type="dxa"/>
            <w:gridSpan w:val="5"/>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hAnsi="宋体" w:eastAsia="宋体"/>
                <w:sz w:val="24"/>
                <w:szCs w:val="24"/>
                <w:lang w:eastAsia="zh-CN"/>
              </w:rPr>
            </w:pPr>
            <w:r>
              <w:rPr>
                <w:rFonts w:hint="eastAsia" w:hAnsi="宋体" w:eastAsia="宋体"/>
                <w:sz w:val="24"/>
                <w:szCs w:val="24"/>
                <w:lang w:eastAsia="zh-CN"/>
              </w:rPr>
              <w:t>2018-320509-50-03-616824年产非承重普通混凝土空心砖6万平方米、混凝土实心砖3万平方米生产技术改造项目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建设单位名称</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eastAsia="宋体"/>
                <w:b/>
                <w:sz w:val="24"/>
                <w:szCs w:val="24"/>
              </w:rPr>
            </w:pPr>
            <w:r>
              <w:rPr>
                <w:rFonts w:hint="eastAsia" w:eastAsia="宋体"/>
                <w:sz w:val="24"/>
                <w:szCs w:val="24"/>
              </w:rPr>
              <w:t>吴江华茂新型建材有限公司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建设项目性质</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eastAsia="宋体"/>
                <w:sz w:val="24"/>
                <w:szCs w:val="24"/>
              </w:rPr>
              <w:t>新建</w:t>
            </w:r>
            <w:r>
              <w:rPr>
                <w:rFonts w:hint="eastAsia" w:eastAsia="宋体"/>
                <w:sz w:val="24"/>
                <w:szCs w:val="24"/>
              </w:rPr>
              <w:sym w:font="Wingdings" w:char="00A8"/>
            </w:r>
            <w:r>
              <w:rPr>
                <w:rFonts w:hint="eastAsia"/>
                <w:sz w:val="24"/>
                <w:szCs w:val="24"/>
                <w:lang w:val="en-US" w:eastAsia="zh-CN"/>
              </w:rPr>
              <w:t xml:space="preserve"> </w:t>
            </w:r>
            <w:r>
              <w:rPr>
                <w:rFonts w:hint="eastAsia" w:eastAsia="宋体"/>
                <w:sz w:val="24"/>
                <w:szCs w:val="24"/>
              </w:rPr>
              <w:t>技改</w:t>
            </w:r>
            <w:r>
              <w:rPr>
                <w:rFonts w:hint="eastAsia" w:eastAsia="宋体"/>
                <w:sz w:val="24"/>
                <w:szCs w:val="24"/>
              </w:rPr>
              <w:sym w:font="Wingdings" w:char="00FE"/>
            </w:r>
            <w:r>
              <w:rPr>
                <w:rFonts w:hint="eastAsia"/>
                <w:sz w:val="24"/>
                <w:szCs w:val="24"/>
                <w:lang w:val="en-US" w:eastAsia="zh-CN"/>
              </w:rPr>
              <w:t xml:space="preserve"> </w:t>
            </w:r>
            <w:r>
              <w:rPr>
                <w:rFonts w:hint="eastAsia" w:eastAsia="宋体"/>
                <w:sz w:val="24"/>
                <w:szCs w:val="24"/>
              </w:rPr>
              <w:t>扩建</w:t>
            </w:r>
            <w:r>
              <w:rPr>
                <w:rFonts w:hint="eastAsia" w:eastAsia="宋体"/>
                <w:sz w:val="24"/>
                <w:szCs w:val="24"/>
              </w:rPr>
              <w:sym w:font="Wingdings" w:char="00A8"/>
            </w:r>
            <w:r>
              <w:rPr>
                <w:rFonts w:hint="eastAsia"/>
                <w:sz w:val="24"/>
                <w:szCs w:val="24"/>
                <w:lang w:val="en-US" w:eastAsia="zh-CN"/>
              </w:rPr>
              <w:t xml:space="preserve"> </w:t>
            </w:r>
            <w:r>
              <w:rPr>
                <w:rFonts w:hint="eastAsia" w:eastAsia="宋体"/>
                <w:sz w:val="24"/>
                <w:szCs w:val="24"/>
              </w:rPr>
              <w:t>迁建</w:t>
            </w:r>
            <w:r>
              <w:rPr>
                <w:rFonts w:hint="eastAsia" w:eastAsia="宋体"/>
                <w:sz w:val="24"/>
                <w:szCs w:val="24"/>
              </w:rPr>
              <w:sym w:font="Wingdings" w:char="00FE"/>
            </w:r>
            <w:r>
              <w:rPr>
                <w:rFonts w:hint="eastAsia"/>
                <w:sz w:val="24"/>
                <w:szCs w:val="24"/>
              </w:rPr>
              <w:t>(</w:t>
            </w:r>
            <w:r>
              <w:rPr>
                <w:rFonts w:hint="eastAsia" w:eastAsia="宋体"/>
                <w:sz w:val="24"/>
                <w:szCs w:val="24"/>
              </w:rPr>
              <w:t>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建设地点</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eastAsia="宋体"/>
                <w:sz w:val="24"/>
                <w:szCs w:val="24"/>
              </w:rPr>
            </w:pPr>
            <w:r>
              <w:rPr>
                <w:rFonts w:hint="eastAsia" w:eastAsia="宋体"/>
                <w:sz w:val="24"/>
                <w:szCs w:val="24"/>
              </w:rPr>
              <w:t>苏州市吴江区桃源镇青云大道588号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eastAsia="宋体"/>
                <w:b/>
                <w:sz w:val="24"/>
                <w:szCs w:val="24"/>
              </w:rPr>
            </w:pPr>
            <w:r>
              <w:rPr>
                <w:rFonts w:hint="eastAsia" w:eastAsia="宋体"/>
                <w:b/>
                <w:sz w:val="24"/>
                <w:szCs w:val="24"/>
              </w:rPr>
              <w:t>主要产品名称</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eastAsia="宋体"/>
                <w:sz w:val="24"/>
                <w:szCs w:val="24"/>
              </w:rPr>
            </w:pPr>
            <w:r>
              <w:rPr>
                <w:rFonts w:hint="eastAsia" w:hAnsi="宋体" w:eastAsia="宋体"/>
                <w:sz w:val="24"/>
                <w:szCs w:val="24"/>
                <w:lang w:eastAsia="zh-CN"/>
              </w:rPr>
              <w:t>非承重普通混凝土空心砖</w:t>
            </w:r>
            <w:r>
              <w:rPr>
                <w:rFonts w:hint="eastAsia" w:hAnsi="宋体"/>
                <w:sz w:val="24"/>
                <w:szCs w:val="24"/>
                <w:lang w:eastAsia="zh-CN"/>
              </w:rPr>
              <w:t>、</w:t>
            </w:r>
            <w:r>
              <w:rPr>
                <w:rFonts w:hint="eastAsia" w:hAnsi="宋体" w:eastAsia="宋体"/>
                <w:sz w:val="24"/>
                <w:szCs w:val="24"/>
                <w:lang w:eastAsia="zh-CN"/>
              </w:rPr>
              <w:t>混凝土实心砖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设计生产能力</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hAnsi="宋体" w:eastAsia="宋体"/>
                <w:sz w:val="24"/>
                <w:szCs w:val="24"/>
                <w:lang w:eastAsia="zh-CN"/>
              </w:rPr>
              <w:t>年产非承重普通混凝土空心砖6万平方米、混凝土实心砖3万平方米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项目实际生产能力</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hAnsi="宋体" w:eastAsia="宋体"/>
                <w:sz w:val="24"/>
                <w:szCs w:val="24"/>
                <w:lang w:eastAsia="zh-CN"/>
              </w:rPr>
              <w:t>年产非承重普通混凝土空心砖6万平方米、混凝土实心砖3万平方米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sz w:val="21"/>
                <w:szCs w:val="21"/>
              </w:rPr>
            </w:pPr>
            <w:r>
              <w:rPr>
                <w:rFonts w:hint="eastAsia" w:eastAsia="宋体"/>
                <w:b/>
                <w:sz w:val="24"/>
                <w:szCs w:val="24"/>
              </w:rPr>
              <w:t>环评批复时间</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color w:val="FF0000"/>
                <w:sz w:val="21"/>
                <w:szCs w:val="21"/>
              </w:rPr>
            </w:pPr>
            <w:r>
              <w:rPr>
                <w:rFonts w:hint="eastAsia"/>
                <w:sz w:val="24"/>
                <w:szCs w:val="24"/>
              </w:rPr>
              <w:t>20</w:t>
            </w:r>
            <w:r>
              <w:rPr>
                <w:rFonts w:hint="eastAsia" w:eastAsia="宋体"/>
                <w:sz w:val="24"/>
                <w:szCs w:val="24"/>
                <w:lang w:val="en-US" w:eastAsia="zh-CN"/>
              </w:rPr>
              <w:t>18</w:t>
            </w:r>
            <w:r>
              <w:rPr>
                <w:rFonts w:hint="eastAsia" w:eastAsia="宋体"/>
                <w:sz w:val="24"/>
                <w:szCs w:val="24"/>
              </w:rPr>
              <w:t>年</w:t>
            </w:r>
            <w:r>
              <w:rPr>
                <w:rFonts w:hint="eastAsia" w:eastAsia="宋体"/>
                <w:sz w:val="24"/>
                <w:szCs w:val="24"/>
                <w:lang w:val="en-US" w:eastAsia="zh-CN"/>
              </w:rPr>
              <w:t>8</w:t>
            </w:r>
            <w:r>
              <w:rPr>
                <w:rFonts w:hint="eastAsia" w:eastAsia="宋体"/>
                <w:sz w:val="24"/>
                <w:szCs w:val="24"/>
              </w:rPr>
              <w:t>月</w:t>
            </w:r>
            <w:r>
              <w:rPr>
                <w:rFonts w:hint="eastAsia" w:eastAsia="宋体"/>
                <w:sz w:val="24"/>
                <w:szCs w:val="24"/>
                <w:lang w:val="en-US" w:eastAsia="zh-CN"/>
              </w:rPr>
              <w:t>9</w:t>
            </w:r>
            <w:r>
              <w:rPr>
                <w:rFonts w:hint="eastAsia" w:eastAsia="宋体"/>
                <w:sz w:val="24"/>
                <w:szCs w:val="24"/>
              </w:rPr>
              <w:t>日</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sz w:val="21"/>
                <w:szCs w:val="21"/>
              </w:rPr>
            </w:pPr>
            <w:r>
              <w:rPr>
                <w:rFonts w:hint="eastAsia" w:eastAsia="宋体"/>
                <w:b/>
                <w:sz w:val="24"/>
                <w:szCs w:val="24"/>
              </w:rPr>
              <w:t>开工建设时间</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eastAsia"/>
                <w:color w:val="FF0000"/>
                <w:sz w:val="21"/>
                <w:szCs w:val="21"/>
              </w:rPr>
            </w:pPr>
            <w:r>
              <w:rPr>
                <w:rFonts w:hint="eastAsia"/>
                <w:sz w:val="24"/>
                <w:szCs w:val="24"/>
              </w:rPr>
              <w:t>20</w:t>
            </w:r>
            <w:r>
              <w:rPr>
                <w:rFonts w:hint="eastAsia"/>
                <w:sz w:val="24"/>
                <w:szCs w:val="24"/>
                <w:lang w:val="en-US" w:eastAsia="zh-CN"/>
              </w:rPr>
              <w:t>18</w:t>
            </w:r>
            <w:r>
              <w:rPr>
                <w:rFonts w:hint="eastAsia" w:eastAsia="宋体"/>
                <w:sz w:val="24"/>
                <w:szCs w:val="24"/>
              </w:rPr>
              <w:t>年</w:t>
            </w:r>
            <w:r>
              <w:rPr>
                <w:rFonts w:hint="eastAsia"/>
                <w:sz w:val="24"/>
                <w:szCs w:val="24"/>
                <w:lang w:val="en-US" w:eastAsia="zh-CN"/>
              </w:rPr>
              <w:t>9</w:t>
            </w:r>
            <w:r>
              <w:rPr>
                <w:rFonts w:hint="eastAsia" w:eastAsia="宋体"/>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投入试营运时间</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color w:val="FF0000"/>
                <w:sz w:val="24"/>
                <w:szCs w:val="24"/>
              </w:rPr>
            </w:pPr>
            <w:r>
              <w:rPr>
                <w:rFonts w:hint="eastAsia"/>
                <w:color w:val="000000"/>
                <w:sz w:val="24"/>
                <w:szCs w:val="24"/>
              </w:rPr>
              <w:t>20</w:t>
            </w:r>
            <w:r>
              <w:rPr>
                <w:rFonts w:hint="eastAsia"/>
                <w:color w:val="000000"/>
                <w:sz w:val="24"/>
                <w:szCs w:val="24"/>
                <w:lang w:val="en-US" w:eastAsia="zh-CN"/>
              </w:rPr>
              <w:t>18</w:t>
            </w:r>
            <w:r>
              <w:rPr>
                <w:rFonts w:hint="eastAsia" w:hAnsi="宋体" w:eastAsia="宋体"/>
                <w:color w:val="000000"/>
                <w:sz w:val="24"/>
                <w:szCs w:val="24"/>
              </w:rPr>
              <w:t>年</w:t>
            </w:r>
            <w:r>
              <w:rPr>
                <w:rFonts w:hint="eastAsia" w:hAnsi="宋体"/>
                <w:color w:val="000000"/>
                <w:sz w:val="24"/>
                <w:szCs w:val="24"/>
                <w:lang w:val="en-US" w:eastAsia="zh-CN"/>
              </w:rPr>
              <w:t>12</w:t>
            </w:r>
            <w:r>
              <w:rPr>
                <w:rFonts w:hint="eastAsia" w:eastAsia="宋体"/>
                <w:color w:val="000000"/>
                <w:sz w:val="24"/>
                <w:szCs w:val="24"/>
              </w:rPr>
              <w:t>月</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验收现场监测时间</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lang w:val="en-US" w:eastAsia="zh-CN"/>
              </w:rPr>
            </w:pPr>
            <w:r>
              <w:rPr>
                <w:rFonts w:hint="eastAsia"/>
                <w:sz w:val="24"/>
                <w:szCs w:val="24"/>
              </w:rPr>
              <w:t>20</w:t>
            </w:r>
            <w:r>
              <w:rPr>
                <w:rFonts w:hint="eastAsia" w:eastAsia="宋体"/>
                <w:sz w:val="24"/>
                <w:szCs w:val="24"/>
              </w:rPr>
              <w:t>2</w:t>
            </w:r>
            <w:r>
              <w:rPr>
                <w:rFonts w:hint="eastAsia"/>
                <w:sz w:val="24"/>
                <w:szCs w:val="24"/>
                <w:lang w:val="en-US" w:eastAsia="zh-CN"/>
              </w:rPr>
              <w:t>2</w:t>
            </w:r>
            <w:r>
              <w:rPr>
                <w:rFonts w:hint="eastAsia" w:eastAsia="宋体"/>
                <w:sz w:val="24"/>
                <w:szCs w:val="24"/>
              </w:rPr>
              <w:t>.0</w:t>
            </w:r>
            <w:r>
              <w:rPr>
                <w:rFonts w:hint="eastAsia"/>
                <w:sz w:val="24"/>
                <w:szCs w:val="24"/>
                <w:lang w:val="en-US" w:eastAsia="zh-CN"/>
              </w:rPr>
              <w:t>1</w:t>
            </w:r>
            <w:r>
              <w:rPr>
                <w:rFonts w:hint="eastAsia" w:eastAsia="宋体"/>
                <w:sz w:val="24"/>
                <w:szCs w:val="24"/>
              </w:rPr>
              <w:t>.1</w:t>
            </w:r>
            <w:r>
              <w:rPr>
                <w:rFonts w:hint="eastAsia"/>
                <w:sz w:val="24"/>
                <w:szCs w:val="24"/>
                <w:lang w:val="en-US" w:eastAsia="zh-CN"/>
              </w:rPr>
              <w:t>3</w:t>
            </w:r>
            <w:r>
              <w:rPr>
                <w:rFonts w:hint="eastAsia"/>
                <w:sz w:val="24"/>
                <w:szCs w:val="24"/>
              </w:rPr>
              <w:t>~20</w:t>
            </w:r>
            <w:r>
              <w:rPr>
                <w:rFonts w:hint="eastAsia" w:eastAsia="宋体"/>
                <w:sz w:val="24"/>
                <w:szCs w:val="24"/>
              </w:rPr>
              <w:t>2</w:t>
            </w:r>
            <w:r>
              <w:rPr>
                <w:rFonts w:hint="eastAsia"/>
                <w:sz w:val="24"/>
                <w:szCs w:val="24"/>
                <w:lang w:val="en-US" w:eastAsia="zh-CN"/>
              </w:rPr>
              <w:t>2</w:t>
            </w:r>
            <w:r>
              <w:rPr>
                <w:rFonts w:hint="eastAsia" w:eastAsia="宋体"/>
                <w:sz w:val="24"/>
                <w:szCs w:val="24"/>
              </w:rPr>
              <w:t>.0</w:t>
            </w:r>
            <w:r>
              <w:rPr>
                <w:rFonts w:hint="eastAsia"/>
                <w:sz w:val="24"/>
                <w:szCs w:val="24"/>
                <w:lang w:val="en-US" w:eastAsia="zh-CN"/>
              </w:rPr>
              <w:t>1</w:t>
            </w:r>
            <w:r>
              <w:rPr>
                <w:rFonts w:hint="eastAsia" w:eastAsia="宋体"/>
                <w:sz w:val="24"/>
                <w:szCs w:val="24"/>
              </w:rPr>
              <w:t>.1</w:t>
            </w:r>
            <w:r>
              <w:rPr>
                <w:rFonts w:hint="eastAsia"/>
                <w:sz w:val="24"/>
                <w:szCs w:val="24"/>
                <w:lang w:val="en-US" w:eastAsia="zh-CN"/>
              </w:rPr>
              <w:t>4</w:t>
            </w:r>
          </w:p>
          <w:p>
            <w:pPr>
              <w:spacing w:beforeLines="0" w:afterLines="0"/>
              <w:jc w:val="center"/>
              <w:rPr>
                <w:rFonts w:hint="default" w:eastAsia="宋体"/>
                <w:sz w:val="24"/>
                <w:szCs w:val="24"/>
                <w:lang w:val="en-US" w:eastAsia="zh-CN"/>
              </w:rPr>
            </w:pPr>
            <w:r>
              <w:rPr>
                <w:rFonts w:hint="eastAsia"/>
                <w:sz w:val="24"/>
                <w:szCs w:val="24"/>
              </w:rPr>
              <w:t>20</w:t>
            </w:r>
            <w:r>
              <w:rPr>
                <w:rFonts w:hint="eastAsia" w:eastAsia="宋体"/>
                <w:sz w:val="24"/>
                <w:szCs w:val="24"/>
              </w:rPr>
              <w:t>2</w:t>
            </w:r>
            <w:r>
              <w:rPr>
                <w:rFonts w:hint="eastAsia"/>
                <w:sz w:val="24"/>
                <w:szCs w:val="24"/>
                <w:lang w:val="en-US" w:eastAsia="zh-CN"/>
              </w:rPr>
              <w:t>2</w:t>
            </w:r>
            <w:r>
              <w:rPr>
                <w:rFonts w:hint="eastAsia" w:eastAsia="宋体"/>
                <w:sz w:val="24"/>
                <w:szCs w:val="24"/>
              </w:rPr>
              <w:t>.0</w:t>
            </w:r>
            <w:r>
              <w:rPr>
                <w:rFonts w:hint="eastAsia"/>
                <w:sz w:val="24"/>
                <w:szCs w:val="24"/>
                <w:lang w:val="en-US" w:eastAsia="zh-CN"/>
              </w:rPr>
              <w:t>2</w:t>
            </w:r>
            <w:r>
              <w:rPr>
                <w:rFonts w:hint="eastAsia" w:eastAsia="宋体"/>
                <w:sz w:val="24"/>
                <w:szCs w:val="24"/>
              </w:rPr>
              <w:t>.</w:t>
            </w:r>
            <w:r>
              <w:rPr>
                <w:rFonts w:hint="eastAsia"/>
                <w:sz w:val="24"/>
                <w:szCs w:val="24"/>
                <w:lang w:val="en-US" w:eastAsia="zh-CN"/>
              </w:rPr>
              <w:t>21</w:t>
            </w:r>
            <w:r>
              <w:rPr>
                <w:rFonts w:hint="eastAsia"/>
                <w:sz w:val="24"/>
                <w:szCs w:val="24"/>
              </w:rPr>
              <w:t>~20</w:t>
            </w:r>
            <w:r>
              <w:rPr>
                <w:rFonts w:hint="eastAsia" w:eastAsia="宋体"/>
                <w:sz w:val="24"/>
                <w:szCs w:val="24"/>
              </w:rPr>
              <w:t>2</w:t>
            </w:r>
            <w:r>
              <w:rPr>
                <w:rFonts w:hint="eastAsia"/>
                <w:sz w:val="24"/>
                <w:szCs w:val="24"/>
                <w:lang w:val="en-US" w:eastAsia="zh-CN"/>
              </w:rPr>
              <w:t>2</w:t>
            </w:r>
            <w:r>
              <w:rPr>
                <w:rFonts w:hint="eastAsia" w:eastAsia="宋体"/>
                <w:sz w:val="24"/>
                <w:szCs w:val="24"/>
              </w:rPr>
              <w:t>.0</w:t>
            </w:r>
            <w:r>
              <w:rPr>
                <w:rFonts w:hint="eastAsia"/>
                <w:sz w:val="24"/>
                <w:szCs w:val="24"/>
                <w:lang w:val="en-US" w:eastAsia="zh-CN"/>
              </w:rPr>
              <w:t>2</w:t>
            </w:r>
            <w:r>
              <w:rPr>
                <w:rFonts w:hint="eastAsia" w:eastAsia="宋体"/>
                <w:sz w:val="24"/>
                <w:szCs w:val="24"/>
              </w:rPr>
              <w:t>.</w:t>
            </w:r>
            <w:r>
              <w:rPr>
                <w:rFonts w:hint="eastAsia"/>
                <w:sz w:val="24"/>
                <w:szCs w:val="24"/>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环评报告表</w:t>
            </w:r>
          </w:p>
          <w:p>
            <w:pPr>
              <w:spacing w:beforeLines="0" w:afterLines="0"/>
              <w:jc w:val="center"/>
              <w:rPr>
                <w:rFonts w:hint="eastAsia"/>
                <w:b/>
                <w:sz w:val="24"/>
                <w:szCs w:val="24"/>
              </w:rPr>
            </w:pPr>
            <w:r>
              <w:rPr>
                <w:rFonts w:hint="eastAsia" w:eastAsia="宋体"/>
                <w:b/>
                <w:sz w:val="24"/>
                <w:szCs w:val="24"/>
              </w:rPr>
              <w:t>审批部门</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default" w:eastAsia="宋体"/>
                <w:sz w:val="24"/>
                <w:szCs w:val="24"/>
                <w:lang w:val="en-US" w:eastAsia="zh-CN"/>
              </w:rPr>
            </w:pPr>
            <w:r>
              <w:rPr>
                <w:rFonts w:hint="eastAsia" w:eastAsia="宋体"/>
                <w:sz w:val="24"/>
                <w:szCs w:val="24"/>
              </w:rPr>
              <w:t>苏州市</w:t>
            </w:r>
            <w:r>
              <w:rPr>
                <w:rFonts w:hint="eastAsia" w:eastAsia="宋体"/>
                <w:sz w:val="24"/>
                <w:szCs w:val="24"/>
                <w:lang w:val="en-US" w:eastAsia="zh-CN"/>
              </w:rPr>
              <w:t>吴江区环境保护局</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环评报告表编制单位</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default" w:eastAsia="宋体"/>
                <w:color w:val="FF0000"/>
                <w:sz w:val="24"/>
                <w:szCs w:val="24"/>
                <w:lang w:val="en-US" w:eastAsia="zh-CN"/>
              </w:rPr>
            </w:pPr>
            <w:r>
              <w:rPr>
                <w:rFonts w:hint="eastAsia"/>
                <w:sz w:val="24"/>
                <w:szCs w:val="24"/>
                <w:lang w:val="en-US" w:eastAsia="zh-CN"/>
              </w:rPr>
              <w:t>苏州合巨环保技术有限公司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环保设施设计单位</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sz w:val="24"/>
                <w:szCs w:val="24"/>
              </w:rPr>
            </w:pPr>
            <w:r>
              <w:rPr>
                <w:rFonts w:hint="eastAsia"/>
                <w:sz w:val="24"/>
                <w:szCs w:val="24"/>
              </w:rPr>
              <w:t>/</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环保设施施工单位</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投资总概算</w:t>
            </w:r>
          </w:p>
        </w:tc>
        <w:tc>
          <w:tcPr>
            <w:tcW w:w="27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z w:val="24"/>
                <w:szCs w:val="24"/>
              </w:rPr>
            </w:pPr>
            <w:r>
              <w:rPr>
                <w:rFonts w:hint="eastAsia" w:eastAsia="宋体"/>
                <w:sz w:val="24"/>
                <w:szCs w:val="24"/>
                <w:lang w:val="en-US" w:eastAsia="zh-CN"/>
              </w:rPr>
              <w:t>300</w:t>
            </w:r>
            <w:r>
              <w:rPr>
                <w:rFonts w:hint="eastAsia" w:eastAsia="宋体"/>
                <w:sz w:val="24"/>
                <w:szCs w:val="24"/>
              </w:rPr>
              <w:t>万元</w:t>
            </w:r>
          </w:p>
        </w:tc>
        <w:tc>
          <w:tcPr>
            <w:tcW w:w="18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pacing w:val="-10"/>
                <w:sz w:val="24"/>
                <w:szCs w:val="24"/>
              </w:rPr>
            </w:pPr>
            <w:r>
              <w:rPr>
                <w:rFonts w:hint="eastAsia" w:eastAsia="宋体"/>
                <w:b/>
                <w:spacing w:val="-10"/>
                <w:sz w:val="24"/>
                <w:szCs w:val="24"/>
              </w:rPr>
              <w:t>环保投资总概算</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pacing w:val="-20"/>
                <w:sz w:val="24"/>
                <w:szCs w:val="24"/>
              </w:rPr>
            </w:pPr>
            <w:r>
              <w:rPr>
                <w:rFonts w:hint="eastAsia" w:eastAsia="宋体"/>
                <w:spacing w:val="-20"/>
                <w:sz w:val="24"/>
                <w:szCs w:val="24"/>
                <w:lang w:val="en-US" w:eastAsia="zh-CN"/>
              </w:rPr>
              <w:t>14</w:t>
            </w:r>
            <w:r>
              <w:rPr>
                <w:rFonts w:hint="eastAsia" w:eastAsia="宋体"/>
                <w:spacing w:val="-20"/>
                <w:sz w:val="24"/>
                <w:szCs w:val="24"/>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比例</w:t>
            </w:r>
          </w:p>
        </w:tc>
        <w:tc>
          <w:tcPr>
            <w:tcW w:w="1417"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eastAsia="宋体"/>
                <w:sz w:val="24"/>
                <w:szCs w:val="24"/>
                <w:lang w:val="en-US" w:eastAsia="zh-CN"/>
              </w:rPr>
              <w:t>4.7</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项目实际总投资</w:t>
            </w:r>
          </w:p>
        </w:tc>
        <w:tc>
          <w:tcPr>
            <w:tcW w:w="27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z w:val="24"/>
                <w:szCs w:val="24"/>
              </w:rPr>
            </w:pPr>
            <w:r>
              <w:rPr>
                <w:rFonts w:hint="eastAsia" w:eastAsia="宋体"/>
                <w:sz w:val="24"/>
                <w:szCs w:val="24"/>
                <w:lang w:val="en-US" w:eastAsia="zh-CN"/>
              </w:rPr>
              <w:t>300</w:t>
            </w:r>
            <w:r>
              <w:rPr>
                <w:rFonts w:hint="eastAsia" w:eastAsia="宋体"/>
                <w:sz w:val="24"/>
                <w:szCs w:val="24"/>
              </w:rPr>
              <w:t>万元</w:t>
            </w:r>
          </w:p>
        </w:tc>
        <w:tc>
          <w:tcPr>
            <w:tcW w:w="18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实际环保投资</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pacing w:val="-20"/>
                <w:sz w:val="24"/>
                <w:szCs w:val="24"/>
              </w:rPr>
            </w:pPr>
            <w:r>
              <w:rPr>
                <w:rFonts w:hint="eastAsia" w:eastAsia="宋体"/>
                <w:spacing w:val="-20"/>
                <w:sz w:val="24"/>
                <w:szCs w:val="24"/>
                <w:lang w:val="en-US" w:eastAsia="zh-CN"/>
              </w:rPr>
              <w:t>14</w:t>
            </w:r>
            <w:r>
              <w:rPr>
                <w:rFonts w:hint="eastAsia" w:eastAsia="宋体"/>
                <w:spacing w:val="-20"/>
                <w:sz w:val="24"/>
                <w:szCs w:val="24"/>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比例</w:t>
            </w:r>
          </w:p>
        </w:tc>
        <w:tc>
          <w:tcPr>
            <w:tcW w:w="1417"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eastAsia="宋体"/>
                <w:sz w:val="24"/>
                <w:szCs w:val="24"/>
                <w:lang w:val="en-US" w:eastAsia="zh-CN"/>
              </w:rPr>
              <w:t>4.7</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360" w:lineRule="auto"/>
              <w:jc w:val="center"/>
              <w:rPr>
                <w:rFonts w:hint="eastAsia"/>
                <w:b/>
                <w:sz w:val="24"/>
                <w:szCs w:val="24"/>
              </w:rPr>
            </w:pPr>
            <w:r>
              <w:rPr>
                <w:rFonts w:hint="eastAsia" w:eastAsia="宋体"/>
                <w:b/>
                <w:sz w:val="24"/>
                <w:szCs w:val="24"/>
              </w:rPr>
              <w:t>验收监测依据</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adjustRightInd w:val="0"/>
              <w:snapToGrid w:val="0"/>
              <w:spacing w:beforeLines="0" w:afterLines="0" w:line="360" w:lineRule="auto"/>
              <w:rPr>
                <w:rFonts w:hint="eastAsia"/>
                <w:sz w:val="24"/>
                <w:szCs w:val="24"/>
              </w:rPr>
            </w:pPr>
            <w:r>
              <w:rPr>
                <w:rFonts w:hint="eastAsia"/>
                <w:sz w:val="24"/>
                <w:szCs w:val="24"/>
              </w:rPr>
              <w:t>(1)</w:t>
            </w:r>
            <w:r>
              <w:rPr>
                <w:rFonts w:hint="eastAsia" w:eastAsia="宋体"/>
                <w:sz w:val="24"/>
                <w:szCs w:val="24"/>
              </w:rPr>
              <w:t>《中华人民共和国环境保护法》（2015年1月）。</w:t>
            </w:r>
          </w:p>
          <w:p>
            <w:pPr>
              <w:adjustRightInd w:val="0"/>
              <w:snapToGrid w:val="0"/>
              <w:spacing w:beforeLines="0" w:afterLines="0" w:line="360" w:lineRule="auto"/>
              <w:rPr>
                <w:rFonts w:hint="eastAsia"/>
                <w:sz w:val="24"/>
                <w:szCs w:val="24"/>
              </w:rPr>
            </w:pPr>
            <w:r>
              <w:rPr>
                <w:rFonts w:hint="eastAsia"/>
                <w:sz w:val="24"/>
                <w:szCs w:val="24"/>
              </w:rPr>
              <w:t>(2)</w:t>
            </w:r>
            <w:r>
              <w:rPr>
                <w:rFonts w:hint="eastAsia" w:eastAsia="宋体"/>
                <w:sz w:val="24"/>
                <w:szCs w:val="24"/>
              </w:rPr>
              <w:t>《建设项目环境保护管理条例》（第682号，2017年7月16日）。</w:t>
            </w:r>
          </w:p>
          <w:p>
            <w:pPr>
              <w:adjustRightInd w:val="0"/>
              <w:snapToGrid w:val="0"/>
              <w:spacing w:beforeLines="0" w:afterLines="0" w:line="360" w:lineRule="auto"/>
              <w:rPr>
                <w:rFonts w:hint="eastAsia"/>
                <w:sz w:val="24"/>
                <w:szCs w:val="24"/>
              </w:rPr>
            </w:pPr>
            <w:r>
              <w:rPr>
                <w:rFonts w:hint="eastAsia"/>
                <w:sz w:val="24"/>
                <w:szCs w:val="24"/>
              </w:rPr>
              <w:t>(3)</w:t>
            </w:r>
            <w:r>
              <w:rPr>
                <w:rFonts w:hint="eastAsia" w:eastAsia="宋体"/>
                <w:sz w:val="24"/>
                <w:szCs w:val="24"/>
              </w:rPr>
              <w:t>《</w:t>
            </w:r>
            <w:r>
              <w:rPr>
                <w:rFonts w:hint="eastAsia" w:eastAsia="宋体"/>
                <w:kern w:val="0"/>
                <w:sz w:val="24"/>
                <w:szCs w:val="24"/>
              </w:rPr>
              <w:t>国家危险废物名录》（2021年版）。</w:t>
            </w:r>
          </w:p>
          <w:p>
            <w:pPr>
              <w:adjustRightInd w:val="0"/>
              <w:snapToGrid w:val="0"/>
              <w:spacing w:beforeLines="0" w:afterLines="0" w:line="360" w:lineRule="auto"/>
              <w:rPr>
                <w:rFonts w:hint="eastAsia"/>
                <w:sz w:val="24"/>
                <w:szCs w:val="24"/>
              </w:rPr>
            </w:pPr>
            <w:r>
              <w:rPr>
                <w:rFonts w:hint="eastAsia"/>
                <w:sz w:val="24"/>
                <w:szCs w:val="24"/>
              </w:rPr>
              <w:t>(4)</w:t>
            </w:r>
            <w:r>
              <w:rPr>
                <w:rFonts w:hint="eastAsia" w:eastAsia="宋体"/>
                <w:sz w:val="24"/>
                <w:szCs w:val="24"/>
              </w:rPr>
              <w:t>《建设项目竣工环境保护验收技术指南污染影响类》（公告2018年第9号，生态环境部，2018年5月15日）。</w:t>
            </w:r>
          </w:p>
          <w:p>
            <w:pPr>
              <w:adjustRightInd w:val="0"/>
              <w:snapToGrid w:val="0"/>
              <w:spacing w:beforeLines="0" w:afterLines="0" w:line="360" w:lineRule="auto"/>
              <w:rPr>
                <w:rFonts w:hint="eastAsia"/>
                <w:sz w:val="24"/>
                <w:szCs w:val="24"/>
              </w:rPr>
            </w:pPr>
            <w:r>
              <w:rPr>
                <w:rFonts w:hint="eastAsia"/>
                <w:sz w:val="24"/>
                <w:szCs w:val="24"/>
              </w:rPr>
              <w:t>(5)</w:t>
            </w:r>
            <w:r>
              <w:rPr>
                <w:rFonts w:hint="eastAsia" w:eastAsia="宋体"/>
                <w:sz w:val="24"/>
                <w:szCs w:val="24"/>
              </w:rPr>
              <w:t>《建设项目竣工环境保护验收暂行办法》（国环规环评（2017）4号，2017年11月20日）。</w:t>
            </w:r>
          </w:p>
          <w:p>
            <w:pPr>
              <w:adjustRightInd w:val="0"/>
              <w:snapToGrid w:val="0"/>
              <w:spacing w:beforeLines="0" w:afterLines="0" w:line="360" w:lineRule="auto"/>
              <w:rPr>
                <w:rFonts w:hint="eastAsia"/>
                <w:spacing w:val="-6"/>
                <w:sz w:val="24"/>
                <w:szCs w:val="24"/>
              </w:rPr>
            </w:pPr>
            <w:r>
              <w:rPr>
                <w:rFonts w:hint="eastAsia"/>
                <w:sz w:val="24"/>
                <w:szCs w:val="24"/>
              </w:rPr>
              <w:t>(6)</w:t>
            </w:r>
            <w:r>
              <w:rPr>
                <w:rFonts w:hint="eastAsia" w:eastAsia="宋体"/>
                <w:sz w:val="24"/>
                <w:szCs w:val="24"/>
              </w:rPr>
              <w:t>《关于加强建设项目竣工环境保护验收监测工作中污染事故防范</w:t>
            </w:r>
            <w:r>
              <w:rPr>
                <w:rFonts w:hint="eastAsia" w:eastAsia="宋体"/>
                <w:spacing w:val="-6"/>
                <w:sz w:val="24"/>
                <w:szCs w:val="24"/>
              </w:rPr>
              <w:t>环境管理检查工作的通知》（中国环境监测总站，总站验字[2005]188号文）。</w:t>
            </w:r>
          </w:p>
          <w:p>
            <w:pPr>
              <w:adjustRightInd w:val="0"/>
              <w:snapToGrid w:val="0"/>
              <w:spacing w:beforeLines="0" w:afterLines="0" w:line="360" w:lineRule="auto"/>
              <w:rPr>
                <w:rFonts w:hint="eastAsia"/>
                <w:sz w:val="24"/>
                <w:szCs w:val="24"/>
              </w:rPr>
            </w:pPr>
            <w:r>
              <w:rPr>
                <w:rFonts w:hint="eastAsia"/>
                <w:sz w:val="24"/>
                <w:szCs w:val="24"/>
              </w:rPr>
              <w:t>(7)</w:t>
            </w:r>
            <w:r>
              <w:rPr>
                <w:rFonts w:hint="eastAsia" w:eastAsia="宋体"/>
                <w:sz w:val="24"/>
                <w:szCs w:val="24"/>
              </w:rPr>
              <w:t>《排污许可管理办法（试行）》（ 环境保护部令第48号，2018年1月10日）。</w:t>
            </w:r>
          </w:p>
          <w:p>
            <w:pPr>
              <w:adjustRightInd w:val="0"/>
              <w:snapToGrid w:val="0"/>
              <w:spacing w:beforeLines="0" w:afterLines="0" w:line="360" w:lineRule="auto"/>
              <w:rPr>
                <w:rFonts w:hint="eastAsia"/>
                <w:spacing w:val="-6"/>
                <w:sz w:val="24"/>
                <w:szCs w:val="24"/>
              </w:rPr>
            </w:pPr>
            <w:r>
              <w:rPr>
                <w:rFonts w:hint="eastAsia"/>
                <w:sz w:val="24"/>
                <w:szCs w:val="24"/>
              </w:rPr>
              <w:t>(8)</w:t>
            </w:r>
            <w:r>
              <w:rPr>
                <w:rFonts w:hint="eastAsia" w:eastAsia="宋体"/>
                <w:sz w:val="24"/>
                <w:szCs w:val="24"/>
              </w:rPr>
              <w:t>《江苏省排污口设置及规范化整治管理办法》（江苏省环境保护厅，苏环控[97]122号，1997年9月）。</w:t>
            </w:r>
          </w:p>
          <w:p>
            <w:pPr>
              <w:adjustRightInd w:val="0"/>
              <w:snapToGrid w:val="0"/>
              <w:spacing w:beforeLines="0" w:afterLines="0" w:line="360" w:lineRule="auto"/>
              <w:rPr>
                <w:rFonts w:hint="eastAsia"/>
                <w:sz w:val="24"/>
                <w:szCs w:val="24"/>
              </w:rPr>
            </w:pPr>
            <w:r>
              <w:rPr>
                <w:rFonts w:hint="eastAsia"/>
                <w:sz w:val="24"/>
                <w:szCs w:val="24"/>
              </w:rPr>
              <w:t>(9)</w:t>
            </w:r>
            <w:r>
              <w:rPr>
                <w:rFonts w:hint="eastAsia" w:eastAsia="宋体"/>
                <w:color w:val="auto"/>
                <w:sz w:val="24"/>
                <w:szCs w:val="24"/>
              </w:rPr>
              <w:t>《污染影响类建设项目重大变动清单（试行）》的通知（环办环评涵[2020]688号）</w:t>
            </w:r>
            <w:r>
              <w:rPr>
                <w:rFonts w:hint="eastAsia" w:eastAsia="宋体"/>
                <w:sz w:val="24"/>
                <w:szCs w:val="24"/>
              </w:rPr>
              <w:t>。</w:t>
            </w:r>
          </w:p>
          <w:p>
            <w:pPr>
              <w:adjustRightInd w:val="0"/>
              <w:snapToGrid w:val="0"/>
              <w:spacing w:beforeLines="0" w:afterLines="0" w:line="360" w:lineRule="auto"/>
              <w:rPr>
                <w:rFonts w:hint="eastAsia"/>
                <w:sz w:val="24"/>
                <w:szCs w:val="24"/>
              </w:rPr>
            </w:pPr>
            <w:r>
              <w:rPr>
                <w:rFonts w:hint="eastAsia"/>
                <w:sz w:val="24"/>
                <w:szCs w:val="24"/>
              </w:rPr>
              <w:t>(10)</w:t>
            </w:r>
            <w:r>
              <w:rPr>
                <w:rFonts w:hint="eastAsia" w:eastAsia="宋体"/>
                <w:sz w:val="24"/>
                <w:szCs w:val="24"/>
              </w:rPr>
              <w:t>《关于建设项目竣工环境保护验收有关事项的通知》（苏环办[2018]34号）。</w:t>
            </w:r>
          </w:p>
          <w:p>
            <w:pPr>
              <w:adjustRightInd w:val="0"/>
              <w:snapToGrid w:val="0"/>
              <w:spacing w:beforeLines="0" w:afterLines="0" w:line="360" w:lineRule="auto"/>
              <w:rPr>
                <w:rFonts w:hint="eastAsia" w:eastAsia="宋体"/>
                <w:sz w:val="24"/>
                <w:szCs w:val="24"/>
              </w:rPr>
            </w:pPr>
            <w:r>
              <w:rPr>
                <w:rFonts w:hint="eastAsia" w:eastAsia="宋体"/>
                <w:sz w:val="24"/>
                <w:szCs w:val="24"/>
              </w:rPr>
              <w:t>(13)《吴江华茂新型建材有限公司2018-320509-41-03-577948年产非承重普通混凝土空心砖6万平方米、混凝土实心砖3万平方米生产技术改造项目环境影响报告表》（</w:t>
            </w:r>
            <w:r>
              <w:rPr>
                <w:rFonts w:hint="eastAsia" w:eastAsia="宋体"/>
                <w:sz w:val="24"/>
                <w:szCs w:val="24"/>
                <w:lang w:val="en-US" w:eastAsia="zh-CN"/>
              </w:rPr>
              <w:t>苏州合巨环保技术有限公司</w:t>
            </w:r>
            <w:r>
              <w:rPr>
                <w:rFonts w:hint="eastAsia" w:eastAsia="宋体"/>
                <w:sz w:val="24"/>
                <w:szCs w:val="24"/>
              </w:rPr>
              <w:t>，20</w:t>
            </w:r>
            <w:r>
              <w:rPr>
                <w:rFonts w:hint="eastAsia" w:eastAsia="宋体"/>
                <w:sz w:val="24"/>
                <w:szCs w:val="24"/>
                <w:lang w:val="en-US" w:eastAsia="zh-CN"/>
              </w:rPr>
              <w:t>18</w:t>
            </w:r>
            <w:r>
              <w:rPr>
                <w:rFonts w:hint="eastAsia" w:eastAsia="宋体"/>
                <w:sz w:val="24"/>
                <w:szCs w:val="24"/>
              </w:rPr>
              <w:t>年</w:t>
            </w:r>
            <w:r>
              <w:rPr>
                <w:rFonts w:hint="eastAsia" w:eastAsia="宋体"/>
                <w:sz w:val="24"/>
                <w:szCs w:val="24"/>
                <w:lang w:val="en-US" w:eastAsia="zh-CN"/>
              </w:rPr>
              <w:t>4</w:t>
            </w:r>
            <w:r>
              <w:rPr>
                <w:rFonts w:hint="eastAsia" w:eastAsia="宋体"/>
                <w:sz w:val="24"/>
                <w:szCs w:val="24"/>
              </w:rPr>
              <w:t>月）。</w:t>
            </w:r>
          </w:p>
          <w:p>
            <w:pPr>
              <w:spacing w:beforeLines="0" w:afterLines="0" w:line="360" w:lineRule="auto"/>
              <w:rPr>
                <w:rFonts w:hint="eastAsia"/>
                <w:color w:val="auto"/>
                <w:sz w:val="24"/>
                <w:szCs w:val="24"/>
              </w:rPr>
            </w:pPr>
            <w:r>
              <w:rPr>
                <w:rFonts w:hint="eastAsia"/>
                <w:color w:val="auto"/>
                <w:sz w:val="24"/>
                <w:szCs w:val="24"/>
              </w:rPr>
              <w:t>(1</w:t>
            </w:r>
            <w:r>
              <w:rPr>
                <w:rFonts w:hint="eastAsia" w:eastAsia="宋体"/>
                <w:color w:val="auto"/>
                <w:sz w:val="24"/>
                <w:szCs w:val="24"/>
              </w:rPr>
              <w:t>4)《关于对吴江华茂新型建材有限公司建设项目环境影响报告表的批复》（</w:t>
            </w:r>
            <w:r>
              <w:rPr>
                <w:rFonts w:hint="eastAsia"/>
                <w:color w:val="auto"/>
                <w:sz w:val="24"/>
                <w:szCs w:val="24"/>
                <w:lang w:val="en-US" w:eastAsia="zh-CN"/>
              </w:rPr>
              <w:t>吴环建</w:t>
            </w:r>
            <w:r>
              <w:rPr>
                <w:rFonts w:hint="eastAsia" w:eastAsia="宋体"/>
                <w:color w:val="auto"/>
                <w:sz w:val="24"/>
                <w:szCs w:val="24"/>
              </w:rPr>
              <w:t>[20</w:t>
            </w:r>
            <w:r>
              <w:rPr>
                <w:rFonts w:hint="eastAsia"/>
                <w:color w:val="auto"/>
                <w:sz w:val="24"/>
                <w:szCs w:val="24"/>
                <w:lang w:val="en-US" w:eastAsia="zh-CN"/>
              </w:rPr>
              <w:t>18</w:t>
            </w:r>
            <w:r>
              <w:rPr>
                <w:rFonts w:hint="eastAsia" w:eastAsia="宋体"/>
                <w:color w:val="auto"/>
                <w:sz w:val="24"/>
                <w:szCs w:val="24"/>
              </w:rPr>
              <w:t>]</w:t>
            </w:r>
            <w:r>
              <w:rPr>
                <w:rFonts w:hint="eastAsia"/>
                <w:color w:val="auto"/>
                <w:sz w:val="24"/>
                <w:szCs w:val="24"/>
                <w:lang w:val="en-US" w:eastAsia="zh-CN"/>
              </w:rPr>
              <w:t>246</w:t>
            </w:r>
            <w:r>
              <w:rPr>
                <w:rFonts w:hint="eastAsia" w:eastAsia="宋体"/>
                <w:color w:val="auto"/>
                <w:sz w:val="24"/>
                <w:szCs w:val="24"/>
              </w:rPr>
              <w:t>号，20</w:t>
            </w:r>
            <w:r>
              <w:rPr>
                <w:rFonts w:hint="eastAsia"/>
                <w:color w:val="auto"/>
                <w:sz w:val="24"/>
                <w:szCs w:val="24"/>
                <w:lang w:val="en-US" w:eastAsia="zh-CN"/>
              </w:rPr>
              <w:t>18</w:t>
            </w:r>
            <w:r>
              <w:rPr>
                <w:rFonts w:hint="eastAsia" w:eastAsia="宋体"/>
                <w:color w:val="auto"/>
                <w:sz w:val="24"/>
                <w:szCs w:val="24"/>
              </w:rPr>
              <w:t>年</w:t>
            </w:r>
            <w:r>
              <w:rPr>
                <w:rFonts w:hint="eastAsia"/>
                <w:color w:val="auto"/>
                <w:sz w:val="24"/>
                <w:szCs w:val="24"/>
                <w:lang w:val="en-US" w:eastAsia="zh-CN"/>
              </w:rPr>
              <w:t>8</w:t>
            </w:r>
            <w:r>
              <w:rPr>
                <w:rFonts w:hint="eastAsia" w:eastAsia="宋体"/>
                <w:color w:val="auto"/>
                <w:sz w:val="24"/>
                <w:szCs w:val="24"/>
              </w:rPr>
              <w:t>月</w:t>
            </w:r>
            <w:r>
              <w:rPr>
                <w:rFonts w:hint="eastAsia"/>
                <w:color w:val="auto"/>
                <w:sz w:val="24"/>
                <w:szCs w:val="24"/>
                <w:lang w:val="en-US" w:eastAsia="zh-CN"/>
              </w:rPr>
              <w:t>9</w:t>
            </w:r>
            <w:r>
              <w:rPr>
                <w:rFonts w:hint="eastAsia" w:eastAsia="宋体"/>
                <w:color w:val="auto"/>
                <w:sz w:val="24"/>
                <w:szCs w:val="24"/>
              </w:rPr>
              <w:t>日）。</w:t>
            </w:r>
          </w:p>
          <w:p>
            <w:pPr>
              <w:spacing w:beforeLines="0" w:afterLines="0" w:line="360" w:lineRule="auto"/>
              <w:rPr>
                <w:rFonts w:hint="eastAsia"/>
                <w:sz w:val="24"/>
                <w:szCs w:val="24"/>
              </w:rPr>
            </w:pPr>
            <w:r>
              <w:rPr>
                <w:rFonts w:hint="eastAsia"/>
                <w:color w:val="auto"/>
                <w:sz w:val="24"/>
                <w:szCs w:val="24"/>
              </w:rPr>
              <w:t>(1</w:t>
            </w:r>
            <w:r>
              <w:rPr>
                <w:rFonts w:hint="eastAsia" w:eastAsia="宋体"/>
                <w:color w:val="auto"/>
                <w:sz w:val="24"/>
                <w:szCs w:val="24"/>
              </w:rPr>
              <w:t>5</w:t>
            </w:r>
            <w:r>
              <w:rPr>
                <w:rFonts w:hint="eastAsia"/>
                <w:color w:val="auto"/>
                <w:sz w:val="24"/>
                <w:szCs w:val="24"/>
              </w:rPr>
              <w:t>)</w:t>
            </w:r>
            <w:r>
              <w:rPr>
                <w:rFonts w:hint="eastAsia" w:eastAsia="宋体"/>
                <w:color w:val="auto"/>
                <w:sz w:val="24"/>
                <w:szCs w:val="24"/>
              </w:rPr>
              <w:t>吴江华茂新型建材有限公司提供的其它有关资料。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验收监测标准标号、级别</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napToGrid w:val="0"/>
              <w:spacing w:before="156" w:beforeLines="50" w:afterLines="0" w:line="360" w:lineRule="auto"/>
              <w:ind w:firstLine="480" w:firstLineChars="200"/>
              <w:rPr>
                <w:rFonts w:hint="eastAsia"/>
                <w:sz w:val="24"/>
                <w:szCs w:val="24"/>
              </w:rPr>
            </w:pPr>
            <w:r>
              <w:rPr>
                <w:rFonts w:hint="eastAsia" w:eastAsia="宋体"/>
                <w:sz w:val="24"/>
                <w:szCs w:val="24"/>
              </w:rPr>
              <w:t>根据环评报告表和环评批复内容，本项目各污染物排放执行标准及要求如下：</w:t>
            </w:r>
          </w:p>
          <w:p>
            <w:pPr>
              <w:snapToGrid w:val="0"/>
              <w:spacing w:before="156" w:beforeLines="50" w:afterLines="0" w:line="360" w:lineRule="auto"/>
              <w:ind w:firstLine="482" w:firstLineChars="200"/>
              <w:rPr>
                <w:rFonts w:hint="eastAsia"/>
                <w:b/>
                <w:sz w:val="24"/>
                <w:szCs w:val="24"/>
              </w:rPr>
            </w:pPr>
            <w:r>
              <w:rPr>
                <w:rFonts w:hint="eastAsia"/>
                <w:b/>
                <w:sz w:val="24"/>
                <w:szCs w:val="24"/>
              </w:rPr>
              <w:t>(1)</w:t>
            </w:r>
            <w:r>
              <w:rPr>
                <w:rFonts w:hint="eastAsia" w:eastAsia="宋体"/>
                <w:b/>
                <w:sz w:val="24"/>
                <w:szCs w:val="24"/>
              </w:rPr>
              <w:t>废水</w:t>
            </w:r>
          </w:p>
          <w:p>
            <w:pPr>
              <w:adjustRightInd w:val="0"/>
              <w:snapToGrid w:val="0"/>
              <w:spacing w:beforeLines="0" w:afterLines="0" w:line="360" w:lineRule="auto"/>
              <w:ind w:firstLine="480" w:firstLineChars="200"/>
              <w:rPr>
                <w:rFonts w:hint="eastAsia" w:eastAsia="宋体"/>
                <w:sz w:val="24"/>
                <w:szCs w:val="24"/>
              </w:rPr>
            </w:pPr>
            <w:r>
              <w:rPr>
                <w:rFonts w:hint="eastAsia" w:eastAsia="宋体"/>
                <w:sz w:val="24"/>
                <w:szCs w:val="24"/>
              </w:rPr>
              <w:t>本项目产生的废水为生活污水。员工生活污水由区域污水管网接入</w:t>
            </w:r>
            <w:r>
              <w:rPr>
                <w:rFonts w:hint="eastAsia" w:hAnsi="宋体"/>
                <w:sz w:val="24"/>
              </w:rPr>
              <w:t>苏州市吴江桃源生活污水处理有限公司</w:t>
            </w:r>
            <w:r>
              <w:rPr>
                <w:rFonts w:hint="eastAsia" w:eastAsia="宋体"/>
                <w:sz w:val="24"/>
                <w:szCs w:val="24"/>
              </w:rPr>
              <w:t>，达</w:t>
            </w:r>
            <w:r>
              <w:rPr>
                <w:rFonts w:hint="eastAsia" w:eastAsia="宋体"/>
                <w:color w:val="auto"/>
                <w:sz w:val="24"/>
                <w:szCs w:val="24"/>
              </w:rPr>
              <w:t>标尾水排到</w:t>
            </w:r>
            <w:r>
              <w:rPr>
                <w:rFonts w:hint="eastAsia"/>
                <w:color w:val="auto"/>
                <w:sz w:val="24"/>
                <w:szCs w:val="24"/>
                <w:lang w:eastAsia="zh-CN"/>
              </w:rPr>
              <w:t>张钓桥河</w:t>
            </w:r>
            <w:r>
              <w:rPr>
                <w:rFonts w:hint="eastAsia" w:eastAsia="宋体"/>
                <w:color w:val="auto"/>
                <w:sz w:val="24"/>
                <w:szCs w:val="24"/>
              </w:rPr>
              <w:t>。</w:t>
            </w:r>
          </w:p>
          <w:p>
            <w:pPr>
              <w:adjustRightInd w:val="0"/>
              <w:snapToGrid w:val="0"/>
              <w:spacing w:beforeLines="0" w:afterLines="0" w:line="360" w:lineRule="auto"/>
              <w:ind w:firstLine="480" w:firstLineChars="200"/>
              <w:rPr>
                <w:rFonts w:hint="eastAsia"/>
                <w:color w:val="auto"/>
                <w:sz w:val="24"/>
                <w:szCs w:val="24"/>
              </w:rPr>
            </w:pPr>
            <w:r>
              <w:rPr>
                <w:rFonts w:hint="eastAsia" w:eastAsia="宋体"/>
                <w:color w:val="auto"/>
                <w:sz w:val="24"/>
                <w:szCs w:val="24"/>
              </w:rPr>
              <w:t>本项目</w:t>
            </w:r>
            <w:r>
              <w:rPr>
                <w:rFonts w:hint="eastAsia" w:eastAsia="宋体"/>
                <w:sz w:val="24"/>
                <w:szCs w:val="24"/>
              </w:rPr>
              <w:t>生活污水</w:t>
            </w:r>
            <w:r>
              <w:rPr>
                <w:rFonts w:hint="eastAsia" w:eastAsia="宋体"/>
                <w:color w:val="auto"/>
                <w:sz w:val="24"/>
                <w:szCs w:val="24"/>
              </w:rPr>
              <w:t>接管执行《污水综合排放标准》（GB8979-1996）中三级标准，其中氨氮、总磷、总氮执行《污水排入城镇下水道水质标准》（GB/T31962-2015）表1B级标准；根据《太湖地区城镇污水厂及重点工业行业主要水污染物品排放限值》（DB32/1072-2018）实施期限要求，2021年</w:t>
            </w:r>
            <w:r>
              <w:rPr>
                <w:rFonts w:hint="eastAsia"/>
                <w:color w:val="auto"/>
                <w:sz w:val="24"/>
                <w:szCs w:val="24"/>
              </w:rPr>
              <w:t>1</w:t>
            </w:r>
            <w:r>
              <w:rPr>
                <w:rFonts w:hint="eastAsia" w:eastAsia="宋体"/>
                <w:color w:val="auto"/>
                <w:sz w:val="24"/>
                <w:szCs w:val="24"/>
              </w:rPr>
              <w:t>月</w:t>
            </w:r>
            <w:r>
              <w:rPr>
                <w:rFonts w:hint="eastAsia"/>
                <w:color w:val="auto"/>
                <w:sz w:val="24"/>
                <w:szCs w:val="24"/>
              </w:rPr>
              <w:t>1</w:t>
            </w:r>
            <w:r>
              <w:rPr>
                <w:rFonts w:hint="eastAsia" w:eastAsia="宋体"/>
                <w:color w:val="auto"/>
                <w:sz w:val="24"/>
                <w:szCs w:val="24"/>
              </w:rPr>
              <w:t>日之后</w:t>
            </w:r>
            <w:r>
              <w:rPr>
                <w:rFonts w:hint="eastAsia" w:eastAsia="宋体"/>
                <w:color w:val="auto"/>
                <w:sz w:val="24"/>
                <w:szCs w:val="24"/>
                <w:lang w:eastAsia="zh-CN"/>
              </w:rPr>
              <w:t>苏州市吴江桃源生活污水处理有限公司</w:t>
            </w:r>
            <w:r>
              <w:rPr>
                <w:rFonts w:hint="eastAsia" w:eastAsia="宋体"/>
                <w:color w:val="auto"/>
                <w:sz w:val="24"/>
                <w:szCs w:val="24"/>
              </w:rPr>
              <w:t>尾水排放标准COD、氨氮、总磷、总氮执行《太湖地区城镇污水厂及重点工业行业主要水污染物品排放限值》（DB32/1072-2018）标准；根据苏州市市委、市政府2018年9月下达的《关于高质量推荐城乡生活污水治理三年行动计划的实施意见的通知》（苏委办发[2018]77号）、《关于抓紧开展污水厂尾水提标改造的通知》（吴水务[2018]15号），待污水处理厂尾水排放标准提标后，</w:t>
            </w:r>
            <w:r>
              <w:rPr>
                <w:rFonts w:hint="eastAsia" w:eastAsia="宋体"/>
                <w:color w:val="auto"/>
                <w:sz w:val="24"/>
                <w:szCs w:val="24"/>
                <w:lang w:eastAsia="zh-CN"/>
              </w:rPr>
              <w:t>苏州市吴江桃源生活污水处理有限公司</w:t>
            </w:r>
            <w:r>
              <w:rPr>
                <w:rFonts w:hint="eastAsia" w:eastAsia="宋体"/>
                <w:color w:val="auto"/>
                <w:sz w:val="24"/>
                <w:szCs w:val="24"/>
              </w:rPr>
              <w:t>尾水执行“苏州特别排放限值”。“苏州特别排放限值”严于《太湖地区城镇污水厂及重点工业行业主要水污染物排放限值》（DB32/1072-2018）标准，因此</w:t>
            </w:r>
            <w:r>
              <w:rPr>
                <w:rFonts w:hint="eastAsia" w:eastAsia="宋体"/>
                <w:color w:val="auto"/>
                <w:sz w:val="24"/>
                <w:szCs w:val="24"/>
                <w:lang w:eastAsia="zh-CN"/>
              </w:rPr>
              <w:t>苏州市吴江桃源生活污水处理有限公司</w:t>
            </w:r>
            <w:r>
              <w:rPr>
                <w:rFonts w:hint="eastAsia" w:eastAsia="宋体"/>
                <w:color w:val="auto"/>
                <w:sz w:val="24"/>
                <w:szCs w:val="24"/>
              </w:rPr>
              <w:t>排放尾水水质COD、氨氮、总氮、总磷从严执行“苏州特别排放限值”，其余指标执行《城镇污水处理厂污染物排放标准》（GB18918-2002）表1一级A标准。具体标准值详见下表。</w:t>
            </w:r>
          </w:p>
          <w:p>
            <w:pPr>
              <w:spacing w:beforeLines="0" w:afterLines="0" w:line="400" w:lineRule="atLeast"/>
              <w:jc w:val="center"/>
              <w:rPr>
                <w:rFonts w:hint="eastAsia"/>
                <w:b/>
                <w:color w:val="auto"/>
                <w:sz w:val="21"/>
                <w:szCs w:val="21"/>
              </w:rPr>
            </w:pPr>
            <w:r>
              <w:rPr>
                <w:rFonts w:hint="eastAsia" w:eastAsia="宋体"/>
                <w:b/>
                <w:color w:val="auto"/>
                <w:sz w:val="21"/>
                <w:szCs w:val="21"/>
              </w:rPr>
              <w:t>表1</w:t>
            </w:r>
            <w:r>
              <w:rPr>
                <w:rFonts w:hint="eastAsia"/>
                <w:b/>
                <w:color w:val="auto"/>
                <w:sz w:val="21"/>
                <w:szCs w:val="21"/>
              </w:rPr>
              <w:t>-</w:t>
            </w:r>
            <w:r>
              <w:rPr>
                <w:rFonts w:hint="eastAsia" w:eastAsia="宋体"/>
                <w:b/>
                <w:color w:val="auto"/>
                <w:sz w:val="21"/>
                <w:szCs w:val="21"/>
              </w:rPr>
              <w:t>1 生活污水排放标准限值</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2582"/>
              <w:gridCol w:w="1234"/>
              <w:gridCol w:w="1247"/>
              <w:gridCol w:w="658"/>
              <w:gridCol w:w="104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tcBorders>
                    <w:top w:val="single" w:color="auto" w:sz="12"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排放口名</w:t>
                  </w:r>
                </w:p>
              </w:tc>
              <w:tc>
                <w:tcPr>
                  <w:tcW w:w="2647"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执行标准</w:t>
                  </w:r>
                </w:p>
              </w:tc>
              <w:tc>
                <w:tcPr>
                  <w:tcW w:w="1265"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取值表号及级别</w:t>
                  </w:r>
                </w:p>
              </w:tc>
              <w:tc>
                <w:tcPr>
                  <w:tcW w:w="1278"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污染物指标</w:t>
                  </w:r>
                </w:p>
              </w:tc>
              <w:tc>
                <w:tcPr>
                  <w:tcW w:w="675"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单位</w:t>
                  </w:r>
                </w:p>
              </w:tc>
              <w:tc>
                <w:tcPr>
                  <w:tcW w:w="1066" w:type="dxa"/>
                  <w:tcBorders>
                    <w:top w:val="single" w:color="auto" w:sz="12"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标准限值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restart"/>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本项目污水排口</w:t>
                  </w: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《污水综合排放标准》（GB8978-1996）</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w:t>
                  </w:r>
                  <w:r>
                    <w:rPr>
                      <w:rFonts w:hint="eastAsia"/>
                      <w:color w:val="000000"/>
                      <w:sz w:val="18"/>
                      <w:szCs w:val="18"/>
                    </w:rPr>
                    <w:t>4</w:t>
                  </w:r>
                  <w:r>
                    <w:rPr>
                      <w:rFonts w:hint="eastAsia" w:eastAsia="宋体"/>
                      <w:color w:val="000000"/>
                      <w:sz w:val="18"/>
                      <w:szCs w:val="18"/>
                    </w:rPr>
                    <w:t>三级标准</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PH</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6-9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SS</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400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auto"/>
                      <w:sz w:val="18"/>
                      <w:szCs w:val="18"/>
                    </w:rPr>
                    <w:t>《污水排入城镇下水道水质标准》（GB/T31962-2015）</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表1B等级</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45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70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restart"/>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污水厂排口</w:t>
                  </w: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rPr>
                      <w:rFonts w:hint="eastAsia"/>
                      <w:color w:val="000000"/>
                      <w:sz w:val="18"/>
                      <w:szCs w:val="18"/>
                    </w:rPr>
                  </w:pPr>
                  <w:r>
                    <w:rPr>
                      <w:rFonts w:hint="eastAsia" w:eastAsia="宋体"/>
                      <w:sz w:val="18"/>
                      <w:szCs w:val="18"/>
                    </w:rPr>
                    <w:t>《太湖地区城镇污水处理厂及重点工业行业主要水污染物排放限值》(DB32/1072-2007)</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表1Ⅰ级</w:t>
                  </w:r>
                </w:p>
                <w:p>
                  <w:pPr>
                    <w:spacing w:beforeLines="0" w:afterLines="0"/>
                    <w:jc w:val="center"/>
                    <w:rPr>
                      <w:rFonts w:hint="eastAsia"/>
                      <w:color w:val="000000"/>
                      <w:sz w:val="18"/>
                      <w:szCs w:val="18"/>
                    </w:rPr>
                  </w:pPr>
                  <w:r>
                    <w:rPr>
                      <w:rFonts w:hint="eastAsia" w:eastAsia="宋体"/>
                      <w:color w:val="000000"/>
                      <w:sz w:val="18"/>
                      <w:szCs w:val="18"/>
                    </w:rPr>
                    <w:t>标准</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w:t>
                  </w:r>
                  <w:r>
                    <w:rPr>
                      <w:rFonts w:hint="eastAsia" w:eastAsia="宋体"/>
                      <w:color w:val="000000"/>
                      <w:sz w:val="18"/>
                      <w:szCs w:val="18"/>
                    </w:rPr>
                    <w:t>（8）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0.5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20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rPr>
                      <w:rFonts w:hint="eastAsia"/>
                      <w:color w:val="000000"/>
                      <w:sz w:val="18"/>
                      <w:szCs w:val="18"/>
                    </w:rPr>
                  </w:pPr>
                  <w:r>
                    <w:rPr>
                      <w:rFonts w:hint="eastAsia" w:eastAsia="宋体"/>
                      <w:sz w:val="18"/>
                      <w:szCs w:val="18"/>
                    </w:rPr>
                    <w:t>《太湖地区城镇污水厂及重点工业行业主要水污染物排放限值》（DB32/1072-2018）</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表2</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4</w:t>
                  </w:r>
                  <w:r>
                    <w:rPr>
                      <w:rFonts w:hint="eastAsia" w:eastAsia="宋体"/>
                      <w:color w:val="000000"/>
                      <w:sz w:val="18"/>
                      <w:szCs w:val="18"/>
                    </w:rPr>
                    <w:t>（</w:t>
                  </w:r>
                  <w:r>
                    <w:rPr>
                      <w:rFonts w:hint="eastAsia"/>
                      <w:color w:val="000000"/>
                      <w:sz w:val="18"/>
                      <w:szCs w:val="18"/>
                    </w:rPr>
                    <w:t>6</w:t>
                  </w:r>
                  <w:r>
                    <w:rPr>
                      <w:rFonts w:hint="eastAsia" w:eastAsia="宋体"/>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0.5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12</w:t>
                  </w:r>
                  <w:r>
                    <w:rPr>
                      <w:rFonts w:hint="eastAsia" w:eastAsia="宋体"/>
                      <w:color w:val="000000"/>
                      <w:sz w:val="18"/>
                      <w:szCs w:val="18"/>
                    </w:rPr>
                    <w:t>（15）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sz w:val="18"/>
                      <w:szCs w:val="18"/>
                    </w:rPr>
                    <w:t>《城镇污水处理厂污染物排放限值》(GB18918-2002)</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表1一级A标准</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PH</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6-9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SS</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10</w:t>
                  </w:r>
                </w:p>
              </w:tc>
            </w:tr>
          </w:tbl>
          <w:p>
            <w:pPr>
              <w:adjustRightInd w:val="0"/>
              <w:snapToGrid w:val="0"/>
              <w:spacing w:beforeLines="0" w:afterLines="0" w:line="360" w:lineRule="auto"/>
              <w:rPr>
                <w:rFonts w:hint="eastAsia"/>
                <w:color w:val="auto"/>
                <w:sz w:val="18"/>
                <w:szCs w:val="18"/>
              </w:rPr>
            </w:pPr>
            <w:r>
              <w:rPr>
                <w:rFonts w:hint="eastAsia" w:eastAsia="宋体"/>
                <w:color w:val="auto"/>
                <w:sz w:val="18"/>
                <w:szCs w:val="18"/>
              </w:rPr>
              <w:t>注：括号外数值为水温＞12℃时的控制指标，括号外数值为水温≤12℃时的控制指标。</w:t>
            </w:r>
          </w:p>
          <w:p>
            <w:pPr>
              <w:spacing w:beforeLines="0" w:afterLines="0" w:line="400" w:lineRule="atLeast"/>
              <w:jc w:val="center"/>
              <w:rPr>
                <w:rFonts w:hint="eastAsia"/>
                <w:b/>
                <w:color w:val="auto"/>
                <w:sz w:val="21"/>
                <w:szCs w:val="21"/>
              </w:rPr>
            </w:pPr>
            <w:r>
              <w:rPr>
                <w:rFonts w:hint="eastAsia" w:eastAsia="宋体"/>
                <w:b/>
                <w:color w:val="auto"/>
                <w:sz w:val="21"/>
                <w:szCs w:val="21"/>
              </w:rPr>
              <w:t>表1</w:t>
            </w:r>
            <w:r>
              <w:rPr>
                <w:rFonts w:hint="eastAsia"/>
                <w:b/>
                <w:color w:val="auto"/>
                <w:sz w:val="21"/>
                <w:szCs w:val="21"/>
              </w:rPr>
              <w:t>-</w:t>
            </w:r>
            <w:r>
              <w:rPr>
                <w:rFonts w:hint="eastAsia" w:eastAsia="宋体"/>
                <w:b/>
                <w:color w:val="auto"/>
                <w:sz w:val="21"/>
                <w:szCs w:val="21"/>
              </w:rPr>
              <w:t>2 苏州特别排放限值标准</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530"/>
              <w:gridCol w:w="1771"/>
              <w:gridCol w:w="1574"/>
              <w:gridCol w:w="1254"/>
              <w:gridCol w:w="651"/>
              <w:gridCol w:w="102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排放口</w:t>
                  </w:r>
                </w:p>
              </w:tc>
              <w:tc>
                <w:tcPr>
                  <w:tcW w:w="181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执行标准</w:t>
                  </w:r>
                </w:p>
              </w:tc>
              <w:tc>
                <w:tcPr>
                  <w:tcW w:w="161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表号及级别</w:t>
                  </w:r>
                </w:p>
              </w:tc>
              <w:tc>
                <w:tcPr>
                  <w:tcW w:w="12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污染物指标</w:t>
                  </w:r>
                </w:p>
              </w:tc>
              <w:tc>
                <w:tcPr>
                  <w:tcW w:w="667"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单位</w:t>
                  </w:r>
                </w:p>
              </w:tc>
              <w:tc>
                <w:tcPr>
                  <w:tcW w:w="1055"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标准限值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restart"/>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lang w:eastAsia="zh-CN"/>
                    </w:rPr>
                    <w:t>苏州市吴江桃源生活污水处理有限公司</w:t>
                  </w:r>
                  <w:r>
                    <w:rPr>
                      <w:rFonts w:hint="eastAsia" w:eastAsia="宋体"/>
                      <w:color w:val="000000"/>
                      <w:sz w:val="18"/>
                      <w:szCs w:val="18"/>
                    </w:rPr>
                    <w:t>排口</w:t>
                  </w:r>
                </w:p>
              </w:tc>
              <w:tc>
                <w:tcPr>
                  <w:tcW w:w="3430" w:type="dxa"/>
                  <w:gridSpan w:val="2"/>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苏州特别排放限值标准</w:t>
                  </w:r>
                </w:p>
              </w:tc>
              <w:tc>
                <w:tcPr>
                  <w:tcW w:w="12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67"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30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343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67"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1.5</w:t>
                  </w:r>
                  <w:r>
                    <w:rPr>
                      <w:rFonts w:hint="eastAsia" w:eastAsia="宋体"/>
                      <w:color w:val="000000"/>
                      <w:sz w:val="18"/>
                      <w:szCs w:val="18"/>
                    </w:rPr>
                    <w:t>（3）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343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67"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0.3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343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8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67"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10</w:t>
                  </w:r>
                </w:p>
              </w:tc>
            </w:tr>
          </w:tbl>
          <w:p>
            <w:pPr>
              <w:adjustRightInd w:val="0"/>
              <w:snapToGrid w:val="0"/>
              <w:spacing w:beforeLines="0" w:afterLines="0" w:line="360" w:lineRule="auto"/>
              <w:rPr>
                <w:rFonts w:hint="eastAsia"/>
                <w:color w:val="auto"/>
                <w:sz w:val="20"/>
                <w:szCs w:val="20"/>
              </w:rPr>
            </w:pPr>
            <w:r>
              <w:rPr>
                <w:rFonts w:hint="eastAsia" w:eastAsia="宋体"/>
                <w:color w:val="auto"/>
                <w:sz w:val="20"/>
                <w:szCs w:val="20"/>
              </w:rPr>
              <w:t>注：</w:t>
            </w:r>
            <w:r>
              <w:rPr>
                <w:rFonts w:hint="eastAsia" w:eastAsia="宋体"/>
                <w:color w:val="auto"/>
                <w:sz w:val="20"/>
                <w:szCs w:val="20"/>
                <w:lang w:eastAsia="zh-CN"/>
              </w:rPr>
              <w:t>苏州市吴江桃源生活污水处理有限公司</w:t>
            </w:r>
            <w:r>
              <w:rPr>
                <w:rFonts w:hint="eastAsia" w:eastAsia="宋体"/>
                <w:color w:val="auto"/>
                <w:sz w:val="20"/>
                <w:szCs w:val="20"/>
              </w:rPr>
              <w:t>排放尾水标准提标后，按苏州特别排放限值标准考核。根据《城镇污水处理厂污染物排放标准》（GB18918-2002）第4.1.4.2款规定，取样频率为至少每</w:t>
            </w:r>
            <w:r>
              <w:rPr>
                <w:rFonts w:hint="eastAsia"/>
                <w:color w:val="auto"/>
                <w:sz w:val="20"/>
                <w:szCs w:val="20"/>
              </w:rPr>
              <w:t>2h</w:t>
            </w:r>
            <w:r>
              <w:rPr>
                <w:rFonts w:hint="eastAsia" w:eastAsia="宋体"/>
                <w:color w:val="auto"/>
                <w:sz w:val="20"/>
                <w:szCs w:val="20"/>
              </w:rPr>
              <w:t>一次，取24h混合样，以日均值计。</w:t>
            </w:r>
          </w:p>
          <w:p>
            <w:pPr>
              <w:adjustRightInd w:val="0"/>
              <w:snapToGrid w:val="0"/>
              <w:spacing w:beforeLines="0" w:afterLines="0" w:line="360" w:lineRule="auto"/>
              <w:ind w:firstLine="482" w:firstLineChars="200"/>
              <w:rPr>
                <w:rFonts w:hint="eastAsia"/>
                <w:b/>
                <w:sz w:val="24"/>
                <w:szCs w:val="24"/>
              </w:rPr>
            </w:pPr>
            <w:r>
              <w:rPr>
                <w:rFonts w:hint="eastAsia"/>
                <w:b/>
                <w:sz w:val="24"/>
                <w:szCs w:val="24"/>
              </w:rPr>
              <w:t>(2)</w:t>
            </w:r>
            <w:r>
              <w:rPr>
                <w:rFonts w:hint="eastAsia" w:eastAsia="宋体"/>
                <w:b/>
                <w:sz w:val="24"/>
                <w:szCs w:val="24"/>
              </w:rPr>
              <w:t>废气</w:t>
            </w:r>
          </w:p>
          <w:p>
            <w:pPr>
              <w:adjustRightInd w:val="0"/>
              <w:snapToGrid w:val="0"/>
              <w:spacing w:beforeLines="0" w:afterLines="0" w:line="360" w:lineRule="auto"/>
              <w:ind w:firstLine="480" w:firstLineChars="200"/>
              <w:rPr>
                <w:rFonts w:hint="eastAsia" w:eastAsia="宋体"/>
                <w:snapToGrid w:val="0"/>
                <w:color w:val="000000"/>
                <w:kern w:val="0"/>
                <w:sz w:val="24"/>
                <w:szCs w:val="24"/>
              </w:rPr>
            </w:pPr>
            <w:r>
              <w:rPr>
                <w:rFonts w:hint="eastAsia" w:eastAsia="宋体"/>
                <w:snapToGrid w:val="0"/>
                <w:color w:val="000000"/>
                <w:kern w:val="0"/>
                <w:sz w:val="24"/>
                <w:szCs w:val="24"/>
              </w:rPr>
              <w:t>项目产生的废气主要为</w:t>
            </w:r>
            <w:r>
              <w:rPr>
                <w:rFonts w:hint="eastAsia" w:eastAsia="宋体"/>
                <w:snapToGrid w:val="0"/>
                <w:color w:val="000000"/>
                <w:kern w:val="0"/>
                <w:sz w:val="24"/>
                <w:szCs w:val="24"/>
                <w:lang w:val="en-US" w:eastAsia="zh-CN"/>
              </w:rPr>
              <w:t>颗粒物</w:t>
            </w:r>
            <w:r>
              <w:rPr>
                <w:rFonts w:hint="eastAsia" w:eastAsia="宋体"/>
                <w:snapToGrid w:val="0"/>
                <w:color w:val="000000"/>
                <w:kern w:val="0"/>
                <w:sz w:val="24"/>
                <w:szCs w:val="24"/>
                <w:lang w:eastAsia="zh-CN"/>
              </w:rPr>
              <w:t>，</w:t>
            </w:r>
            <w:r>
              <w:rPr>
                <w:rFonts w:hint="eastAsia" w:eastAsia="宋体"/>
                <w:snapToGrid w:val="0"/>
                <w:color w:val="000000"/>
                <w:kern w:val="0"/>
                <w:sz w:val="24"/>
                <w:szCs w:val="24"/>
              </w:rPr>
              <w:t>本项目颗粒物排放标准执行《水泥工业大气污染物排放标准》（GB 4915-2013）表2及表3标准</w:t>
            </w:r>
            <w:r>
              <w:rPr>
                <w:rFonts w:hint="eastAsia"/>
                <w:snapToGrid w:val="0"/>
                <w:color w:val="000000"/>
                <w:kern w:val="0"/>
                <w:sz w:val="24"/>
                <w:szCs w:val="24"/>
                <w:lang w:eastAsia="zh-CN"/>
              </w:rPr>
              <w:t>，</w:t>
            </w:r>
            <w:r>
              <w:rPr>
                <w:rFonts w:hint="eastAsia" w:eastAsia="宋体"/>
                <w:snapToGrid w:val="0"/>
                <w:color w:val="000000"/>
                <w:kern w:val="0"/>
                <w:sz w:val="24"/>
                <w:szCs w:val="24"/>
              </w:rPr>
              <w:t>具体限值见表1-3。</w:t>
            </w:r>
          </w:p>
          <w:p>
            <w:pPr>
              <w:pStyle w:val="102"/>
              <w:spacing w:beforeLines="0" w:afterLines="0"/>
              <w:rPr>
                <w:rFonts w:hint="default" w:ascii="Times New Roman" w:hAnsi="Times New Roman" w:eastAsia="宋体" w:cs="Times New Roman"/>
                <w:b/>
                <w:kern w:val="2"/>
                <w:sz w:val="21"/>
                <w:szCs w:val="24"/>
                <w:lang w:val="en-US" w:eastAsia="zh-CN" w:bidi="ar-SA"/>
              </w:rPr>
            </w:pPr>
            <w:r>
              <w:rPr>
                <w:rFonts w:hint="eastAsia" w:ascii="Times New Roman" w:hAnsi="Times New Roman" w:eastAsia="宋体" w:cs="Times New Roman"/>
                <w:b/>
                <w:kern w:val="2"/>
                <w:sz w:val="21"/>
                <w:szCs w:val="24"/>
                <w:lang w:val="en-US" w:eastAsia="zh-CN" w:bidi="ar-SA"/>
              </w:rPr>
              <w:t>表1-3水泥工业大气污染物排放标准</w:t>
            </w:r>
          </w:p>
          <w:tbl>
            <w:tblPr>
              <w:tblStyle w:val="26"/>
              <w:tblW w:w="7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73"/>
              <w:gridCol w:w="1170"/>
              <w:gridCol w:w="1436"/>
              <w:gridCol w:w="1512"/>
              <w:gridCol w:w="15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273"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生产过程</w:t>
                  </w:r>
                </w:p>
              </w:tc>
              <w:tc>
                <w:tcPr>
                  <w:tcW w:w="1170" w:type="dxa"/>
                  <w:vMerge w:val="restart"/>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生产设备</w:t>
                  </w:r>
                </w:p>
              </w:tc>
              <w:tc>
                <w:tcPr>
                  <w:tcW w:w="1436" w:type="dxa"/>
                  <w:vMerge w:val="restart"/>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颗粒物</w:t>
                  </w:r>
                </w:p>
              </w:tc>
              <w:tc>
                <w:tcPr>
                  <w:tcW w:w="3059"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p>
              </w:tc>
              <w:tc>
                <w:tcPr>
                  <w:tcW w:w="117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p>
              </w:tc>
              <w:tc>
                <w:tcPr>
                  <w:tcW w:w="1436"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p>
              </w:tc>
              <w:tc>
                <w:tcPr>
                  <w:tcW w:w="15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污染物</w:t>
                  </w:r>
                </w:p>
              </w:tc>
              <w:tc>
                <w:tcPr>
                  <w:tcW w:w="1547"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浓度（mg/m</w:t>
                  </w:r>
                  <w:r>
                    <w:rPr>
                      <w:rFonts w:hint="default" w:ascii="Times New Roman" w:hAnsi="Times New Roman" w:eastAsia="宋体" w:cs="Times New Roman"/>
                      <w:sz w:val="18"/>
                      <w:szCs w:val="18"/>
                    </w:rPr>
                    <w:t>3</w:t>
                  </w:r>
                  <w:r>
                    <w:rPr>
                      <w:rFonts w:hint="eastAsia" w:ascii="Times New Roman" w:hAnsi="Times New Roman" w:eastAsia="宋体"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2273"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散装水泥中转站及水泥制品生产</w:t>
                  </w:r>
                </w:p>
              </w:tc>
              <w:tc>
                <w:tcPr>
                  <w:tcW w:w="117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水泥仓及其他通风生产设备</w:t>
                  </w:r>
                </w:p>
              </w:tc>
              <w:tc>
                <w:tcPr>
                  <w:tcW w:w="1436"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10mg/m</w:t>
                  </w:r>
                  <w:r>
                    <w:rPr>
                      <w:rFonts w:hint="default" w:ascii="Times New Roman" w:hAnsi="Times New Roman" w:eastAsia="宋体" w:cs="Times New Roman"/>
                      <w:sz w:val="18"/>
                      <w:szCs w:val="18"/>
                      <w:vertAlign w:val="superscript"/>
                    </w:rPr>
                    <w:t>3</w:t>
                  </w:r>
                </w:p>
              </w:tc>
              <w:tc>
                <w:tcPr>
                  <w:tcW w:w="151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颗粒物</w:t>
                  </w:r>
                </w:p>
              </w:tc>
              <w:tc>
                <w:tcPr>
                  <w:tcW w:w="1547"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r>
          </w:tbl>
          <w:p>
            <w:pPr>
              <w:snapToGrid w:val="0"/>
              <w:spacing w:beforeLines="0" w:afterLines="0" w:line="360" w:lineRule="auto"/>
              <w:ind w:firstLine="482" w:firstLineChars="200"/>
              <w:rPr>
                <w:rFonts w:hint="eastAsia"/>
                <w:sz w:val="24"/>
                <w:szCs w:val="24"/>
              </w:rPr>
            </w:pPr>
            <w:r>
              <w:rPr>
                <w:rFonts w:hint="eastAsia"/>
                <w:b/>
                <w:sz w:val="24"/>
                <w:szCs w:val="24"/>
              </w:rPr>
              <w:t>(3)</w:t>
            </w:r>
            <w:r>
              <w:rPr>
                <w:rFonts w:hint="eastAsia" w:eastAsia="宋体"/>
                <w:b/>
                <w:sz w:val="24"/>
                <w:szCs w:val="24"/>
              </w:rPr>
              <w:t>噪声</w:t>
            </w:r>
          </w:p>
          <w:p>
            <w:pPr>
              <w:adjustRightInd w:val="0"/>
              <w:snapToGrid w:val="0"/>
              <w:spacing w:beforeLines="0" w:afterLines="0" w:line="360" w:lineRule="auto"/>
              <w:ind w:firstLine="480" w:firstLineChars="200"/>
              <w:rPr>
                <w:rFonts w:hint="eastAsia"/>
                <w:b/>
                <w:sz w:val="24"/>
                <w:szCs w:val="24"/>
              </w:rPr>
            </w:pPr>
            <w:r>
              <w:rPr>
                <w:rFonts w:hint="eastAsia" w:eastAsia="宋体"/>
                <w:snapToGrid w:val="0"/>
                <w:color w:val="000000"/>
                <w:kern w:val="0"/>
                <w:sz w:val="24"/>
                <w:szCs w:val="24"/>
              </w:rPr>
              <w:t>项目厂界噪声执行《工业企业厂界环境噪声排放标准》（GB12348-2008）2类标准，具体限值见表1-5。</w:t>
            </w:r>
          </w:p>
          <w:p>
            <w:pPr>
              <w:spacing w:beforeLines="0" w:afterLines="0" w:line="360" w:lineRule="exact"/>
              <w:jc w:val="center"/>
              <w:rPr>
                <w:rFonts w:hint="eastAsia"/>
                <w:b/>
                <w:sz w:val="21"/>
                <w:szCs w:val="24"/>
              </w:rPr>
            </w:pPr>
            <w:r>
              <w:rPr>
                <w:rFonts w:hint="eastAsia" w:eastAsia="宋体"/>
                <w:b/>
                <w:sz w:val="21"/>
                <w:szCs w:val="24"/>
              </w:rPr>
              <w:t>表1-5  噪声污染物排放标准（单位：dB（A））</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062"/>
              <w:gridCol w:w="4470"/>
              <w:gridCol w:w="735"/>
              <w:gridCol w:w="840"/>
              <w:gridCol w:w="70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62" w:type="dxa"/>
                  <w:vMerge w:val="restart"/>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厂界名</w:t>
                  </w:r>
                </w:p>
              </w:tc>
              <w:tc>
                <w:tcPr>
                  <w:tcW w:w="447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执行标准</w:t>
                  </w:r>
                </w:p>
              </w:tc>
              <w:tc>
                <w:tcPr>
                  <w:tcW w:w="73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级别</w:t>
                  </w:r>
                </w:p>
              </w:tc>
              <w:tc>
                <w:tcPr>
                  <w:tcW w:w="1542" w:type="dxa"/>
                  <w:gridSpan w:val="2"/>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sz w:val="18"/>
                      <w:szCs w:val="18"/>
                    </w:rPr>
                  </w:pPr>
                  <w:r>
                    <w:rPr>
                      <w:rFonts w:hint="eastAsia" w:eastAsia="宋体"/>
                      <w:sz w:val="18"/>
                      <w:szCs w:val="18"/>
                    </w:rPr>
                    <w:t>标准限值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62"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sz w:val="18"/>
                      <w:szCs w:val="18"/>
                    </w:rPr>
                  </w:pPr>
                </w:p>
              </w:tc>
              <w:tc>
                <w:tcPr>
                  <w:tcW w:w="447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sz w:val="18"/>
                      <w:szCs w:val="18"/>
                    </w:rPr>
                  </w:pPr>
                </w:p>
              </w:tc>
              <w:tc>
                <w:tcPr>
                  <w:tcW w:w="73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sz w:val="18"/>
                      <w:szCs w:val="18"/>
                    </w:rPr>
                  </w:pPr>
                </w:p>
              </w:tc>
              <w:tc>
                <w:tcPr>
                  <w:tcW w:w="840"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昼</w:t>
                  </w:r>
                </w:p>
              </w:tc>
              <w:tc>
                <w:tcPr>
                  <w:tcW w:w="702"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sz w:val="18"/>
                      <w:szCs w:val="18"/>
                    </w:rPr>
                  </w:pPr>
                  <w:r>
                    <w:rPr>
                      <w:rFonts w:hint="eastAsia" w:eastAsia="宋体"/>
                      <w:sz w:val="18"/>
                      <w:szCs w:val="18"/>
                    </w:rPr>
                    <w:t>夜</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62" w:type="dxa"/>
                  <w:tcBorders>
                    <w:top w:val="single" w:color="auto" w:sz="8" w:space="0"/>
                    <w:left w:val="nil"/>
                    <w:bottom w:val="single" w:color="auto" w:sz="12"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厂界外1m</w:t>
                  </w:r>
                </w:p>
              </w:tc>
              <w:tc>
                <w:tcPr>
                  <w:tcW w:w="4470" w:type="dxa"/>
                  <w:tcBorders>
                    <w:top w:val="single" w:color="auto" w:sz="8" w:space="0"/>
                    <w:left w:val="single" w:color="auto" w:sz="8" w:space="0"/>
                    <w:bottom w:val="single" w:color="auto" w:sz="12"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《工业企业厂界环境噪声排放标准》（GB12348-2008）</w:t>
                  </w:r>
                </w:p>
              </w:tc>
              <w:tc>
                <w:tcPr>
                  <w:tcW w:w="735" w:type="dxa"/>
                  <w:tcBorders>
                    <w:top w:val="single" w:color="auto" w:sz="8" w:space="0"/>
                    <w:left w:val="single" w:color="auto" w:sz="8" w:space="0"/>
                    <w:bottom w:val="single" w:color="auto" w:sz="12"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2类</w:t>
                  </w:r>
                </w:p>
              </w:tc>
              <w:tc>
                <w:tcPr>
                  <w:tcW w:w="840" w:type="dxa"/>
                  <w:tcBorders>
                    <w:top w:val="single" w:color="auto" w:sz="8" w:space="0"/>
                    <w:left w:val="single" w:color="auto" w:sz="8" w:space="0"/>
                    <w:bottom w:val="single" w:color="auto" w:sz="12" w:space="0"/>
                    <w:right w:val="single" w:color="auto" w:sz="8" w:space="0"/>
                    <w:tl2br w:val="nil"/>
                    <w:tr2bl w:val="nil"/>
                  </w:tcBorders>
                  <w:noWrap w:val="0"/>
                  <w:vAlign w:val="center"/>
                </w:tcPr>
                <w:p>
                  <w:pPr>
                    <w:spacing w:beforeLines="0" w:afterLines="0"/>
                    <w:jc w:val="center"/>
                    <w:rPr>
                      <w:rFonts w:hint="eastAsia"/>
                      <w:sz w:val="18"/>
                      <w:szCs w:val="18"/>
                    </w:rPr>
                  </w:pPr>
                  <w:r>
                    <w:rPr>
                      <w:rFonts w:hint="eastAsia" w:eastAsia="宋体"/>
                      <w:sz w:val="18"/>
                      <w:szCs w:val="18"/>
                    </w:rPr>
                    <w:t>60</w:t>
                  </w:r>
                </w:p>
              </w:tc>
              <w:tc>
                <w:tcPr>
                  <w:tcW w:w="702" w:type="dxa"/>
                  <w:tcBorders>
                    <w:top w:val="single" w:color="auto" w:sz="8" w:space="0"/>
                    <w:left w:val="single" w:color="auto" w:sz="8" w:space="0"/>
                    <w:bottom w:val="single" w:color="auto" w:sz="12" w:space="0"/>
                    <w:right w:val="nil"/>
                    <w:tl2br w:val="nil"/>
                    <w:tr2bl w:val="nil"/>
                  </w:tcBorders>
                  <w:noWrap w:val="0"/>
                  <w:vAlign w:val="center"/>
                </w:tcPr>
                <w:p>
                  <w:pPr>
                    <w:spacing w:beforeLines="0" w:afterLines="0"/>
                    <w:jc w:val="center"/>
                    <w:rPr>
                      <w:rFonts w:hint="eastAsia"/>
                      <w:sz w:val="18"/>
                      <w:szCs w:val="18"/>
                    </w:rPr>
                  </w:pPr>
                  <w:r>
                    <w:rPr>
                      <w:rFonts w:hint="eastAsia" w:eastAsia="宋体"/>
                      <w:sz w:val="18"/>
                      <w:szCs w:val="18"/>
                    </w:rPr>
                    <w:t>50</w:t>
                  </w:r>
                </w:p>
              </w:tc>
            </w:tr>
          </w:tbl>
          <w:p>
            <w:pPr>
              <w:snapToGrid w:val="0"/>
              <w:spacing w:before="120" w:beforeLines="0" w:afterLines="0" w:line="360" w:lineRule="auto"/>
              <w:ind w:firstLine="482" w:firstLineChars="200"/>
              <w:rPr>
                <w:rFonts w:hint="eastAsia"/>
                <w:b/>
                <w:sz w:val="24"/>
                <w:szCs w:val="24"/>
              </w:rPr>
            </w:pPr>
            <w:r>
              <w:rPr>
                <w:rFonts w:hint="eastAsia"/>
                <w:b/>
                <w:sz w:val="24"/>
                <w:szCs w:val="24"/>
              </w:rPr>
              <w:t>(4)</w:t>
            </w:r>
            <w:r>
              <w:rPr>
                <w:rFonts w:hint="eastAsia" w:eastAsia="宋体"/>
                <w:b/>
                <w:sz w:val="24"/>
                <w:szCs w:val="24"/>
              </w:rPr>
              <w:t>固体废弃物</w:t>
            </w:r>
          </w:p>
          <w:p>
            <w:pPr>
              <w:adjustRightInd w:val="0"/>
              <w:snapToGrid w:val="0"/>
              <w:spacing w:beforeLines="0" w:afterLines="0" w:line="360" w:lineRule="auto"/>
              <w:ind w:firstLine="480" w:firstLineChars="200"/>
              <w:rPr>
                <w:rFonts w:hint="eastAsia"/>
                <w:snapToGrid w:val="0"/>
                <w:kern w:val="0"/>
                <w:sz w:val="24"/>
                <w:szCs w:val="24"/>
              </w:rPr>
            </w:pPr>
            <w:r>
              <w:rPr>
                <w:rFonts w:hint="eastAsia" w:eastAsia="宋体"/>
                <w:snapToGrid w:val="0"/>
                <w:color w:val="000000"/>
                <w:kern w:val="0"/>
                <w:sz w:val="24"/>
                <w:szCs w:val="24"/>
              </w:rPr>
              <w:t>项目产生的一般工业固体废物贮存按照《一般工业固体废物贮存、处置场污染控制标准》（GB18599-2001）</w:t>
            </w:r>
            <w:r>
              <w:rPr>
                <w:rFonts w:hint="eastAsia" w:eastAsia="宋体"/>
                <w:color w:val="000000"/>
                <w:sz w:val="24"/>
                <w:szCs w:val="24"/>
              </w:rPr>
              <w:t>及其修改单要求进行设置</w:t>
            </w:r>
            <w:r>
              <w:rPr>
                <w:rFonts w:hint="eastAsia" w:eastAsia="宋体"/>
                <w:snapToGrid w:val="0"/>
                <w:color w:val="000000"/>
                <w:kern w:val="0"/>
                <w:sz w:val="24"/>
                <w:szCs w:val="24"/>
              </w:rPr>
              <w:t>，危险固废应按照《危险废物贮存污染控制标准》（GB18597-2001）</w:t>
            </w:r>
            <w:r>
              <w:rPr>
                <w:rFonts w:hint="eastAsia" w:eastAsia="宋体"/>
                <w:color w:val="000000"/>
                <w:sz w:val="24"/>
                <w:szCs w:val="24"/>
              </w:rPr>
              <w:t>及其修改单要求进行设置、</w:t>
            </w:r>
            <w:r>
              <w:rPr>
                <w:rFonts w:hint="eastAsia" w:eastAsia="宋体"/>
                <w:snapToGrid w:val="0"/>
                <w:color w:val="000000"/>
                <w:kern w:val="0"/>
                <w:sz w:val="24"/>
                <w:szCs w:val="24"/>
              </w:rPr>
              <w:t>《关于修订&lt;危险废物贮存污染控制标准&gt;有关意见的复函》（环函[2010]264）及《危险废物收集储存运输技术规范》（HJ2025-2012）中相关规定要求进行危险废物的包装、贮存设施的选址、设计、运行、安全防护、监测和关闭等要求进行合理的贮存。</w:t>
            </w:r>
          </w:p>
          <w:p>
            <w:pPr>
              <w:snapToGrid w:val="0"/>
              <w:spacing w:before="120" w:beforeLines="0" w:afterLines="0" w:line="360" w:lineRule="auto"/>
              <w:ind w:firstLine="482" w:firstLineChars="200"/>
              <w:rPr>
                <w:rFonts w:hint="eastAsia"/>
                <w:b/>
                <w:sz w:val="24"/>
                <w:szCs w:val="24"/>
              </w:rPr>
            </w:pPr>
            <w:r>
              <w:rPr>
                <w:rFonts w:hint="eastAsia"/>
                <w:b/>
                <w:sz w:val="24"/>
                <w:szCs w:val="24"/>
              </w:rPr>
              <w:t>(</w:t>
            </w:r>
            <w:r>
              <w:rPr>
                <w:rFonts w:hint="eastAsia" w:eastAsia="宋体"/>
                <w:b/>
                <w:sz w:val="24"/>
                <w:szCs w:val="24"/>
              </w:rPr>
              <w:t>5</w:t>
            </w:r>
            <w:r>
              <w:rPr>
                <w:rFonts w:hint="eastAsia"/>
                <w:b/>
                <w:sz w:val="24"/>
                <w:szCs w:val="24"/>
              </w:rPr>
              <w:t>)</w:t>
            </w:r>
            <w:r>
              <w:rPr>
                <w:rFonts w:hint="eastAsia" w:eastAsia="宋体"/>
                <w:b/>
                <w:sz w:val="24"/>
                <w:szCs w:val="24"/>
              </w:rPr>
              <w:t>排污口规范化要求</w:t>
            </w:r>
          </w:p>
          <w:p>
            <w:pPr>
              <w:spacing w:beforeLines="0" w:afterLines="0" w:line="360" w:lineRule="auto"/>
              <w:ind w:firstLine="480" w:firstLineChars="200"/>
              <w:rPr>
                <w:rFonts w:hint="eastAsia" w:eastAsia="宋体"/>
                <w:sz w:val="24"/>
                <w:szCs w:val="24"/>
              </w:rPr>
            </w:pPr>
            <w:r>
              <w:rPr>
                <w:rFonts w:hint="eastAsia" w:eastAsia="宋体"/>
                <w:sz w:val="24"/>
                <w:szCs w:val="24"/>
              </w:rPr>
              <w:t>排污口应规范化，执行《排污口规范化整治技术要求》、《环境保护图形标志》相关规定。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8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r>
              <w:rPr>
                <w:rFonts w:hint="eastAsia" w:eastAsia="宋体"/>
                <w:b/>
                <w:sz w:val="24"/>
                <w:szCs w:val="24"/>
              </w:rPr>
              <w:t>污染物总量指标</w:t>
            </w:r>
          </w:p>
          <w:p>
            <w:pPr>
              <w:spacing w:beforeLines="0" w:afterLines="0" w:line="360" w:lineRule="auto"/>
              <w:jc w:val="center"/>
              <w:rPr>
                <w:rFonts w:hint="eastAsia"/>
                <w:b/>
                <w:sz w:val="24"/>
                <w:szCs w:val="24"/>
              </w:rPr>
            </w:pPr>
          </w:p>
        </w:tc>
        <w:tc>
          <w:tcPr>
            <w:tcW w:w="8025" w:type="dxa"/>
            <w:gridSpan w:val="5"/>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360" w:lineRule="auto"/>
              <w:rPr>
                <w:rFonts w:hint="eastAsia"/>
                <w:b/>
                <w:sz w:val="24"/>
                <w:szCs w:val="24"/>
              </w:rPr>
            </w:pPr>
            <w:r>
              <w:rPr>
                <w:rFonts w:hint="eastAsia" w:eastAsia="宋体"/>
                <w:b/>
                <w:sz w:val="24"/>
                <w:szCs w:val="24"/>
              </w:rPr>
              <w:t>总量控制指标</w:t>
            </w:r>
          </w:p>
          <w:p>
            <w:pPr>
              <w:snapToGrid w:val="0"/>
              <w:spacing w:beforeLines="0" w:afterLines="0" w:line="360" w:lineRule="auto"/>
              <w:ind w:firstLine="482" w:firstLineChars="200"/>
              <w:rPr>
                <w:rFonts w:hint="eastAsia"/>
                <w:b/>
                <w:sz w:val="24"/>
                <w:szCs w:val="24"/>
              </w:rPr>
            </w:pPr>
            <w:r>
              <w:rPr>
                <w:rFonts w:hint="eastAsia"/>
                <w:b/>
                <w:sz w:val="24"/>
                <w:szCs w:val="24"/>
              </w:rPr>
              <w:t>1</w:t>
            </w:r>
            <w:r>
              <w:rPr>
                <w:rFonts w:hint="eastAsia" w:eastAsia="宋体"/>
                <w:b/>
                <w:sz w:val="24"/>
                <w:szCs w:val="24"/>
              </w:rPr>
              <w:t>、总量控制因子</w:t>
            </w:r>
          </w:p>
          <w:p>
            <w:pPr>
              <w:snapToGrid w:val="0"/>
              <w:spacing w:beforeLines="0" w:afterLines="0" w:line="360" w:lineRule="auto"/>
              <w:ind w:firstLine="480" w:firstLineChars="200"/>
              <w:rPr>
                <w:rFonts w:hint="eastAsia"/>
                <w:color w:val="000000"/>
                <w:sz w:val="24"/>
                <w:szCs w:val="24"/>
              </w:rPr>
            </w:pPr>
            <w:r>
              <w:rPr>
                <w:rFonts w:hint="eastAsia" w:eastAsia="宋体"/>
                <w:color w:val="000000"/>
                <w:sz w:val="24"/>
                <w:szCs w:val="24"/>
              </w:rPr>
              <w:t>根据《关于印发江苏省建设项目主要污染物排放总量区域平衡方案审核管理办法的通知》（苏环办[2011]71号），结合本项目排污特征，确定本项目总量控制因子。</w:t>
            </w:r>
          </w:p>
          <w:p>
            <w:pPr>
              <w:snapToGrid w:val="0"/>
              <w:spacing w:beforeLines="0" w:afterLines="0" w:line="360" w:lineRule="auto"/>
              <w:ind w:firstLine="480" w:firstLineChars="200"/>
              <w:rPr>
                <w:rFonts w:hint="eastAsia"/>
                <w:color w:val="000000"/>
                <w:sz w:val="24"/>
                <w:szCs w:val="24"/>
              </w:rPr>
            </w:pPr>
            <w:r>
              <w:rPr>
                <w:rFonts w:hint="eastAsia" w:eastAsia="宋体"/>
                <w:color w:val="000000"/>
                <w:sz w:val="24"/>
                <w:szCs w:val="24"/>
              </w:rPr>
              <w:t>大气污染物总量控制因子：</w:t>
            </w:r>
            <w:r>
              <w:rPr>
                <w:rFonts w:hint="eastAsia" w:eastAsia="宋体"/>
                <w:color w:val="000000"/>
                <w:sz w:val="24"/>
                <w:szCs w:val="24"/>
                <w:lang w:val="en-US" w:eastAsia="zh-CN"/>
              </w:rPr>
              <w:t>颗粒物</w:t>
            </w:r>
            <w:r>
              <w:rPr>
                <w:rFonts w:hint="eastAsia" w:eastAsia="宋体"/>
                <w:color w:val="000000"/>
                <w:sz w:val="24"/>
                <w:szCs w:val="24"/>
              </w:rPr>
              <w:t>；</w:t>
            </w:r>
          </w:p>
          <w:p>
            <w:pPr>
              <w:snapToGrid w:val="0"/>
              <w:spacing w:beforeLines="0" w:afterLines="0" w:line="360" w:lineRule="auto"/>
              <w:ind w:firstLine="480" w:firstLineChars="200"/>
              <w:rPr>
                <w:rFonts w:hint="eastAsia"/>
                <w:b/>
                <w:color w:val="000000"/>
                <w:sz w:val="24"/>
                <w:szCs w:val="24"/>
              </w:rPr>
            </w:pPr>
            <w:r>
              <w:rPr>
                <w:rFonts w:hint="eastAsia" w:eastAsia="宋体"/>
                <w:color w:val="000000"/>
                <w:sz w:val="24"/>
                <w:szCs w:val="24"/>
              </w:rPr>
              <w:t>水污染物总量控制因子：COD、</w:t>
            </w:r>
            <w:r>
              <w:rPr>
                <w:rFonts w:hint="eastAsia"/>
                <w:color w:val="000000"/>
                <w:sz w:val="24"/>
                <w:szCs w:val="24"/>
              </w:rPr>
              <w:t>NH</w:t>
            </w:r>
            <w:r>
              <w:rPr>
                <w:rFonts w:hint="eastAsia"/>
                <w:color w:val="000000"/>
                <w:sz w:val="24"/>
                <w:szCs w:val="24"/>
                <w:vertAlign w:val="subscript"/>
              </w:rPr>
              <w:t>3</w:t>
            </w:r>
            <w:r>
              <w:rPr>
                <w:rFonts w:hint="eastAsia"/>
                <w:color w:val="000000"/>
                <w:sz w:val="24"/>
                <w:szCs w:val="24"/>
              </w:rPr>
              <w:t>-N</w:t>
            </w:r>
            <w:r>
              <w:rPr>
                <w:rFonts w:hint="eastAsia" w:eastAsia="宋体"/>
                <w:color w:val="000000"/>
                <w:sz w:val="24"/>
                <w:szCs w:val="24"/>
              </w:rPr>
              <w:t>；总量考核因子：SS、TP、TN。</w:t>
            </w:r>
          </w:p>
          <w:p>
            <w:pPr>
              <w:snapToGrid w:val="0"/>
              <w:spacing w:beforeLines="0" w:afterLines="0" w:line="360" w:lineRule="auto"/>
              <w:ind w:firstLine="482" w:firstLineChars="200"/>
              <w:rPr>
                <w:rFonts w:hint="eastAsia"/>
                <w:b/>
                <w:sz w:val="24"/>
                <w:szCs w:val="24"/>
              </w:rPr>
            </w:pPr>
            <w:r>
              <w:rPr>
                <w:rFonts w:hint="eastAsia"/>
                <w:b/>
                <w:sz w:val="24"/>
                <w:szCs w:val="24"/>
              </w:rPr>
              <w:t>2</w:t>
            </w:r>
            <w:r>
              <w:rPr>
                <w:rFonts w:hint="eastAsia" w:eastAsia="宋体"/>
                <w:b/>
                <w:sz w:val="24"/>
                <w:szCs w:val="24"/>
              </w:rPr>
              <w:t>、总量控制指标</w:t>
            </w:r>
          </w:p>
          <w:p>
            <w:pPr>
              <w:spacing w:beforeLines="0" w:afterLines="0" w:line="360" w:lineRule="exact"/>
              <w:jc w:val="center"/>
              <w:rPr>
                <w:rFonts w:hint="eastAsia"/>
                <w:b/>
                <w:sz w:val="21"/>
                <w:szCs w:val="21"/>
              </w:rPr>
            </w:pPr>
            <w:r>
              <w:rPr>
                <w:rFonts w:hint="eastAsia" w:eastAsia="宋体"/>
                <w:b/>
                <w:sz w:val="21"/>
                <w:szCs w:val="21"/>
              </w:rPr>
              <w:t>表1</w:t>
            </w:r>
            <w:r>
              <w:rPr>
                <w:rFonts w:hint="eastAsia"/>
                <w:b/>
                <w:sz w:val="21"/>
                <w:szCs w:val="21"/>
              </w:rPr>
              <w:t>-</w:t>
            </w:r>
            <w:r>
              <w:rPr>
                <w:rFonts w:hint="eastAsia" w:eastAsia="宋体"/>
                <w:b/>
                <w:sz w:val="21"/>
                <w:szCs w:val="21"/>
              </w:rPr>
              <w:t xml:space="preserve">6 本项目污染物排放总量控制指标表 </w:t>
            </w:r>
            <w:r>
              <w:rPr>
                <w:rFonts w:hint="eastAsia"/>
                <w:b/>
                <w:sz w:val="21"/>
                <w:szCs w:val="21"/>
              </w:rPr>
              <w:t>t/a</w:t>
            </w:r>
          </w:p>
          <w:tbl>
            <w:tblPr>
              <w:tblStyle w:val="26"/>
              <w:tblW w:w="8018"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5"/>
              <w:gridCol w:w="1311"/>
              <w:gridCol w:w="1482"/>
              <w:gridCol w:w="2144"/>
              <w:gridCol w:w="1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894" w:type="pct"/>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宋体" w:cs="Times New Roman"/>
                      <w:sz w:val="21"/>
                      <w:szCs w:val="24"/>
                    </w:rPr>
                    <w:t>环境要素</w:t>
                  </w:r>
                </w:p>
              </w:tc>
              <w:tc>
                <w:tcPr>
                  <w:tcW w:w="1741" w:type="pct"/>
                  <w:gridSpan w:val="2"/>
                  <w:vMerge w:val="restart"/>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ind w:left="162"/>
                    <w:jc w:val="center"/>
                    <w:rPr>
                      <w:rFonts w:hint="default" w:ascii="Times New Roman" w:hAnsi="Times New Roman" w:cs="Times New Roman"/>
                      <w:sz w:val="21"/>
                      <w:szCs w:val="24"/>
                    </w:rPr>
                  </w:pPr>
                  <w:r>
                    <w:rPr>
                      <w:rFonts w:hint="default" w:ascii="Times New Roman" w:hAnsi="Times New Roman" w:eastAsia="宋体" w:cs="Times New Roman"/>
                      <w:sz w:val="21"/>
                      <w:szCs w:val="24"/>
                    </w:rPr>
                    <w:t>污染物名称</w:t>
                  </w:r>
                </w:p>
              </w:tc>
              <w:tc>
                <w:tcPr>
                  <w:tcW w:w="1336" w:type="pct"/>
                  <w:vMerge w:val="restart"/>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本项目环评排放量t/a</w:t>
                  </w:r>
                </w:p>
              </w:tc>
              <w:tc>
                <w:tcPr>
                  <w:tcW w:w="1026" w:type="pct"/>
                  <w:vMerge w:val="restart"/>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建议申请量t/a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 w:hRule="atLeast"/>
              </w:trPr>
              <w:tc>
                <w:tcPr>
                  <w:tcW w:w="894" w:type="pct"/>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1741" w:type="pct"/>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1336" w:type="pct"/>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1026" w:type="pct"/>
                  <w:vMerge w:val="continue"/>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894" w:type="pct"/>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宋体" w:cs="Times New Roman"/>
                      <w:sz w:val="21"/>
                      <w:szCs w:val="24"/>
                    </w:rPr>
                    <w:t>废水</w:t>
                  </w:r>
                </w:p>
              </w:tc>
              <w:tc>
                <w:tcPr>
                  <w:tcW w:w="817" w:type="pct"/>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宋体" w:cs="Times New Roman"/>
                      <w:sz w:val="21"/>
                      <w:szCs w:val="24"/>
                    </w:rPr>
                    <w:t>生活污水</w:t>
                  </w: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line="240" w:lineRule="exact"/>
                    <w:jc w:val="center"/>
                    <w:rPr>
                      <w:rFonts w:hint="default" w:ascii="Times New Roman" w:hAnsi="Times New Roman" w:cs="Times New Roman"/>
                      <w:sz w:val="21"/>
                      <w:szCs w:val="24"/>
                    </w:rPr>
                  </w:pPr>
                  <w:r>
                    <w:rPr>
                      <w:rFonts w:hint="default" w:ascii="Times New Roman" w:hAnsi="Times New Roman" w:eastAsia="宋体" w:cs="Times New Roman"/>
                      <w:sz w:val="21"/>
                      <w:szCs w:val="24"/>
                    </w:rPr>
                    <w:t>废水量</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153</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894" w:type="pct"/>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817" w:type="pct"/>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atLeast"/>
                    <w:jc w:val="center"/>
                    <w:rPr>
                      <w:rFonts w:hint="default" w:ascii="Times New Roman" w:hAnsi="Times New Roman" w:cs="Times New Roman"/>
                      <w:sz w:val="21"/>
                      <w:szCs w:val="24"/>
                    </w:rPr>
                  </w:pPr>
                  <w:r>
                    <w:rPr>
                      <w:rFonts w:hint="default" w:ascii="Times New Roman" w:hAnsi="Times New Roman" w:cs="Times New Roman"/>
                      <w:sz w:val="21"/>
                      <w:szCs w:val="24"/>
                    </w:rPr>
                    <w:t>COD</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bottom"/>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0.055</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894" w:type="pct"/>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817" w:type="pct"/>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atLeast"/>
                    <w:jc w:val="center"/>
                    <w:rPr>
                      <w:rFonts w:hint="default" w:ascii="Times New Roman" w:hAnsi="Times New Roman" w:cs="Times New Roman"/>
                      <w:sz w:val="21"/>
                      <w:szCs w:val="24"/>
                    </w:rPr>
                  </w:pPr>
                  <w:r>
                    <w:rPr>
                      <w:rFonts w:hint="default" w:ascii="Times New Roman" w:hAnsi="Times New Roman" w:cs="Times New Roman"/>
                      <w:sz w:val="21"/>
                      <w:szCs w:val="24"/>
                    </w:rPr>
                    <w:t>SS</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bottom"/>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0.031</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894" w:type="pct"/>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817" w:type="pct"/>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atLeast"/>
                    <w:jc w:val="center"/>
                    <w:rPr>
                      <w:rFonts w:hint="default" w:ascii="Times New Roman" w:hAnsi="Times New Roman" w:cs="Times New Roman"/>
                      <w:sz w:val="21"/>
                      <w:szCs w:val="24"/>
                    </w:rPr>
                  </w:pPr>
                  <w:r>
                    <w:rPr>
                      <w:rFonts w:hint="default" w:ascii="Times New Roman" w:hAnsi="Times New Roman" w:eastAsia="宋体" w:cs="Times New Roman"/>
                      <w:sz w:val="21"/>
                      <w:szCs w:val="24"/>
                    </w:rPr>
                    <w:t>氨氮</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bottom"/>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0.005</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894" w:type="pct"/>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817" w:type="pct"/>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atLeast"/>
                    <w:jc w:val="center"/>
                    <w:rPr>
                      <w:rFonts w:hint="default" w:ascii="Times New Roman" w:hAnsi="Times New Roman" w:cs="Times New Roman"/>
                      <w:sz w:val="21"/>
                      <w:szCs w:val="24"/>
                    </w:rPr>
                  </w:pPr>
                  <w:r>
                    <w:rPr>
                      <w:rFonts w:hint="default" w:ascii="Times New Roman" w:hAnsi="Times New Roman" w:eastAsia="宋体" w:cs="Times New Roman"/>
                      <w:sz w:val="21"/>
                      <w:szCs w:val="24"/>
                    </w:rPr>
                    <w:t>总氮</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bottom"/>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0.007</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894" w:type="pct"/>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817" w:type="pct"/>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atLeast"/>
                    <w:jc w:val="center"/>
                    <w:rPr>
                      <w:rFonts w:hint="default" w:ascii="Times New Roman" w:hAnsi="Times New Roman" w:cs="Times New Roman"/>
                      <w:sz w:val="21"/>
                      <w:szCs w:val="24"/>
                    </w:rPr>
                  </w:pPr>
                  <w:r>
                    <w:rPr>
                      <w:rFonts w:hint="default" w:ascii="Times New Roman" w:hAnsi="Times New Roman" w:eastAsia="宋体" w:cs="Times New Roman"/>
                      <w:sz w:val="21"/>
                      <w:szCs w:val="24"/>
                    </w:rPr>
                    <w:t>总磷</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bottom"/>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0.001</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3" w:hRule="atLeast"/>
              </w:trPr>
              <w:tc>
                <w:tcPr>
                  <w:tcW w:w="894" w:type="pc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宋体" w:cs="Times New Roman"/>
                      <w:sz w:val="21"/>
                      <w:szCs w:val="24"/>
                    </w:rPr>
                    <w:t>废气</w:t>
                  </w:r>
                </w:p>
              </w:tc>
              <w:tc>
                <w:tcPr>
                  <w:tcW w:w="17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宋体" w:cs="Times New Roman"/>
                      <w:sz w:val="21"/>
                      <w:szCs w:val="24"/>
                    </w:rPr>
                    <w:t>颗粒物</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val="en-US" w:eastAsia="zh-CN"/>
                    </w:rPr>
                  </w:pPr>
                  <w:r>
                    <w:rPr>
                      <w:rFonts w:hint="default" w:ascii="Times New Roman" w:hAnsi="Times New Roman" w:cs="Times New Roman"/>
                      <w:kern w:val="0"/>
                      <w:sz w:val="21"/>
                      <w:szCs w:val="24"/>
                    </w:rPr>
                    <w:t>0.</w:t>
                  </w:r>
                  <w:r>
                    <w:rPr>
                      <w:rFonts w:hint="eastAsia" w:cs="Times New Roman"/>
                      <w:kern w:val="0"/>
                      <w:sz w:val="21"/>
                      <w:szCs w:val="24"/>
                      <w:lang w:val="en-US" w:eastAsia="zh-CN"/>
                    </w:rPr>
                    <w:t>388</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trPr>
              <w:tc>
                <w:tcPr>
                  <w:tcW w:w="894" w:type="pct"/>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eastAsia="宋体" w:cs="Times New Roman"/>
                      <w:sz w:val="21"/>
                      <w:szCs w:val="24"/>
                    </w:rPr>
                    <w:t>固</w:t>
                  </w:r>
                  <w:r>
                    <w:rPr>
                      <w:rFonts w:hint="default" w:ascii="Times New Roman" w:hAnsi="Times New Roman" w:cs="Times New Roman"/>
                      <w:sz w:val="21"/>
                      <w:szCs w:val="24"/>
                    </w:rPr>
                    <w:t xml:space="preserve"> </w:t>
                  </w:r>
                  <w:r>
                    <w:rPr>
                      <w:rFonts w:hint="default" w:ascii="Times New Roman" w:hAnsi="Times New Roman" w:eastAsia="宋体" w:cs="Times New Roman"/>
                      <w:sz w:val="21"/>
                      <w:szCs w:val="24"/>
                    </w:rPr>
                    <w:t>废</w:t>
                  </w:r>
                </w:p>
              </w:tc>
              <w:tc>
                <w:tcPr>
                  <w:tcW w:w="174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line="240" w:lineRule="exact"/>
                    <w:jc w:val="center"/>
                    <w:rPr>
                      <w:rFonts w:hint="default" w:ascii="Times New Roman" w:hAnsi="Times New Roman" w:cs="Times New Roman"/>
                      <w:sz w:val="21"/>
                      <w:szCs w:val="24"/>
                    </w:rPr>
                  </w:pPr>
                  <w:r>
                    <w:rPr>
                      <w:rFonts w:hint="default" w:ascii="Times New Roman" w:hAnsi="Times New Roman" w:eastAsia="宋体" w:cs="Times New Roman"/>
                      <w:sz w:val="21"/>
                      <w:szCs w:val="24"/>
                    </w:rPr>
                    <w:t>一般固废</w:t>
                  </w:r>
                </w:p>
              </w:tc>
              <w:tc>
                <w:tcPr>
                  <w:tcW w:w="1336"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0</w:t>
                  </w:r>
                </w:p>
              </w:tc>
              <w:tc>
                <w:tcPr>
                  <w:tcW w:w="1026" w:type="pct"/>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trPr>
              <w:tc>
                <w:tcPr>
                  <w:tcW w:w="894" w:type="pct"/>
                  <w:vMerge w:val="continue"/>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p>
              </w:tc>
              <w:tc>
                <w:tcPr>
                  <w:tcW w:w="1741" w:type="pct"/>
                  <w:gridSpan w:val="2"/>
                  <w:tcBorders>
                    <w:top w:val="single" w:color="auto" w:sz="6" w:space="0"/>
                    <w:left w:val="single" w:color="auto" w:sz="6" w:space="0"/>
                    <w:bottom w:val="single" w:color="auto" w:sz="12" w:space="0"/>
                    <w:right w:val="single" w:color="auto" w:sz="6" w:space="0"/>
                    <w:tl2br w:val="nil"/>
                    <w:tr2bl w:val="nil"/>
                  </w:tcBorders>
                  <w:noWrap w:val="0"/>
                  <w:vAlign w:val="center"/>
                </w:tcPr>
                <w:p>
                  <w:pPr>
                    <w:adjustRightInd w:val="0"/>
                    <w:snapToGrid w:val="0"/>
                    <w:spacing w:beforeLines="0" w:afterLines="0" w:line="240" w:lineRule="exact"/>
                    <w:jc w:val="center"/>
                    <w:rPr>
                      <w:rFonts w:hint="default" w:ascii="Times New Roman" w:hAnsi="Times New Roman" w:cs="Times New Roman"/>
                      <w:sz w:val="21"/>
                      <w:szCs w:val="24"/>
                    </w:rPr>
                  </w:pPr>
                  <w:r>
                    <w:rPr>
                      <w:rFonts w:hint="default" w:ascii="Times New Roman" w:hAnsi="Times New Roman" w:eastAsia="宋体" w:cs="Times New Roman"/>
                      <w:sz w:val="21"/>
                      <w:szCs w:val="24"/>
                    </w:rPr>
                    <w:t>生活垃圾</w:t>
                  </w:r>
                </w:p>
              </w:tc>
              <w:tc>
                <w:tcPr>
                  <w:tcW w:w="1336" w:type="pct"/>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imes New Roman" w:hAnsi="Times New Roman" w:cs="Times New Roman"/>
                      <w:sz w:val="21"/>
                      <w:szCs w:val="24"/>
                    </w:rPr>
                  </w:pPr>
                  <w:r>
                    <w:rPr>
                      <w:rFonts w:hint="default" w:ascii="Times New Roman" w:hAnsi="Times New Roman" w:cs="Times New Roman"/>
                      <w:sz w:val="21"/>
                      <w:szCs w:val="24"/>
                    </w:rPr>
                    <w:t>0</w:t>
                  </w:r>
                </w:p>
              </w:tc>
              <w:tc>
                <w:tcPr>
                  <w:tcW w:w="1026" w:type="pct"/>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default" w:ascii="Times New Roman" w:hAnsi="Times New Roman" w:eastAsia="宋体" w:cs="Times New Roman"/>
                      <w:sz w:val="21"/>
                      <w:szCs w:val="24"/>
                      <w:lang w:eastAsia="zh-CN"/>
                    </w:rPr>
                  </w:pPr>
                  <w:r>
                    <w:rPr>
                      <w:rFonts w:hint="default" w:ascii="Times New Roman" w:hAnsi="Times New Roman" w:cs="Times New Roman"/>
                      <w:sz w:val="21"/>
                      <w:szCs w:val="24"/>
                      <w:lang w:val="en-US" w:eastAsia="zh-CN"/>
                    </w:rPr>
                    <w:t>/</w:t>
                  </w:r>
                </w:p>
              </w:tc>
            </w:tr>
          </w:tbl>
          <w:p>
            <w:pPr>
              <w:spacing w:beforeLines="0" w:afterLines="0" w:line="360" w:lineRule="auto"/>
              <w:ind w:firstLine="482" w:firstLineChars="200"/>
              <w:rPr>
                <w:rFonts w:hint="eastAsia"/>
                <w:b/>
                <w:sz w:val="24"/>
                <w:szCs w:val="24"/>
              </w:rPr>
            </w:pPr>
            <w:r>
              <w:rPr>
                <w:rFonts w:hint="eastAsia"/>
                <w:b/>
                <w:sz w:val="24"/>
                <w:szCs w:val="24"/>
              </w:rPr>
              <w:t>3</w:t>
            </w:r>
            <w:r>
              <w:rPr>
                <w:rFonts w:hint="eastAsia" w:eastAsia="宋体"/>
                <w:b/>
                <w:sz w:val="24"/>
                <w:szCs w:val="24"/>
              </w:rPr>
              <w:t>、总量平衡方案</w:t>
            </w:r>
          </w:p>
          <w:p>
            <w:pPr>
              <w:snapToGrid w:val="0"/>
              <w:spacing w:beforeLines="0" w:afterLines="0" w:line="360" w:lineRule="auto"/>
              <w:ind w:firstLine="480" w:firstLineChars="200"/>
              <w:rPr>
                <w:rFonts w:hint="eastAsia"/>
                <w:color w:val="000000"/>
                <w:sz w:val="24"/>
                <w:szCs w:val="24"/>
              </w:rPr>
            </w:pPr>
            <w:r>
              <w:rPr>
                <w:rFonts w:hint="eastAsia" w:eastAsia="宋体"/>
                <w:color w:val="000000"/>
                <w:sz w:val="24"/>
                <w:szCs w:val="24"/>
              </w:rPr>
              <w:t>大气污染物总量控制因子</w:t>
            </w:r>
            <w:r>
              <w:rPr>
                <w:rFonts w:hint="eastAsia" w:eastAsia="宋体"/>
                <w:color w:val="000000"/>
                <w:sz w:val="24"/>
                <w:szCs w:val="24"/>
                <w:lang w:val="en-US" w:eastAsia="zh-CN"/>
              </w:rPr>
              <w:t>颗粒物</w:t>
            </w:r>
            <w:r>
              <w:rPr>
                <w:rFonts w:hint="eastAsia" w:eastAsia="宋体"/>
                <w:color w:val="000000"/>
                <w:sz w:val="24"/>
                <w:szCs w:val="24"/>
              </w:rPr>
              <w:t>在吴江区域内平衡。本项目不需要申请固体废物排放总量指标。</w:t>
            </w: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sz w:val="24"/>
                <w:szCs w:val="24"/>
              </w:rPr>
            </w:pPr>
          </w:p>
        </w:tc>
      </w:tr>
    </w:tbl>
    <w:p>
      <w:pPr>
        <w:pStyle w:val="8"/>
        <w:rPr>
          <w:b/>
          <w:color w:val="000000"/>
          <w:sz w:val="24"/>
          <w:lang w:val="zh-CN"/>
        </w:rPr>
        <w:sectPr>
          <w:headerReference r:id="rId8" w:type="default"/>
          <w:footerReference r:id="rId9" w:type="default"/>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textAlignment w:val="baseline"/>
        <w:outlineLvl w:val="1"/>
        <w:rPr>
          <w:b/>
          <w:color w:val="000000"/>
          <w:sz w:val="24"/>
          <w:lang w:val="zh-CN"/>
        </w:rPr>
      </w:pPr>
      <w:r>
        <w:rPr>
          <w:b/>
          <w:color w:val="000000"/>
          <w:sz w:val="24"/>
          <w:lang w:val="zh-CN"/>
        </w:rPr>
        <w:t>表</w:t>
      </w:r>
      <w:r>
        <w:rPr>
          <w:rFonts w:hint="eastAsia"/>
          <w:b/>
          <w:color w:val="000000"/>
          <w:sz w:val="24"/>
          <w:lang w:val="en-US" w:eastAsia="zh-CN"/>
        </w:rPr>
        <w:t>二</w:t>
      </w:r>
      <w:r>
        <w:rPr>
          <w:b/>
          <w:color w:val="000000"/>
          <w:sz w:val="24"/>
          <w:lang w:val="zh-CN"/>
        </w:rPr>
        <w:t>、工程建设内容、工艺流程等</w:t>
      </w:r>
      <w:bookmarkEnd w:id="1"/>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205" w:type="dxa"/>
            <w:tcBorders>
              <w:tl2br w:val="nil"/>
              <w:tr2bl w:val="nil"/>
            </w:tcBorders>
            <w:vAlign w:val="top"/>
          </w:tcPr>
          <w:p>
            <w:pPr>
              <w:adjustRightInd w:val="0"/>
              <w:snapToGrid w:val="0"/>
              <w:spacing w:line="360" w:lineRule="auto"/>
              <w:rPr>
                <w:rFonts w:hint="eastAsia" w:eastAsia="宋体"/>
                <w:b/>
                <w:bCs/>
                <w:sz w:val="24"/>
                <w:highlight w:val="none"/>
                <w:lang w:eastAsia="zh-CN"/>
              </w:rPr>
            </w:pPr>
            <w:r>
              <w:rPr>
                <w:b/>
                <w:bCs/>
                <w:sz w:val="24"/>
              </w:rPr>
              <w:t>工</w:t>
            </w:r>
            <w:r>
              <w:rPr>
                <w:b/>
                <w:bCs/>
                <w:sz w:val="24"/>
                <w:highlight w:val="none"/>
              </w:rPr>
              <w:t>程建设内容：</w:t>
            </w:r>
          </w:p>
          <w:p>
            <w:pPr>
              <w:pStyle w:val="19"/>
              <w:tabs>
                <w:tab w:val="left" w:pos="732"/>
              </w:tabs>
              <w:spacing w:beforeLines="0" w:afterLines="0" w:line="360" w:lineRule="auto"/>
              <w:ind w:firstLine="480" w:firstLineChars="200"/>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吴江华茂新型建材有限公司成立于2008年，位于苏州市吴江区桃源镇青云大道588号。主要从事混凝土实心砖、混凝土多孔砖、普通混凝土小型空心砌块生产、销售。（依法须经批准的项目，经相关部门批准后方可开展经营活动）。</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公司发展至今，先后共申报有两期项目，</w:t>
            </w:r>
            <w:r>
              <w:rPr>
                <w:rFonts w:hint="eastAsia" w:eastAsia="宋体"/>
                <w:sz w:val="24"/>
                <w:szCs w:val="24"/>
              </w:rPr>
              <w:t>各期项目的建设情况和环评手续办理情况见表</w:t>
            </w:r>
            <w:r>
              <w:rPr>
                <w:rFonts w:hint="default"/>
                <w:sz w:val="24"/>
                <w:szCs w:val="24"/>
              </w:rPr>
              <w:t>1-7</w:t>
            </w:r>
            <w:r>
              <w:rPr>
                <w:rFonts w:hint="eastAsia" w:eastAsia="宋体"/>
                <w:sz w:val="24"/>
                <w:szCs w:val="24"/>
              </w:rPr>
              <w:t>。</w:t>
            </w:r>
            <w:r>
              <w:rPr>
                <w:rFonts w:hint="eastAsia" w:ascii="Times New Roman" w:hAnsi="宋体" w:eastAsia="宋体"/>
                <w:sz w:val="24"/>
                <w:szCs w:val="24"/>
              </w:rPr>
              <w:t>一期、二期项目均位于吴江桃源铜锣社区富乡村，其中一期项目自取得批复至今未投产，二期项目现已停产，设备均已拆除。</w:t>
            </w:r>
          </w:p>
          <w:p>
            <w:pPr>
              <w:adjustRightInd w:val="0"/>
              <w:snapToGrid w:val="0"/>
              <w:spacing w:line="360" w:lineRule="auto"/>
              <w:ind w:firstLine="480" w:firstLineChars="200"/>
              <w:rPr>
                <w:rFonts w:hint="eastAsia"/>
                <w:sz w:val="24"/>
                <w:highlight w:val="none"/>
                <w:lang w:eastAsia="zh-CN"/>
              </w:rPr>
            </w:pPr>
            <w:r>
              <w:rPr>
                <w:rFonts w:hint="eastAsia"/>
                <w:sz w:val="24"/>
                <w:highlight w:val="none"/>
                <w:lang w:val="en-US" w:eastAsia="zh-CN"/>
              </w:rPr>
              <w:t>具体</w:t>
            </w:r>
            <w:r>
              <w:rPr>
                <w:rFonts w:hint="eastAsia"/>
                <w:sz w:val="24"/>
                <w:highlight w:val="none"/>
                <w:lang w:eastAsia="zh-CN"/>
              </w:rPr>
              <w:t>公司目前存在的项目及其环保执行情况如下</w:t>
            </w:r>
            <w:r>
              <w:rPr>
                <w:rFonts w:hint="eastAsia"/>
                <w:sz w:val="24"/>
                <w:highlight w:val="none"/>
                <w:lang w:val="en-US" w:eastAsia="zh-CN"/>
              </w:rPr>
              <w:t>表2-1</w:t>
            </w:r>
            <w:r>
              <w:rPr>
                <w:rFonts w:hint="eastAsia"/>
                <w:sz w:val="24"/>
                <w:highlight w:val="none"/>
                <w:lang w:eastAsia="zh-CN"/>
              </w:rPr>
              <w:t>：</w:t>
            </w:r>
          </w:p>
          <w:p>
            <w:pPr>
              <w:spacing w:line="360" w:lineRule="exact"/>
              <w:jc w:val="center"/>
              <w:rPr>
                <w:rFonts w:hint="eastAsia" w:cs="Times New Roman"/>
                <w:b/>
                <w:sz w:val="21"/>
                <w:szCs w:val="24"/>
                <w:lang w:val="en-US" w:eastAsia="zh-CN"/>
              </w:rPr>
            </w:pPr>
            <w:r>
              <w:rPr>
                <w:rFonts w:hint="default" w:ascii="Times New Roman" w:hAnsi="Times New Roman" w:eastAsia="宋体" w:cs="Times New Roman"/>
                <w:b/>
                <w:sz w:val="21"/>
                <w:szCs w:val="24"/>
              </w:rPr>
              <w:t>表</w:t>
            </w:r>
            <w:r>
              <w:rPr>
                <w:rFonts w:hint="eastAsia" w:cs="Times New Roman"/>
                <w:b/>
                <w:sz w:val="21"/>
                <w:szCs w:val="24"/>
                <w:lang w:val="en-US" w:eastAsia="zh-CN"/>
              </w:rPr>
              <w:t>2</w:t>
            </w:r>
            <w:r>
              <w:rPr>
                <w:rFonts w:hint="default" w:ascii="Times New Roman" w:hAnsi="Times New Roman" w:eastAsia="宋体" w:cs="Times New Roman"/>
                <w:b/>
                <w:sz w:val="21"/>
                <w:szCs w:val="24"/>
              </w:rPr>
              <w:t>-</w:t>
            </w:r>
            <w:r>
              <w:rPr>
                <w:rFonts w:hint="eastAsia" w:cs="Times New Roman"/>
                <w:b/>
                <w:sz w:val="21"/>
                <w:szCs w:val="24"/>
                <w:lang w:val="en-US" w:eastAsia="zh-CN"/>
              </w:rPr>
              <w:t>1  吴江华茂新型建材有限公司环保手续执行情况</w:t>
            </w:r>
          </w:p>
          <w:tbl>
            <w:tblPr>
              <w:tblStyle w:val="26"/>
              <w:tblW w:w="103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
              <w:gridCol w:w="2048"/>
              <w:gridCol w:w="2213"/>
              <w:gridCol w:w="948"/>
              <w:gridCol w:w="1601"/>
              <w:gridCol w:w="948"/>
              <w:gridCol w:w="1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91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分期</w:t>
                  </w:r>
                </w:p>
              </w:tc>
              <w:tc>
                <w:tcPr>
                  <w:tcW w:w="2048"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项目名称</w:t>
                  </w:r>
                </w:p>
              </w:tc>
              <w:tc>
                <w:tcPr>
                  <w:tcW w:w="2213"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设计规模</w:t>
                  </w:r>
                </w:p>
              </w:tc>
              <w:tc>
                <w:tcPr>
                  <w:tcW w:w="948"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环评</w:t>
                  </w:r>
                </w:p>
                <w:p>
                  <w:pPr>
                    <w:spacing w:beforeLines="0" w:afterLines="0"/>
                    <w:jc w:val="center"/>
                    <w:rPr>
                      <w:rFonts w:hint="default"/>
                      <w:sz w:val="21"/>
                      <w:szCs w:val="24"/>
                    </w:rPr>
                  </w:pPr>
                  <w:r>
                    <w:rPr>
                      <w:rFonts w:hint="eastAsia" w:eastAsia="宋体"/>
                      <w:sz w:val="21"/>
                      <w:szCs w:val="24"/>
                    </w:rPr>
                    <w:t>类别</w:t>
                  </w:r>
                </w:p>
              </w:tc>
              <w:tc>
                <w:tcPr>
                  <w:tcW w:w="1601"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环评</w:t>
                  </w:r>
                </w:p>
                <w:p>
                  <w:pPr>
                    <w:spacing w:beforeLines="0" w:afterLines="0"/>
                    <w:jc w:val="center"/>
                    <w:rPr>
                      <w:rFonts w:hint="default"/>
                      <w:sz w:val="21"/>
                      <w:szCs w:val="24"/>
                    </w:rPr>
                  </w:pPr>
                  <w:r>
                    <w:rPr>
                      <w:rFonts w:hint="eastAsia" w:eastAsia="宋体"/>
                      <w:sz w:val="21"/>
                      <w:szCs w:val="24"/>
                    </w:rPr>
                    <w:t>批复</w:t>
                  </w:r>
                </w:p>
              </w:tc>
              <w:tc>
                <w:tcPr>
                  <w:tcW w:w="948"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环保</w:t>
                  </w:r>
                </w:p>
                <w:p>
                  <w:pPr>
                    <w:spacing w:beforeLines="0" w:afterLines="0"/>
                    <w:jc w:val="center"/>
                    <w:rPr>
                      <w:rFonts w:hint="default"/>
                      <w:sz w:val="21"/>
                      <w:szCs w:val="24"/>
                    </w:rPr>
                  </w:pPr>
                  <w:r>
                    <w:rPr>
                      <w:rFonts w:hint="eastAsia" w:eastAsia="宋体"/>
                      <w:sz w:val="21"/>
                      <w:szCs w:val="24"/>
                    </w:rPr>
                    <w:t>验收</w:t>
                  </w:r>
                </w:p>
              </w:tc>
              <w:tc>
                <w:tcPr>
                  <w:tcW w:w="1646"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91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一期</w:t>
                  </w:r>
                </w:p>
              </w:tc>
              <w:tc>
                <w:tcPr>
                  <w:tcW w:w="20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新型节能环保墙体材料项目</w:t>
                  </w:r>
                </w:p>
              </w:tc>
              <w:tc>
                <w:tcPr>
                  <w:tcW w:w="22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ascii="Times New Roman" w:hAnsi="宋体" w:eastAsia="宋体"/>
                      <w:sz w:val="21"/>
                      <w:szCs w:val="24"/>
                    </w:rPr>
                    <w:t>年产新型节能环保墙体材料80万立方米</w:t>
                  </w: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登记表</w:t>
                  </w:r>
                </w:p>
              </w:tc>
              <w:tc>
                <w:tcPr>
                  <w:tcW w:w="16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吴环建[2008]533号</w:t>
                  </w: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未验收</w:t>
                  </w:r>
                </w:p>
              </w:tc>
              <w:tc>
                <w:tcPr>
                  <w:tcW w:w="16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未投产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2" w:hRule="atLeast"/>
              </w:trPr>
              <w:tc>
                <w:tcPr>
                  <w:tcW w:w="911"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二期</w:t>
                  </w:r>
                </w:p>
              </w:tc>
              <w:tc>
                <w:tcPr>
                  <w:tcW w:w="204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年产混凝土实心砖2万立方米、非承重混凝土空心砖3万立方米项目</w:t>
                  </w:r>
                </w:p>
              </w:tc>
              <w:tc>
                <w:tcPr>
                  <w:tcW w:w="2213"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imes New Roman" w:hAnsi="宋体" w:eastAsia="宋体"/>
                      <w:sz w:val="21"/>
                      <w:szCs w:val="24"/>
                    </w:rPr>
                  </w:pPr>
                  <w:r>
                    <w:rPr>
                      <w:rFonts w:hint="eastAsia" w:ascii="Times New Roman" w:hAnsi="宋体" w:eastAsia="宋体"/>
                      <w:sz w:val="21"/>
                      <w:szCs w:val="24"/>
                    </w:rPr>
                    <w:t>年产混凝土实心砖2万立方米、非承重混凝土空心砖3万立方米</w:t>
                  </w:r>
                </w:p>
              </w:tc>
              <w:tc>
                <w:tcPr>
                  <w:tcW w:w="94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报告表</w:t>
                  </w:r>
                </w:p>
              </w:tc>
              <w:tc>
                <w:tcPr>
                  <w:tcW w:w="1601"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吴环建[2014]500号</w:t>
                  </w:r>
                </w:p>
              </w:tc>
              <w:tc>
                <w:tcPr>
                  <w:tcW w:w="94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sz w:val="21"/>
                      <w:szCs w:val="24"/>
                    </w:rPr>
                  </w:pPr>
                  <w:r>
                    <w:rPr>
                      <w:rFonts w:hint="eastAsia" w:eastAsia="宋体"/>
                      <w:sz w:val="21"/>
                      <w:szCs w:val="24"/>
                    </w:rPr>
                    <w:t>未验收</w:t>
                  </w:r>
                </w:p>
              </w:tc>
              <w:tc>
                <w:tcPr>
                  <w:tcW w:w="16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default"/>
                      <w:sz w:val="21"/>
                      <w:szCs w:val="24"/>
                    </w:rPr>
                  </w:pPr>
                  <w:r>
                    <w:rPr>
                      <w:rFonts w:hint="default"/>
                      <w:sz w:val="21"/>
                      <w:szCs w:val="24"/>
                    </w:rPr>
                    <w:t>——</w:t>
                  </w:r>
                </w:p>
              </w:tc>
            </w:tr>
          </w:tbl>
          <w:p>
            <w:pPr>
              <w:adjustRightInd w:val="0"/>
              <w:snapToGrid w:val="0"/>
              <w:spacing w:line="360" w:lineRule="auto"/>
              <w:ind w:firstLine="480" w:firstLineChars="200"/>
              <w:rPr>
                <w:rFonts w:hint="eastAsia"/>
                <w:color w:val="auto"/>
                <w:sz w:val="24"/>
                <w:highlight w:val="none"/>
                <w:lang w:eastAsia="zh-CN"/>
              </w:rPr>
            </w:pPr>
            <w:r>
              <w:rPr>
                <w:rFonts w:hint="eastAsia"/>
                <w:color w:val="auto"/>
                <w:sz w:val="24"/>
                <w:lang w:val="en-US" w:eastAsia="zh-CN"/>
              </w:rPr>
              <w:t>本次项目</w:t>
            </w:r>
            <w:r>
              <w:rPr>
                <w:rFonts w:hint="eastAsia"/>
                <w:color w:val="auto"/>
                <w:sz w:val="24"/>
                <w:lang w:eastAsia="zh-CN"/>
              </w:rPr>
              <w:t>环评审批过程：20</w:t>
            </w:r>
            <w:r>
              <w:rPr>
                <w:rFonts w:hint="eastAsia"/>
                <w:color w:val="auto"/>
                <w:sz w:val="24"/>
                <w:lang w:val="en-US" w:eastAsia="zh-CN"/>
              </w:rPr>
              <w:t>18</w:t>
            </w:r>
            <w:r>
              <w:rPr>
                <w:rFonts w:hint="eastAsia"/>
                <w:color w:val="auto"/>
                <w:sz w:val="24"/>
                <w:lang w:eastAsia="zh-CN"/>
              </w:rPr>
              <w:t>年</w:t>
            </w:r>
            <w:r>
              <w:rPr>
                <w:rFonts w:hint="eastAsia"/>
                <w:color w:val="auto"/>
                <w:sz w:val="24"/>
                <w:lang w:val="en-US" w:eastAsia="zh-CN"/>
              </w:rPr>
              <w:t>4</w:t>
            </w:r>
            <w:r>
              <w:rPr>
                <w:rFonts w:hint="eastAsia"/>
                <w:color w:val="auto"/>
                <w:sz w:val="24"/>
                <w:lang w:eastAsia="zh-CN"/>
              </w:rPr>
              <w:t>月委托</w:t>
            </w:r>
            <w:r>
              <w:rPr>
                <w:rFonts w:hint="eastAsia"/>
                <w:b w:val="0"/>
                <w:bCs w:val="0"/>
                <w:color w:val="auto"/>
                <w:sz w:val="24"/>
                <w:lang w:val="en-US" w:eastAsia="zh-CN"/>
              </w:rPr>
              <w:t>苏州合巨环保技术有限公司</w:t>
            </w:r>
            <w:r>
              <w:rPr>
                <w:rFonts w:hint="eastAsia"/>
                <w:color w:val="auto"/>
                <w:sz w:val="24"/>
                <w:lang w:eastAsia="zh-CN"/>
              </w:rPr>
              <w:t>编制了</w:t>
            </w:r>
            <w:r>
              <w:rPr>
                <w:rFonts w:hint="eastAsia"/>
                <w:color w:val="auto"/>
                <w:sz w:val="24"/>
                <w:highlight w:val="none"/>
                <w:shd w:val="clear"/>
              </w:rPr>
              <w:t>《</w:t>
            </w:r>
            <w:r>
              <w:rPr>
                <w:rFonts w:hint="eastAsia"/>
                <w:color w:val="auto"/>
                <w:sz w:val="24"/>
                <w:highlight w:val="none"/>
                <w:shd w:val="clear"/>
                <w:lang w:eastAsia="zh-CN"/>
              </w:rPr>
              <w:t>吴江华茂新型建材有限公司年产非承重普通混凝土空心砖6万平方米、混凝土实心砖3万平方米生产技术改造项目环境影响报告表</w:t>
            </w:r>
            <w:r>
              <w:rPr>
                <w:rFonts w:hint="eastAsia"/>
                <w:color w:val="auto"/>
                <w:sz w:val="24"/>
                <w:highlight w:val="none"/>
                <w:shd w:val="clear"/>
              </w:rPr>
              <w:t>》</w:t>
            </w:r>
            <w:r>
              <w:rPr>
                <w:rFonts w:hint="eastAsia"/>
                <w:color w:val="auto"/>
                <w:sz w:val="24"/>
                <w:highlight w:val="none"/>
                <w:shd w:val="clear"/>
                <w:lang w:eastAsia="zh-CN"/>
              </w:rPr>
              <w:t>，</w:t>
            </w:r>
            <w:r>
              <w:rPr>
                <w:rFonts w:hint="eastAsia"/>
                <w:color w:val="auto"/>
                <w:sz w:val="24"/>
                <w:highlight w:val="none"/>
                <w:shd w:val="clear"/>
                <w:lang w:val="en-US" w:eastAsia="zh-CN"/>
              </w:rPr>
              <w:t>并于</w:t>
            </w:r>
            <w:r>
              <w:rPr>
                <w:color w:val="auto"/>
                <w:sz w:val="24"/>
                <w:highlight w:val="none"/>
              </w:rPr>
              <w:t>20</w:t>
            </w:r>
            <w:r>
              <w:rPr>
                <w:rFonts w:hint="eastAsia"/>
                <w:color w:val="auto"/>
                <w:sz w:val="24"/>
                <w:highlight w:val="none"/>
                <w:lang w:val="en-US" w:eastAsia="zh-CN"/>
              </w:rPr>
              <w:t>18</w:t>
            </w:r>
            <w:r>
              <w:rPr>
                <w:color w:val="auto"/>
                <w:sz w:val="24"/>
                <w:highlight w:val="none"/>
              </w:rPr>
              <w:t>年</w:t>
            </w:r>
            <w:r>
              <w:rPr>
                <w:rFonts w:hint="eastAsia"/>
                <w:color w:val="auto"/>
                <w:sz w:val="24"/>
                <w:highlight w:val="none"/>
                <w:lang w:val="en-US" w:eastAsia="zh-CN"/>
              </w:rPr>
              <w:t>8</w:t>
            </w:r>
            <w:r>
              <w:rPr>
                <w:color w:val="auto"/>
                <w:sz w:val="24"/>
                <w:highlight w:val="none"/>
              </w:rPr>
              <w:t>月</w:t>
            </w:r>
            <w:r>
              <w:rPr>
                <w:rFonts w:hint="eastAsia"/>
                <w:color w:val="auto"/>
                <w:sz w:val="24"/>
                <w:highlight w:val="none"/>
                <w:lang w:val="en-US" w:eastAsia="zh-CN"/>
              </w:rPr>
              <w:t>9</w:t>
            </w:r>
            <w:r>
              <w:rPr>
                <w:color w:val="auto"/>
                <w:sz w:val="24"/>
                <w:highlight w:val="none"/>
              </w:rPr>
              <w:t>日</w:t>
            </w:r>
            <w:r>
              <w:rPr>
                <w:rFonts w:hint="eastAsia"/>
                <w:color w:val="auto"/>
                <w:sz w:val="24"/>
                <w:lang w:eastAsia="zh-CN"/>
              </w:rPr>
              <w:t>取得</w:t>
            </w:r>
            <w:r>
              <w:rPr>
                <w:rFonts w:hint="eastAsia"/>
                <w:color w:val="auto"/>
                <w:sz w:val="24"/>
                <w:lang w:val="en-US" w:eastAsia="zh-CN"/>
              </w:rPr>
              <w:t>吴江区环境保护局</w:t>
            </w:r>
            <w:r>
              <w:rPr>
                <w:color w:val="auto"/>
                <w:sz w:val="24"/>
                <w:highlight w:val="none"/>
              </w:rPr>
              <w:t>《</w:t>
            </w:r>
            <w:r>
              <w:rPr>
                <w:rFonts w:hint="eastAsia"/>
                <w:color w:val="auto"/>
                <w:sz w:val="24"/>
                <w:highlight w:val="none"/>
              </w:rPr>
              <w:t>关于对</w:t>
            </w:r>
            <w:r>
              <w:rPr>
                <w:rFonts w:hint="eastAsia"/>
                <w:color w:val="auto"/>
                <w:sz w:val="24"/>
                <w:highlight w:val="none"/>
                <w:lang w:eastAsia="zh-CN"/>
              </w:rPr>
              <w:t>吴江华茂新型建材有限公司</w:t>
            </w:r>
            <w:r>
              <w:rPr>
                <w:rFonts w:hint="eastAsia"/>
                <w:color w:val="auto"/>
                <w:sz w:val="24"/>
                <w:highlight w:val="none"/>
                <w:lang w:val="en-US" w:eastAsia="zh-CN"/>
              </w:rPr>
              <w:t>建设</w:t>
            </w:r>
            <w:r>
              <w:rPr>
                <w:rFonts w:hint="eastAsia"/>
                <w:color w:val="auto"/>
                <w:sz w:val="24"/>
                <w:highlight w:val="none"/>
                <w:lang w:eastAsia="zh-CN"/>
              </w:rPr>
              <w:t>项目</w:t>
            </w:r>
            <w:r>
              <w:rPr>
                <w:rFonts w:hint="eastAsia"/>
                <w:color w:val="auto"/>
                <w:sz w:val="24"/>
                <w:highlight w:val="none"/>
              </w:rPr>
              <w:t>环境影响报告表的</w:t>
            </w:r>
            <w:r>
              <w:rPr>
                <w:rFonts w:hint="eastAsia"/>
                <w:color w:val="auto"/>
                <w:sz w:val="24"/>
                <w:highlight w:val="none"/>
                <w:lang w:val="en-US" w:eastAsia="zh-CN"/>
              </w:rPr>
              <w:t>批复</w:t>
            </w:r>
            <w:r>
              <w:rPr>
                <w:color w:val="auto"/>
                <w:sz w:val="24"/>
                <w:highlight w:val="none"/>
              </w:rPr>
              <w:t>》</w:t>
            </w:r>
            <w:r>
              <w:rPr>
                <w:rFonts w:hint="eastAsia"/>
                <w:color w:val="auto"/>
                <w:sz w:val="24"/>
                <w:lang w:val="en-US" w:eastAsia="zh-CN"/>
              </w:rPr>
              <w:t>（吴环建[2018]246号）</w:t>
            </w:r>
            <w:r>
              <w:rPr>
                <w:rFonts w:hint="eastAsia"/>
                <w:color w:val="auto"/>
                <w:sz w:val="24"/>
                <w:lang w:eastAsia="zh-CN"/>
              </w:rPr>
              <w:t>。项目主体工程与环保设施于20</w:t>
            </w:r>
            <w:r>
              <w:rPr>
                <w:rFonts w:hint="eastAsia"/>
                <w:color w:val="auto"/>
                <w:sz w:val="24"/>
                <w:lang w:val="en-US" w:eastAsia="zh-CN"/>
              </w:rPr>
              <w:t>18</w:t>
            </w:r>
            <w:r>
              <w:rPr>
                <w:rFonts w:hint="eastAsia"/>
                <w:color w:val="auto"/>
                <w:sz w:val="24"/>
                <w:lang w:eastAsia="zh-CN"/>
              </w:rPr>
              <w:t>年</w:t>
            </w:r>
            <w:r>
              <w:rPr>
                <w:rFonts w:hint="eastAsia"/>
                <w:color w:val="auto"/>
                <w:sz w:val="24"/>
                <w:lang w:val="en-US" w:eastAsia="zh-CN"/>
              </w:rPr>
              <w:t>9</w:t>
            </w:r>
            <w:r>
              <w:rPr>
                <w:rFonts w:hint="eastAsia"/>
                <w:color w:val="auto"/>
                <w:sz w:val="24"/>
                <w:lang w:eastAsia="zh-CN"/>
              </w:rPr>
              <w:t>月开工建设，并于20</w:t>
            </w:r>
            <w:r>
              <w:rPr>
                <w:rFonts w:hint="eastAsia"/>
                <w:color w:val="auto"/>
                <w:sz w:val="24"/>
                <w:lang w:val="en-US" w:eastAsia="zh-CN"/>
              </w:rPr>
              <w:t>18</w:t>
            </w:r>
            <w:r>
              <w:rPr>
                <w:rFonts w:hint="eastAsia"/>
                <w:color w:val="auto"/>
                <w:sz w:val="24"/>
                <w:lang w:eastAsia="zh-CN"/>
              </w:rPr>
              <w:t>年</w:t>
            </w:r>
            <w:r>
              <w:rPr>
                <w:rFonts w:hint="eastAsia"/>
                <w:color w:val="auto"/>
                <w:sz w:val="24"/>
                <w:lang w:val="en-US" w:eastAsia="zh-CN"/>
              </w:rPr>
              <w:t>12</w:t>
            </w:r>
            <w:r>
              <w:rPr>
                <w:rFonts w:hint="eastAsia"/>
                <w:color w:val="auto"/>
                <w:sz w:val="24"/>
                <w:lang w:eastAsia="zh-CN"/>
              </w:rPr>
              <w:t>月建成进行生产调试，现正开展项目竣工</w:t>
            </w:r>
            <w:r>
              <w:rPr>
                <w:rFonts w:hint="eastAsia"/>
                <w:color w:val="auto"/>
                <w:sz w:val="24"/>
                <w:highlight w:val="none"/>
                <w:lang w:eastAsia="zh-CN"/>
              </w:rPr>
              <w:t>环境保护验收工作。</w:t>
            </w:r>
          </w:p>
          <w:p>
            <w:pPr>
              <w:adjustRightInd w:val="0"/>
              <w:snapToGrid w:val="0"/>
              <w:spacing w:line="360" w:lineRule="auto"/>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w:t>
            </w:r>
            <w:r>
              <w:rPr>
                <w:rFonts w:hint="eastAsia"/>
                <w:color w:val="000000" w:themeColor="text1"/>
                <w:sz w:val="24"/>
                <w:lang w:eastAsia="zh-CN"/>
                <w14:textFill>
                  <w14:solidFill>
                    <w14:schemeClr w14:val="tx1"/>
                  </w14:solidFill>
                </w14:textFill>
              </w:rPr>
              <w:t>验收工作的开展：202</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年吴江华茂新型建材有限公司对</w:t>
            </w:r>
            <w:r>
              <w:rPr>
                <w:rFonts w:hint="eastAsia"/>
                <w:color w:val="000000" w:themeColor="text1"/>
                <w:sz w:val="24"/>
                <w:lang w:val="en-US" w:eastAsia="zh-CN"/>
                <w14:textFill>
                  <w14:solidFill>
                    <w14:schemeClr w14:val="tx1"/>
                  </w14:solidFill>
                </w14:textFill>
              </w:rPr>
              <w:t>年产非承重普通混凝土空心砖6万平方米、混凝土实心砖3万平方米生产技术改造项目</w:t>
            </w:r>
            <w:r>
              <w:rPr>
                <w:rFonts w:hint="eastAsia"/>
                <w:color w:val="000000" w:themeColor="text1"/>
                <w:sz w:val="24"/>
                <w:lang w:eastAsia="zh-CN"/>
                <w14:textFill>
                  <w14:solidFill>
                    <w14:schemeClr w14:val="tx1"/>
                  </w14:solidFill>
                </w14:textFill>
              </w:rPr>
              <w:t>验收监测，在分析建设项目主体工程以及环保设施、措施有关资料的基础上，进行了现场踏勘，根据建设项目环境保护设施竣工验收监测技术要求和国家、地方环保要求及现场踏勘编制了项目验收监测方案。依据本项目验收监测方案，我公司委托苏州华瑞环境检测有限公司组织专业技术人员于202</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01</w:t>
            </w:r>
            <w:r>
              <w:rPr>
                <w:rFonts w:hint="eastAsia"/>
                <w:color w:val="000000" w:themeColor="text1"/>
                <w:sz w:val="24"/>
                <w:lang w:eastAsia="zh-CN"/>
                <w14:textFill>
                  <w14:solidFill>
                    <w14:schemeClr w14:val="tx1"/>
                  </w14:solidFill>
                </w14:textFill>
              </w:rPr>
              <w:t>月</w:t>
            </w:r>
            <w:r>
              <w:rPr>
                <w:rFonts w:hint="eastAsia"/>
                <w:color w:val="000000" w:themeColor="text1"/>
                <w:sz w:val="24"/>
                <w:lang w:val="en-US" w:eastAsia="zh-CN"/>
                <w14:textFill>
                  <w14:solidFill>
                    <w14:schemeClr w14:val="tx1"/>
                  </w14:solidFill>
                </w14:textFill>
              </w:rPr>
              <w:t>13</w:t>
            </w:r>
            <w:r>
              <w:rPr>
                <w:rFonts w:hint="eastAsia"/>
                <w:color w:val="000000" w:themeColor="text1"/>
                <w:sz w:val="24"/>
                <w:lang w:eastAsia="zh-CN"/>
                <w14:textFill>
                  <w14:solidFill>
                    <w14:schemeClr w14:val="tx1"/>
                  </w14:solidFill>
                </w14:textFill>
              </w:rPr>
              <w:t>日~</w:t>
            </w:r>
            <w:r>
              <w:rPr>
                <w:rFonts w:hint="eastAsia"/>
                <w:color w:val="000000" w:themeColor="text1"/>
                <w:sz w:val="24"/>
                <w:lang w:val="en-US" w:eastAsia="zh-CN"/>
                <w14:textFill>
                  <w14:solidFill>
                    <w14:schemeClr w14:val="tx1"/>
                  </w14:solidFill>
                </w14:textFill>
              </w:rPr>
              <w:t>14</w:t>
            </w:r>
            <w:r>
              <w:rPr>
                <w:rFonts w:hint="eastAsia"/>
                <w:color w:val="000000" w:themeColor="text1"/>
                <w:sz w:val="24"/>
                <w:lang w:eastAsia="zh-CN"/>
                <w14:textFill>
                  <w14:solidFill>
                    <w14:schemeClr w14:val="tx1"/>
                  </w14:solidFill>
                </w14:textFill>
              </w:rPr>
              <w:t>日、</w:t>
            </w:r>
            <w:r>
              <w:rPr>
                <w:rFonts w:hint="eastAsia"/>
                <w:color w:val="000000" w:themeColor="text1"/>
                <w:sz w:val="24"/>
                <w:lang w:val="en-US" w:eastAsia="zh-CN"/>
                <w14:textFill>
                  <w14:solidFill>
                    <w14:schemeClr w14:val="tx1"/>
                  </w14:solidFill>
                </w14:textFill>
              </w:rPr>
              <w:t>2022年2月21日~2022年2月22日</w:t>
            </w:r>
            <w:r>
              <w:rPr>
                <w:rFonts w:hint="eastAsia"/>
                <w:color w:val="000000" w:themeColor="text1"/>
                <w:sz w:val="24"/>
                <w:lang w:eastAsia="zh-CN"/>
                <w14:textFill>
                  <w14:solidFill>
                    <w14:schemeClr w14:val="tx1"/>
                  </w14:solidFill>
                </w14:textFill>
              </w:rPr>
              <w:t>进行了现场监测和环境管理检查，根据监测分析结果和现场检查情况编制该项目验收监测报告表。</w:t>
            </w:r>
          </w:p>
          <w:p>
            <w:pPr>
              <w:adjustRightInd w:val="0"/>
              <w:snapToGrid w:val="0"/>
              <w:spacing w:line="360" w:lineRule="auto"/>
              <w:ind w:firstLine="482" w:firstLineChars="200"/>
              <w:jc w:val="left"/>
              <w:rPr>
                <w:sz w:val="24"/>
              </w:rPr>
            </w:pPr>
            <w:r>
              <w:rPr>
                <w:b/>
                <w:sz w:val="24"/>
              </w:rPr>
              <w:t>项目名称：</w:t>
            </w:r>
            <w:r>
              <w:rPr>
                <w:rFonts w:hint="eastAsia"/>
                <w:color w:val="000000" w:themeColor="text1"/>
                <w:sz w:val="24"/>
                <w:lang w:eastAsia="zh-CN"/>
                <w14:textFill>
                  <w14:solidFill>
                    <w14:schemeClr w14:val="tx1"/>
                  </w14:solidFill>
                </w14:textFill>
              </w:rPr>
              <w:t>吴江华茂新型建材有限公司2018-320509-50-03-616824年产非承重普通混凝土空心砖6万平方米、混凝土实心砖3万平方米生产技术改造项目</w:t>
            </w:r>
            <w:r>
              <w:rPr>
                <w:sz w:val="24"/>
              </w:rPr>
              <w:t>；</w:t>
            </w:r>
          </w:p>
          <w:p>
            <w:pPr>
              <w:adjustRightInd w:val="0"/>
              <w:snapToGrid w:val="0"/>
              <w:spacing w:line="360" w:lineRule="auto"/>
              <w:ind w:firstLine="482" w:firstLineChars="200"/>
              <w:jc w:val="left"/>
              <w:rPr>
                <w:sz w:val="24"/>
              </w:rPr>
            </w:pPr>
            <w:r>
              <w:rPr>
                <w:b/>
                <w:bCs/>
                <w:sz w:val="24"/>
              </w:rPr>
              <w:t>建设单位：</w:t>
            </w:r>
            <w:r>
              <w:rPr>
                <w:rFonts w:hint="eastAsia"/>
                <w:color w:val="000000" w:themeColor="text1"/>
                <w:sz w:val="24"/>
                <w:lang w:eastAsia="zh-CN"/>
                <w14:textFill>
                  <w14:solidFill>
                    <w14:schemeClr w14:val="tx1"/>
                  </w14:solidFill>
                </w14:textFill>
              </w:rPr>
              <w:t>吴江华茂新型建材有限公司</w:t>
            </w:r>
            <w:r>
              <w:rPr>
                <w:rFonts w:hint="eastAsia"/>
                <w:sz w:val="24"/>
              </w:rPr>
              <w:t>；</w:t>
            </w:r>
          </w:p>
          <w:p>
            <w:pPr>
              <w:adjustRightInd w:val="0"/>
              <w:snapToGrid w:val="0"/>
              <w:spacing w:line="360" w:lineRule="auto"/>
              <w:ind w:firstLine="482" w:firstLineChars="200"/>
              <w:jc w:val="left"/>
              <w:rPr>
                <w:sz w:val="24"/>
              </w:rPr>
            </w:pPr>
            <w:r>
              <w:rPr>
                <w:b/>
                <w:sz w:val="24"/>
              </w:rPr>
              <w:t>建设地点：</w:t>
            </w:r>
            <w:r>
              <w:rPr>
                <w:rFonts w:hint="eastAsia"/>
                <w:color w:val="000000" w:themeColor="text1"/>
                <w:sz w:val="24"/>
                <w:lang w:eastAsia="zh-CN"/>
                <w14:textFill>
                  <w14:solidFill>
                    <w14:schemeClr w14:val="tx1"/>
                  </w14:solidFill>
                </w14:textFill>
              </w:rPr>
              <w:t>苏州市吴江区桃源镇青云大道588号</w:t>
            </w:r>
            <w:r>
              <w:rPr>
                <w:rFonts w:hint="eastAsia"/>
                <w:sz w:val="24"/>
              </w:rPr>
              <w:t>；</w:t>
            </w:r>
          </w:p>
          <w:p>
            <w:pPr>
              <w:pStyle w:val="4"/>
              <w:ind w:firstLine="480"/>
              <w:outlineLvl w:val="2"/>
              <w:rPr>
                <w:rFonts w:hint="eastAsia" w:ascii="Times New Roman" w:hAnsi="Times New Roman" w:eastAsia="宋体"/>
                <w:b w:val="0"/>
                <w:bCs w:val="0"/>
                <w:sz w:val="24"/>
                <w:szCs w:val="24"/>
                <w:lang w:val="en-US" w:eastAsia="zh-CN"/>
              </w:rPr>
            </w:pPr>
            <w:r>
              <w:rPr>
                <w:rFonts w:ascii="Times New Roman" w:hAnsi="Times New Roman"/>
                <w:bCs w:val="0"/>
                <w:sz w:val="24"/>
                <w:szCs w:val="24"/>
              </w:rPr>
              <w:t>建设性质：</w:t>
            </w:r>
            <w:r>
              <w:rPr>
                <w:b w:val="0"/>
                <w:bCs w:val="0"/>
                <w:sz w:val="24"/>
              </w:rPr>
              <w:t>技改</w:t>
            </w:r>
            <w:r>
              <w:rPr>
                <w:rFonts w:hint="eastAsia"/>
                <w:b w:val="0"/>
                <w:bCs w:val="0"/>
                <w:sz w:val="24"/>
              </w:rPr>
              <w:t>搬迁</w:t>
            </w:r>
            <w:r>
              <w:rPr>
                <w:rFonts w:hint="eastAsia" w:ascii="Times New Roman" w:hAnsi="Times New Roman"/>
                <w:b w:val="0"/>
                <w:bCs/>
                <w:sz w:val="24"/>
                <w:szCs w:val="24"/>
                <w:lang w:val="en-US" w:eastAsia="zh-CN"/>
              </w:rPr>
              <w:t>；</w:t>
            </w:r>
          </w:p>
          <w:p>
            <w:pPr>
              <w:pStyle w:val="4"/>
              <w:ind w:firstLine="480"/>
              <w:outlineLvl w:val="2"/>
              <w:rPr>
                <w:rFonts w:hint="default" w:ascii="Times New Roman" w:hAnsi="Times New Roman" w:cs="Times New Roman"/>
                <w:b w:val="0"/>
                <w:bCs w:val="0"/>
                <w:sz w:val="24"/>
                <w:szCs w:val="24"/>
                <w:highlight w:val="none"/>
              </w:rPr>
            </w:pPr>
            <w:r>
              <w:rPr>
                <w:rFonts w:hint="default" w:ascii="Times New Roman" w:hAnsi="Times New Roman" w:cs="Times New Roman"/>
                <w:bCs w:val="0"/>
                <w:sz w:val="24"/>
              </w:rPr>
              <w:t>总投资和环保投资情况：</w:t>
            </w:r>
            <w:r>
              <w:rPr>
                <w:rFonts w:hint="eastAsia" w:ascii="Times New Roman" w:hAnsi="Times New Roman" w:cs="Times New Roman"/>
                <w:b w:val="0"/>
                <w:bCs/>
                <w:sz w:val="24"/>
                <w:lang w:val="en-US" w:eastAsia="zh-CN"/>
              </w:rPr>
              <w:t>300万元，其中环保投资14万元</w:t>
            </w:r>
            <w:r>
              <w:rPr>
                <w:rFonts w:hint="default" w:ascii="Times New Roman" w:hAnsi="Times New Roman" w:cs="Times New Roman"/>
                <w:b w:val="0"/>
                <w:bCs w:val="0"/>
                <w:sz w:val="24"/>
                <w:szCs w:val="24"/>
                <w:highlight w:val="none"/>
              </w:rPr>
              <w:t>；</w:t>
            </w:r>
          </w:p>
          <w:p>
            <w:pPr>
              <w:adjustRightInd w:val="0"/>
              <w:snapToGrid w:val="0"/>
              <w:spacing w:line="360" w:lineRule="auto"/>
              <w:ind w:firstLine="482" w:firstLineChars="200"/>
              <w:jc w:val="left"/>
              <w:rPr>
                <w:rFonts w:hint="eastAsia" w:eastAsia="宋体"/>
                <w:color w:val="000000" w:themeColor="text1"/>
                <w:sz w:val="24"/>
                <w:highlight w:val="green"/>
                <w:lang w:eastAsia="zh-CN"/>
                <w14:textFill>
                  <w14:solidFill>
                    <w14:schemeClr w14:val="tx1"/>
                  </w14:solidFill>
                </w14:textFill>
              </w:rPr>
            </w:pPr>
            <w:r>
              <w:rPr>
                <w:b/>
                <w:bCs/>
                <w:sz w:val="24"/>
                <w:highlight w:val="none"/>
              </w:rPr>
              <w:t>项目所在厂区情况：</w:t>
            </w:r>
            <w:r>
              <w:rPr>
                <w:rFonts w:hint="eastAsia"/>
                <w:color w:val="000000" w:themeColor="text1"/>
                <w:sz w:val="24"/>
                <w:highlight w:val="none"/>
                <w14:textFill>
                  <w14:solidFill>
                    <w14:schemeClr w14:val="tx1"/>
                  </w14:solidFill>
                </w14:textFill>
              </w:rPr>
              <w:t>本项目位于</w:t>
            </w:r>
            <w:r>
              <w:rPr>
                <w:rFonts w:hint="eastAsia"/>
                <w:color w:val="000000" w:themeColor="text1"/>
                <w:sz w:val="24"/>
                <w:highlight w:val="none"/>
                <w:lang w:eastAsia="zh-CN"/>
                <w14:textFill>
                  <w14:solidFill>
                    <w14:schemeClr w14:val="tx1"/>
                  </w14:solidFill>
                </w14:textFill>
              </w:rPr>
              <w:t>苏州市吴江区桃源镇青云大道588号</w:t>
            </w:r>
            <w:r>
              <w:rPr>
                <w:rFonts w:hint="eastAsia"/>
                <w:color w:val="000000" w:themeColor="text1"/>
                <w:sz w:val="24"/>
                <w:highlight w:val="none"/>
                <w14:textFill>
                  <w14:solidFill>
                    <w14:schemeClr w14:val="tx1"/>
                  </w14:solidFill>
                </w14:textFill>
              </w:rPr>
              <w:t>。</w:t>
            </w:r>
            <w:r>
              <w:rPr>
                <w:rFonts w:hint="eastAsia"/>
                <w:sz w:val="24"/>
              </w:rPr>
              <w:t>租赁</w:t>
            </w:r>
            <w:r>
              <w:rPr>
                <w:rFonts w:hint="eastAsia" w:ascii="宋体" w:hAnsi="宋体"/>
                <w:sz w:val="24"/>
              </w:rPr>
              <w:t>吴江市桃源镇青云才林砂石厂闲置的整片厂区用地</w:t>
            </w:r>
            <w:r>
              <w:rPr>
                <w:rFonts w:hint="eastAsia"/>
                <w:sz w:val="24"/>
              </w:rPr>
              <w:t>，总占地面积4472.8</w:t>
            </w:r>
            <w:r>
              <w:rPr>
                <w:sz w:val="24"/>
              </w:rPr>
              <w:t>m</w:t>
            </w:r>
            <w:r>
              <w:rPr>
                <w:sz w:val="24"/>
                <w:vertAlign w:val="superscript"/>
              </w:rPr>
              <w:t>2</w:t>
            </w:r>
            <w:r>
              <w:rPr>
                <w:rFonts w:hint="eastAsia"/>
                <w:sz w:val="24"/>
              </w:rPr>
              <w:t>，总建筑面积约4160</w:t>
            </w:r>
            <w:r>
              <w:rPr>
                <w:sz w:val="24"/>
              </w:rPr>
              <w:t xml:space="preserve"> m</w:t>
            </w:r>
            <w:r>
              <w:rPr>
                <w:sz w:val="24"/>
                <w:vertAlign w:val="superscript"/>
              </w:rPr>
              <w:t>2</w:t>
            </w:r>
            <w:r>
              <w:rPr>
                <w:rFonts w:hint="eastAsia"/>
                <w:color w:val="000000" w:themeColor="text1"/>
                <w:sz w:val="24"/>
                <w:highlight w:val="none"/>
                <w:lang w:eastAsia="zh-CN"/>
                <w14:textFill>
                  <w14:solidFill>
                    <w14:schemeClr w14:val="tx1"/>
                  </w14:solidFill>
                </w14:textFill>
              </w:rPr>
              <w:t>。</w:t>
            </w:r>
            <w:r>
              <w:rPr>
                <w:rFonts w:hint="eastAsia"/>
                <w:kern w:val="0"/>
                <w:sz w:val="24"/>
              </w:rPr>
              <w:t>项目北侧为青云港；东侧为</w:t>
            </w:r>
            <w:r>
              <w:rPr>
                <w:rFonts w:hint="eastAsia" w:ascii="宋体" w:hAnsi="宋体"/>
                <w:bCs/>
                <w:snapToGrid w:val="0"/>
                <w:kern w:val="0"/>
                <w:sz w:val="24"/>
              </w:rPr>
              <w:t>青云中学容器厂；南侧为青云路，道路以南为苏州聚益塑料制品有限公司；西侧为青云塑料厂</w:t>
            </w:r>
            <w:r>
              <w:rPr>
                <w:rFonts w:hint="eastAsia"/>
                <w:kern w:val="0"/>
                <w:sz w:val="24"/>
              </w:rPr>
              <w:t>。</w:t>
            </w:r>
            <w:r>
              <w:rPr>
                <w:rFonts w:hint="eastAsia"/>
                <w:color w:val="000000" w:themeColor="text1"/>
                <w:sz w:val="24"/>
                <w:highlight w:val="none"/>
                <w14:textFill>
                  <w14:solidFill>
                    <w14:schemeClr w14:val="tx1"/>
                  </w14:solidFill>
                </w14:textFill>
              </w:rPr>
              <w:t>项目周围环境状况见附图</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p>
          <w:p>
            <w:pPr>
              <w:pStyle w:val="7"/>
              <w:spacing w:line="360" w:lineRule="auto"/>
              <w:ind w:firstLine="482" w:firstLineChars="200"/>
              <w:rPr>
                <w:rFonts w:hint="eastAsia"/>
                <w:color w:val="000000" w:themeColor="text1"/>
                <w:sz w:val="24"/>
                <w:highlight w:val="none"/>
                <w:lang w:val="en-US" w:eastAsia="zh-CN"/>
                <w14:textFill>
                  <w14:solidFill>
                    <w14:schemeClr w14:val="tx1"/>
                  </w14:solidFill>
                </w14:textFill>
              </w:rPr>
            </w:pPr>
            <w:r>
              <w:rPr>
                <w:rFonts w:hint="eastAsia"/>
                <w:b/>
                <w:sz w:val="24"/>
                <w:highlight w:val="none"/>
                <w:lang w:val="en-US" w:eastAsia="zh-CN"/>
              </w:rPr>
              <w:t>项目</w:t>
            </w:r>
            <w:r>
              <w:rPr>
                <w:b/>
                <w:sz w:val="24"/>
                <w:highlight w:val="none"/>
              </w:rPr>
              <w:t>建设规模</w:t>
            </w:r>
            <w:r>
              <w:rPr>
                <w:sz w:val="24"/>
                <w:highlight w:val="none"/>
              </w:rPr>
              <w:t>：</w:t>
            </w:r>
            <w:r>
              <w:rPr>
                <w:rFonts w:hint="eastAsia"/>
                <w:color w:val="000000" w:themeColor="text1"/>
                <w:sz w:val="24"/>
                <w:highlight w:val="none"/>
                <w:lang w:val="en-US" w:eastAsia="zh-CN"/>
                <w14:textFill>
                  <w14:solidFill>
                    <w14:schemeClr w14:val="tx1"/>
                  </w14:solidFill>
                </w14:textFill>
              </w:rPr>
              <w:t>年产非承重普通混凝土空心砖6万平方米、混凝土实心砖3万平方米；</w:t>
            </w:r>
          </w:p>
          <w:p>
            <w:pPr>
              <w:pStyle w:val="7"/>
              <w:spacing w:line="360" w:lineRule="auto"/>
              <w:ind w:firstLine="482" w:firstLineChars="200"/>
              <w:rPr>
                <w:rFonts w:hint="eastAsia" w:eastAsia="宋体"/>
                <w:sz w:val="24"/>
                <w:highlight w:val="none"/>
                <w:lang w:eastAsia="zh-CN"/>
              </w:rPr>
            </w:pPr>
            <w:r>
              <w:rPr>
                <w:rFonts w:hint="eastAsia"/>
                <w:b/>
                <w:sz w:val="24"/>
                <w:highlight w:val="none"/>
                <w:lang w:val="en-US" w:eastAsia="zh-CN"/>
              </w:rPr>
              <w:t>项目平面布置</w:t>
            </w:r>
            <w:r>
              <w:rPr>
                <w:sz w:val="24"/>
                <w:highlight w:val="none"/>
              </w:rPr>
              <w:t>：</w:t>
            </w:r>
            <w:r>
              <w:rPr>
                <w:rFonts w:hint="eastAsia"/>
                <w:sz w:val="24"/>
              </w:rPr>
              <w:t>本项目厂区西侧由北至南依次为养护区、成品堆场，厂区东侧由北至南依次为原料堆场、生产区、养护区、办公楼。</w:t>
            </w:r>
            <w:r>
              <w:rPr>
                <w:rFonts w:hint="eastAsia"/>
                <w:sz w:val="24"/>
                <w:highlight w:val="none"/>
                <w:lang w:eastAsia="zh-CN"/>
              </w:rPr>
              <w:t>项目平面布置</w:t>
            </w:r>
            <w:r>
              <w:rPr>
                <w:rFonts w:hint="eastAsia"/>
                <w:sz w:val="24"/>
                <w:highlight w:val="none"/>
                <w:lang w:val="en-US" w:eastAsia="zh-CN"/>
              </w:rPr>
              <w:t>情况见附图3</w:t>
            </w:r>
            <w:r>
              <w:rPr>
                <w:rFonts w:hint="eastAsia"/>
                <w:sz w:val="24"/>
                <w:highlight w:val="none"/>
                <w:lang w:eastAsia="zh-CN"/>
              </w:rPr>
              <w:t>；</w:t>
            </w:r>
          </w:p>
          <w:p>
            <w:pPr>
              <w:spacing w:line="360" w:lineRule="auto"/>
              <w:ind w:firstLine="482" w:firstLineChars="200"/>
              <w:rPr>
                <w:rFonts w:hint="default" w:cs="Times New Roman"/>
                <w:b w:val="0"/>
                <w:bCs/>
                <w:sz w:val="24"/>
                <w:lang w:val="en-US" w:eastAsia="zh-CN"/>
              </w:rPr>
            </w:pPr>
            <w:r>
              <w:rPr>
                <w:b/>
                <w:sz w:val="24"/>
                <w:highlight w:val="none"/>
              </w:rPr>
              <w:t>职工人数：</w:t>
            </w:r>
            <w:r>
              <w:rPr>
                <w:rFonts w:hint="eastAsia" w:cs="Times New Roman"/>
                <w:b w:val="0"/>
                <w:bCs/>
                <w:sz w:val="24"/>
                <w:lang w:val="en-US" w:eastAsia="zh-CN"/>
              </w:rPr>
              <w:t>预计6人，无宿舍食堂</w:t>
            </w:r>
            <w:r>
              <w:rPr>
                <w:rFonts w:hint="eastAsia"/>
                <w:sz w:val="24"/>
                <w:highlight w:val="none"/>
                <w:lang w:val="en-US" w:eastAsia="zh-CN"/>
              </w:rPr>
              <w:t>；</w:t>
            </w:r>
          </w:p>
          <w:p>
            <w:pPr>
              <w:adjustRightInd w:val="0"/>
              <w:snapToGrid w:val="0"/>
              <w:spacing w:line="360" w:lineRule="auto"/>
              <w:ind w:firstLine="482" w:firstLineChars="200"/>
              <w:rPr>
                <w:rFonts w:hint="eastAsia" w:eastAsia="宋体"/>
                <w:sz w:val="24"/>
                <w:lang w:val="en-US" w:eastAsia="zh-CN"/>
              </w:rPr>
            </w:pPr>
            <w:r>
              <w:rPr>
                <w:b/>
                <w:sz w:val="24"/>
                <w:highlight w:val="none"/>
              </w:rPr>
              <w:t>生产班制：</w:t>
            </w:r>
            <w:r>
              <w:rPr>
                <w:sz w:val="24"/>
              </w:rPr>
              <w:t>年工作</w:t>
            </w:r>
            <w:r>
              <w:rPr>
                <w:rFonts w:hint="eastAsia"/>
                <w:sz w:val="24"/>
              </w:rPr>
              <w:t>300</w:t>
            </w:r>
            <w:r>
              <w:rPr>
                <w:sz w:val="24"/>
              </w:rPr>
              <w:t>天，</w:t>
            </w:r>
            <w:r>
              <w:rPr>
                <w:rFonts w:hint="eastAsia"/>
                <w:sz w:val="24"/>
              </w:rPr>
              <w:t>一班制，</w:t>
            </w:r>
            <w:r>
              <w:rPr>
                <w:sz w:val="24"/>
              </w:rPr>
              <w:t>每天工作</w:t>
            </w:r>
            <w:r>
              <w:rPr>
                <w:rFonts w:hint="eastAsia"/>
                <w:sz w:val="24"/>
              </w:rPr>
              <w:t>8</w:t>
            </w:r>
            <w:r>
              <w:rPr>
                <w:sz w:val="24"/>
              </w:rPr>
              <w:t>小时</w:t>
            </w:r>
            <w:r>
              <w:rPr>
                <w:rFonts w:hint="eastAsia"/>
                <w:sz w:val="24"/>
              </w:rPr>
              <w:t>，</w:t>
            </w:r>
            <w:r>
              <w:rPr>
                <w:sz w:val="24"/>
              </w:rPr>
              <w:t>夜间不作业</w:t>
            </w:r>
            <w:r>
              <w:rPr>
                <w:rFonts w:hint="eastAsia"/>
                <w:sz w:val="24"/>
                <w:lang w:eastAsia="zh-CN"/>
              </w:rPr>
              <w:t>。</w:t>
            </w:r>
            <w:r>
              <w:rPr>
                <w:rFonts w:hint="eastAsia"/>
                <w:bCs/>
                <w:sz w:val="24"/>
                <w:highlight w:val="none"/>
              </w:rPr>
              <w:t>年</w:t>
            </w:r>
            <w:r>
              <w:rPr>
                <w:rFonts w:hint="eastAsia"/>
                <w:bCs/>
                <w:sz w:val="24"/>
                <w:highlight w:val="none"/>
                <w:lang w:val="en-US" w:eastAsia="zh-CN"/>
              </w:rPr>
              <w:t>运行时间</w:t>
            </w:r>
            <w:r>
              <w:rPr>
                <w:rFonts w:hint="eastAsia"/>
                <w:bCs/>
                <w:sz w:val="24"/>
                <w:highlight w:val="none"/>
              </w:rPr>
              <w:t>：</w:t>
            </w:r>
            <w:r>
              <w:rPr>
                <w:rFonts w:hint="eastAsia"/>
                <w:bCs/>
                <w:sz w:val="24"/>
                <w:highlight w:val="none"/>
                <w:lang w:val="en-US" w:eastAsia="zh-CN"/>
              </w:rPr>
              <w:t>2400</w:t>
            </w:r>
            <w:r>
              <w:rPr>
                <w:rFonts w:hint="eastAsia"/>
                <w:bCs/>
                <w:sz w:val="24"/>
                <w:highlight w:val="none"/>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205" w:type="dxa"/>
            <w:tcBorders>
              <w:tl2br w:val="nil"/>
              <w:tr2bl w:val="nil"/>
            </w:tcBorders>
            <w:vAlign w:val="top"/>
          </w:tcPr>
          <w:p>
            <w:pPr>
              <w:adjustRightInd w:val="0"/>
              <w:snapToGrid w:val="0"/>
              <w:spacing w:line="360" w:lineRule="auto"/>
              <w:rPr>
                <w:b/>
                <w:bCs/>
                <w:sz w:val="24"/>
              </w:rPr>
            </w:pPr>
            <w:r>
              <w:rPr>
                <w:b/>
                <w:bCs/>
                <w:sz w:val="24"/>
              </w:rPr>
              <w:t>原辅材料消耗</w:t>
            </w:r>
          </w:p>
          <w:p>
            <w:pPr>
              <w:adjustRightInd w:val="0"/>
              <w:snapToGrid w:val="0"/>
              <w:spacing w:line="360" w:lineRule="auto"/>
              <w:ind w:firstLine="480" w:firstLineChars="200"/>
              <w:rPr>
                <w:sz w:val="24"/>
                <w:highlight w:val="none"/>
              </w:rPr>
            </w:pPr>
            <w:r>
              <w:rPr>
                <w:sz w:val="24"/>
                <w:highlight w:val="none"/>
              </w:rPr>
              <w:t>现根据环评报告表</w:t>
            </w:r>
            <w:r>
              <w:rPr>
                <w:rFonts w:hint="eastAsia"/>
                <w:sz w:val="24"/>
                <w:highlight w:val="none"/>
                <w:lang w:val="en-US" w:eastAsia="zh-CN"/>
              </w:rPr>
              <w:t>，</w:t>
            </w:r>
            <w:r>
              <w:rPr>
                <w:sz w:val="24"/>
                <w:highlight w:val="none"/>
              </w:rPr>
              <w:t>并结合监测期间现场勘察，公司的原辅材料、产品产能、设备情况如下：</w:t>
            </w:r>
          </w:p>
          <w:p>
            <w:pPr>
              <w:adjustRightInd w:val="0"/>
              <w:snapToGrid w:val="0"/>
              <w:spacing w:line="360" w:lineRule="auto"/>
              <w:rPr>
                <w:rFonts w:asciiTheme="majorEastAsia" w:hAnsiTheme="majorEastAsia" w:eastAsiaTheme="majorEastAsia"/>
                <w:b/>
                <w:bCs/>
                <w:sz w:val="24"/>
                <w:highlight w:val="none"/>
              </w:rPr>
            </w:pPr>
            <w:r>
              <w:rPr>
                <w:rFonts w:asciiTheme="majorEastAsia" w:hAnsiTheme="majorEastAsia" w:eastAsiaTheme="majorEastAsia"/>
                <w:b/>
                <w:bCs/>
                <w:sz w:val="24"/>
                <w:highlight w:val="none"/>
              </w:rPr>
              <w:t>1、原辅材料用量</w:t>
            </w:r>
          </w:p>
          <w:p>
            <w:pPr>
              <w:snapToGrid w:val="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表2-</w:t>
            </w:r>
            <w:r>
              <w:rPr>
                <w:rFonts w:hint="eastAsia" w:cs="Times New Roman"/>
                <w:b/>
                <w:bCs/>
                <w:highlight w:val="none"/>
                <w:lang w:val="en-US" w:eastAsia="zh-CN"/>
              </w:rPr>
              <w:t>2 本</w:t>
            </w:r>
            <w:r>
              <w:rPr>
                <w:rFonts w:hint="default" w:ascii="Times New Roman" w:hAnsi="Times New Roman" w:eastAsia="宋体" w:cs="Times New Roman"/>
                <w:b/>
                <w:bCs/>
                <w:highlight w:val="none"/>
              </w:rPr>
              <w:t>项目主要原辅材料用量</w:t>
            </w:r>
          </w:p>
          <w:tbl>
            <w:tblPr>
              <w:tblStyle w:val="26"/>
              <w:tblW w:w="100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3"/>
              <w:gridCol w:w="1516"/>
              <w:gridCol w:w="1550"/>
              <w:gridCol w:w="2122"/>
              <w:gridCol w:w="1195"/>
              <w:gridCol w:w="132"/>
              <w:gridCol w:w="1064"/>
              <w:gridCol w:w="1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7" w:hRule="atLeast"/>
              </w:trPr>
              <w:tc>
                <w:tcPr>
                  <w:tcW w:w="577" w:type="pct"/>
                  <w:vMerge w:val="restart"/>
                  <w:noWrap w:val="0"/>
                  <w:tcMar>
                    <w:left w:w="28" w:type="dxa"/>
                    <w:right w:w="28" w:type="dxa"/>
                  </w:tcMar>
                  <w:vAlign w:val="center"/>
                </w:tcPr>
                <w:p>
                  <w:pPr>
                    <w:jc w:val="center"/>
                    <w:rPr>
                      <w:szCs w:val="21"/>
                    </w:rPr>
                  </w:pPr>
                  <w:r>
                    <w:rPr>
                      <w:szCs w:val="21"/>
                    </w:rPr>
                    <w:t>类别</w:t>
                  </w:r>
                </w:p>
              </w:tc>
              <w:tc>
                <w:tcPr>
                  <w:tcW w:w="752" w:type="pct"/>
                  <w:vMerge w:val="restart"/>
                  <w:noWrap w:val="0"/>
                  <w:vAlign w:val="center"/>
                </w:tcPr>
                <w:p>
                  <w:pPr>
                    <w:jc w:val="center"/>
                    <w:rPr>
                      <w:szCs w:val="21"/>
                    </w:rPr>
                  </w:pPr>
                  <w:r>
                    <w:rPr>
                      <w:szCs w:val="21"/>
                    </w:rPr>
                    <w:t>名称</w:t>
                  </w:r>
                </w:p>
              </w:tc>
              <w:tc>
                <w:tcPr>
                  <w:tcW w:w="769" w:type="pct"/>
                  <w:vMerge w:val="restart"/>
                  <w:noWrap w:val="0"/>
                  <w:vAlign w:val="center"/>
                </w:tcPr>
                <w:p>
                  <w:pPr>
                    <w:jc w:val="center"/>
                    <w:rPr>
                      <w:szCs w:val="21"/>
                    </w:rPr>
                  </w:pPr>
                  <w:r>
                    <w:rPr>
                      <w:szCs w:val="21"/>
                    </w:rPr>
                    <w:t>规格、组分</w:t>
                  </w:r>
                </w:p>
              </w:tc>
              <w:tc>
                <w:tcPr>
                  <w:tcW w:w="1052" w:type="pct"/>
                  <w:vMerge w:val="restart"/>
                  <w:noWrap w:val="0"/>
                  <w:vAlign w:val="center"/>
                </w:tcPr>
                <w:p>
                  <w:pPr>
                    <w:jc w:val="center"/>
                    <w:rPr>
                      <w:szCs w:val="21"/>
                    </w:rPr>
                  </w:pPr>
                  <w:r>
                    <w:rPr>
                      <w:szCs w:val="21"/>
                    </w:rPr>
                    <w:t>最大仓</w:t>
                  </w:r>
                </w:p>
                <w:p>
                  <w:pPr>
                    <w:jc w:val="center"/>
                    <w:rPr>
                      <w:szCs w:val="21"/>
                    </w:rPr>
                  </w:pPr>
                  <w:r>
                    <w:rPr>
                      <w:szCs w:val="21"/>
                    </w:rPr>
                    <w:t>储量</w:t>
                  </w:r>
                </w:p>
              </w:tc>
              <w:tc>
                <w:tcPr>
                  <w:tcW w:w="1186" w:type="pct"/>
                  <w:gridSpan w:val="3"/>
                  <w:noWrap w:val="0"/>
                  <w:vAlign w:val="center"/>
                </w:tcPr>
                <w:p>
                  <w:pPr>
                    <w:jc w:val="center"/>
                    <w:rPr>
                      <w:rFonts w:hint="eastAsia" w:eastAsia="宋体"/>
                      <w:szCs w:val="21"/>
                      <w:lang w:val="en-US" w:eastAsia="zh-CN"/>
                    </w:rPr>
                  </w:pPr>
                  <w:r>
                    <w:rPr>
                      <w:rFonts w:hint="eastAsia"/>
                      <w:szCs w:val="21"/>
                      <w:lang w:val="en-US" w:eastAsia="zh-CN"/>
                    </w:rPr>
                    <w:t>年用量（t/a）</w:t>
                  </w:r>
                </w:p>
              </w:tc>
              <w:tc>
                <w:tcPr>
                  <w:tcW w:w="662" w:type="pct"/>
                  <w:vMerge w:val="restart"/>
                  <w:noWrap w:val="0"/>
                  <w:tcMar>
                    <w:left w:w="28" w:type="dxa"/>
                    <w:right w:w="28" w:type="dxa"/>
                  </w:tcMar>
                  <w:vAlign w:val="center"/>
                </w:tcPr>
                <w:p>
                  <w:pPr>
                    <w:jc w:val="center"/>
                    <w:rPr>
                      <w:rFonts w:hint="eastAsia" w:eastAsia="宋体"/>
                      <w:szCs w:val="21"/>
                      <w:lang w:val="en-US" w:eastAsia="zh-CN"/>
                    </w:rPr>
                  </w:pPr>
                  <w:r>
                    <w:rPr>
                      <w:rFonts w:hint="eastAsia"/>
                      <w:szCs w:val="21"/>
                      <w:lang w:val="en-US" w:eastAsia="zh-CN"/>
                    </w:rPr>
                    <w:t>变化情况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2" w:hRule="atLeast"/>
              </w:trPr>
              <w:tc>
                <w:tcPr>
                  <w:tcW w:w="577" w:type="pct"/>
                  <w:vMerge w:val="continue"/>
                  <w:noWrap w:val="0"/>
                  <w:tcMar>
                    <w:left w:w="28" w:type="dxa"/>
                    <w:right w:w="28" w:type="dxa"/>
                  </w:tcMar>
                  <w:vAlign w:val="center"/>
                </w:tcPr>
                <w:p>
                  <w:pPr>
                    <w:jc w:val="center"/>
                  </w:pPr>
                </w:p>
              </w:tc>
              <w:tc>
                <w:tcPr>
                  <w:tcW w:w="752" w:type="pct"/>
                  <w:vMerge w:val="continue"/>
                  <w:noWrap w:val="0"/>
                  <w:vAlign w:val="center"/>
                </w:tcPr>
                <w:p>
                  <w:pPr>
                    <w:jc w:val="center"/>
                  </w:pPr>
                </w:p>
              </w:tc>
              <w:tc>
                <w:tcPr>
                  <w:tcW w:w="769" w:type="pct"/>
                  <w:vMerge w:val="continue"/>
                  <w:noWrap w:val="0"/>
                  <w:vAlign w:val="center"/>
                </w:tcPr>
                <w:p>
                  <w:pPr>
                    <w:jc w:val="center"/>
                  </w:pPr>
                </w:p>
              </w:tc>
              <w:tc>
                <w:tcPr>
                  <w:tcW w:w="1052" w:type="pct"/>
                  <w:vMerge w:val="continue"/>
                  <w:noWrap w:val="0"/>
                  <w:vAlign w:val="center"/>
                </w:tcPr>
                <w:p>
                  <w:pPr>
                    <w:jc w:val="center"/>
                  </w:pPr>
                </w:p>
              </w:tc>
              <w:tc>
                <w:tcPr>
                  <w:tcW w:w="658" w:type="pct"/>
                  <w:gridSpan w:val="2"/>
                  <w:noWrap w:val="0"/>
                  <w:vAlign w:val="center"/>
                </w:tcPr>
                <w:p>
                  <w:pPr>
                    <w:jc w:val="center"/>
                    <w:rPr>
                      <w:rFonts w:hint="default"/>
                      <w:szCs w:val="21"/>
                      <w:lang w:val="en-US" w:eastAsia="zh-CN"/>
                    </w:rPr>
                  </w:pPr>
                  <w:r>
                    <w:rPr>
                      <w:rFonts w:hint="eastAsia"/>
                      <w:szCs w:val="21"/>
                      <w:lang w:val="en-US" w:eastAsia="zh-CN"/>
                    </w:rPr>
                    <w:t>环评设计量</w:t>
                  </w:r>
                </w:p>
              </w:tc>
              <w:tc>
                <w:tcPr>
                  <w:tcW w:w="527" w:type="pct"/>
                  <w:noWrap w:val="0"/>
                  <w:vAlign w:val="center"/>
                </w:tcPr>
                <w:p>
                  <w:pPr>
                    <w:jc w:val="center"/>
                    <w:rPr>
                      <w:rFonts w:hint="default"/>
                      <w:szCs w:val="21"/>
                      <w:lang w:val="en-US" w:eastAsia="zh-CN"/>
                    </w:rPr>
                  </w:pPr>
                  <w:r>
                    <w:rPr>
                      <w:rFonts w:hint="eastAsia"/>
                      <w:szCs w:val="21"/>
                      <w:lang w:val="en-US" w:eastAsia="zh-CN"/>
                    </w:rPr>
                    <w:t>实际用量</w:t>
                  </w:r>
                </w:p>
              </w:tc>
              <w:tc>
                <w:tcPr>
                  <w:tcW w:w="662" w:type="pct"/>
                  <w:vMerge w:val="continue"/>
                  <w:noWrap w:val="0"/>
                  <w:tcMar>
                    <w:left w:w="28" w:type="dxa"/>
                    <w:right w:w="28" w:type="dxa"/>
                  </w:tcMar>
                  <w:vAlign w:val="center"/>
                </w:tcPr>
                <w:p>
                  <w:pPr>
                    <w:jc w:val="center"/>
                    <w:rPr>
                      <w:rFonts w:hint="eastAsia"/>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2" w:hRule="atLeast"/>
              </w:trPr>
              <w:tc>
                <w:tcPr>
                  <w:tcW w:w="577" w:type="pct"/>
                  <w:vMerge w:val="restart"/>
                  <w:noWrap w:val="0"/>
                  <w:tcMar>
                    <w:left w:w="28" w:type="dxa"/>
                    <w:right w:w="28" w:type="dxa"/>
                  </w:tcMar>
                  <w:vAlign w:val="center"/>
                </w:tcPr>
                <w:p>
                  <w:pPr>
                    <w:jc w:val="center"/>
                    <w:rPr>
                      <w:szCs w:val="21"/>
                    </w:rPr>
                  </w:pPr>
                  <w:r>
                    <w:rPr>
                      <w:szCs w:val="21"/>
                    </w:rPr>
                    <w:t>原料</w:t>
                  </w:r>
                </w:p>
              </w:tc>
              <w:tc>
                <w:tcPr>
                  <w:tcW w:w="752" w:type="pct"/>
                  <w:noWrap w:val="0"/>
                  <w:vAlign w:val="center"/>
                </w:tcPr>
                <w:p>
                  <w:pPr>
                    <w:pStyle w:val="104"/>
                    <w:spacing w:before="62" w:after="62"/>
                    <w:rPr>
                      <w:rFonts w:ascii="宋体" w:hAnsi="宋体" w:eastAsia="宋体"/>
                      <w:sz w:val="21"/>
                      <w:szCs w:val="21"/>
                    </w:rPr>
                  </w:pPr>
                  <w:r>
                    <w:rPr>
                      <w:rFonts w:ascii="宋体" w:hAnsi="宋体" w:eastAsia="宋体"/>
                      <w:sz w:val="21"/>
                      <w:szCs w:val="21"/>
                    </w:rPr>
                    <w:t>石粉</w:t>
                  </w:r>
                </w:p>
              </w:tc>
              <w:tc>
                <w:tcPr>
                  <w:tcW w:w="769" w:type="pct"/>
                  <w:noWrap w:val="0"/>
                  <w:tcMar>
                    <w:left w:w="28" w:type="dxa"/>
                    <w:right w:w="28" w:type="dxa"/>
                  </w:tcMar>
                  <w:vAlign w:val="center"/>
                </w:tcPr>
                <w:p>
                  <w:pPr>
                    <w:pStyle w:val="103"/>
                    <w:spacing w:before="62" w:after="62"/>
                    <w:rPr>
                      <w:color w:val="auto"/>
                    </w:rPr>
                  </w:pPr>
                  <w:r>
                    <w:rPr>
                      <w:rFonts w:hint="eastAsia"/>
                      <w:color w:val="auto"/>
                    </w:rPr>
                    <w:t>0~5mm</w:t>
                  </w:r>
                </w:p>
              </w:tc>
              <w:tc>
                <w:tcPr>
                  <w:tcW w:w="1052" w:type="pct"/>
                  <w:noWrap w:val="0"/>
                  <w:vAlign w:val="center"/>
                </w:tcPr>
                <w:p>
                  <w:pPr>
                    <w:pStyle w:val="104"/>
                    <w:spacing w:before="62" w:after="62"/>
                    <w:rPr>
                      <w:rFonts w:hint="eastAsia"/>
                      <w:sz w:val="21"/>
                      <w:szCs w:val="21"/>
                    </w:rPr>
                  </w:pPr>
                  <w:r>
                    <w:rPr>
                      <w:rFonts w:hint="eastAsia"/>
                      <w:sz w:val="21"/>
                      <w:szCs w:val="21"/>
                    </w:rPr>
                    <w:t>480t</w:t>
                  </w:r>
                  <w:r>
                    <w:rPr>
                      <w:rFonts w:hint="eastAsia" w:ascii="宋体" w:hAnsi="宋体" w:eastAsia="宋体"/>
                      <w:sz w:val="21"/>
                      <w:szCs w:val="21"/>
                    </w:rPr>
                    <w:t>，半封闭原料堆场</w:t>
                  </w:r>
                </w:p>
              </w:tc>
              <w:tc>
                <w:tcPr>
                  <w:tcW w:w="592" w:type="pct"/>
                  <w:noWrap w:val="0"/>
                  <w:vAlign w:val="center"/>
                </w:tcPr>
                <w:p>
                  <w:pPr>
                    <w:pStyle w:val="104"/>
                    <w:spacing w:before="62" w:after="62"/>
                    <w:rPr>
                      <w:rFonts w:hint="eastAsia"/>
                      <w:sz w:val="21"/>
                      <w:szCs w:val="21"/>
                    </w:rPr>
                  </w:pPr>
                  <w:r>
                    <w:rPr>
                      <w:rFonts w:hint="eastAsia"/>
                      <w:sz w:val="21"/>
                      <w:szCs w:val="21"/>
                    </w:rPr>
                    <w:t>4800t/a</w:t>
                  </w:r>
                </w:p>
              </w:tc>
              <w:tc>
                <w:tcPr>
                  <w:tcW w:w="593" w:type="pct"/>
                  <w:gridSpan w:val="2"/>
                  <w:noWrap w:val="0"/>
                  <w:vAlign w:val="center"/>
                </w:tcPr>
                <w:p>
                  <w:pPr>
                    <w:pStyle w:val="104"/>
                    <w:spacing w:before="62" w:after="62"/>
                    <w:rPr>
                      <w:rFonts w:hint="eastAsia"/>
                      <w:sz w:val="21"/>
                      <w:szCs w:val="21"/>
                    </w:rPr>
                  </w:pPr>
                  <w:r>
                    <w:rPr>
                      <w:rFonts w:hint="eastAsia"/>
                      <w:sz w:val="21"/>
                      <w:szCs w:val="21"/>
                    </w:rPr>
                    <w:t>4800t/a</w:t>
                  </w:r>
                </w:p>
              </w:tc>
              <w:tc>
                <w:tcPr>
                  <w:tcW w:w="662" w:type="pct"/>
                  <w:noWrap w:val="0"/>
                  <w:tcMar>
                    <w:left w:w="28" w:type="dxa"/>
                    <w:right w:w="28" w:type="dxa"/>
                  </w:tcMar>
                  <w:vAlign w:val="center"/>
                </w:tcPr>
                <w:p>
                  <w:pPr>
                    <w:jc w:val="center"/>
                    <w:rPr>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577" w:type="pct"/>
                  <w:vMerge w:val="continue"/>
                  <w:noWrap w:val="0"/>
                  <w:tcMar>
                    <w:left w:w="28" w:type="dxa"/>
                    <w:right w:w="28" w:type="dxa"/>
                  </w:tcMar>
                  <w:vAlign w:val="center"/>
                </w:tcPr>
                <w:p>
                  <w:pPr>
                    <w:jc w:val="center"/>
                    <w:rPr>
                      <w:szCs w:val="21"/>
                    </w:rPr>
                  </w:pPr>
                </w:p>
              </w:tc>
              <w:tc>
                <w:tcPr>
                  <w:tcW w:w="752" w:type="pct"/>
                  <w:noWrap w:val="0"/>
                  <w:vAlign w:val="center"/>
                </w:tcPr>
                <w:p>
                  <w:pPr>
                    <w:widowControl/>
                    <w:jc w:val="center"/>
                    <w:rPr>
                      <w:kern w:val="0"/>
                      <w:szCs w:val="21"/>
                    </w:rPr>
                  </w:pPr>
                  <w:r>
                    <w:rPr>
                      <w:kern w:val="0"/>
                      <w:szCs w:val="21"/>
                    </w:rPr>
                    <w:t>碎屑</w:t>
                  </w:r>
                </w:p>
              </w:tc>
              <w:tc>
                <w:tcPr>
                  <w:tcW w:w="769" w:type="pct"/>
                  <w:noWrap w:val="0"/>
                  <w:tcMar>
                    <w:left w:w="28" w:type="dxa"/>
                    <w:right w:w="28" w:type="dxa"/>
                  </w:tcMar>
                  <w:vAlign w:val="center"/>
                </w:tcPr>
                <w:p>
                  <w:pPr>
                    <w:pStyle w:val="103"/>
                    <w:spacing w:before="62" w:after="62"/>
                    <w:rPr>
                      <w:color w:val="auto"/>
                    </w:rPr>
                  </w:pPr>
                  <w:r>
                    <w:rPr>
                      <w:rFonts w:hint="eastAsia"/>
                      <w:color w:val="auto"/>
                    </w:rPr>
                    <w:t>0~3mm</w:t>
                  </w:r>
                </w:p>
              </w:tc>
              <w:tc>
                <w:tcPr>
                  <w:tcW w:w="1052" w:type="pct"/>
                  <w:noWrap w:val="0"/>
                  <w:vAlign w:val="center"/>
                </w:tcPr>
                <w:p>
                  <w:pPr>
                    <w:widowControl/>
                    <w:jc w:val="center"/>
                    <w:rPr>
                      <w:rFonts w:hint="eastAsia"/>
                      <w:kern w:val="0"/>
                      <w:szCs w:val="21"/>
                    </w:rPr>
                  </w:pPr>
                  <w:r>
                    <w:rPr>
                      <w:rFonts w:hint="eastAsia"/>
                      <w:kern w:val="0"/>
                      <w:szCs w:val="21"/>
                    </w:rPr>
                    <w:t>140t</w:t>
                  </w:r>
                  <w:r>
                    <w:rPr>
                      <w:rFonts w:hint="eastAsia" w:ascii="宋体" w:hAnsi="宋体"/>
                      <w:szCs w:val="21"/>
                    </w:rPr>
                    <w:t>，半封闭原料堆场</w:t>
                  </w:r>
                </w:p>
              </w:tc>
              <w:tc>
                <w:tcPr>
                  <w:tcW w:w="592" w:type="pct"/>
                  <w:noWrap w:val="0"/>
                  <w:vAlign w:val="center"/>
                </w:tcPr>
                <w:p>
                  <w:pPr>
                    <w:widowControl/>
                    <w:jc w:val="center"/>
                    <w:rPr>
                      <w:rFonts w:hint="eastAsia" w:hAnsi="宋体"/>
                      <w:sz w:val="21"/>
                      <w:szCs w:val="21"/>
                    </w:rPr>
                  </w:pPr>
                  <w:r>
                    <w:rPr>
                      <w:rFonts w:hint="eastAsia"/>
                      <w:kern w:val="0"/>
                      <w:szCs w:val="21"/>
                    </w:rPr>
                    <w:t>1400</w:t>
                  </w:r>
                  <w:r>
                    <w:rPr>
                      <w:rFonts w:hint="eastAsia"/>
                      <w:szCs w:val="21"/>
                    </w:rPr>
                    <w:t xml:space="preserve"> t/a</w:t>
                  </w:r>
                </w:p>
              </w:tc>
              <w:tc>
                <w:tcPr>
                  <w:tcW w:w="593" w:type="pct"/>
                  <w:gridSpan w:val="2"/>
                  <w:noWrap w:val="0"/>
                  <w:vAlign w:val="center"/>
                </w:tcPr>
                <w:p>
                  <w:pPr>
                    <w:widowControl/>
                    <w:jc w:val="center"/>
                    <w:rPr>
                      <w:rFonts w:hint="eastAsia" w:hAnsi="宋体"/>
                      <w:sz w:val="21"/>
                      <w:szCs w:val="21"/>
                    </w:rPr>
                  </w:pPr>
                  <w:r>
                    <w:rPr>
                      <w:rFonts w:hint="eastAsia"/>
                      <w:kern w:val="0"/>
                      <w:szCs w:val="21"/>
                    </w:rPr>
                    <w:t>1400</w:t>
                  </w:r>
                  <w:r>
                    <w:rPr>
                      <w:rFonts w:hint="eastAsia"/>
                      <w:szCs w:val="21"/>
                    </w:rPr>
                    <w:t xml:space="preserve"> t/a</w:t>
                  </w:r>
                </w:p>
              </w:tc>
              <w:tc>
                <w:tcPr>
                  <w:tcW w:w="662" w:type="pct"/>
                  <w:noWrap w:val="0"/>
                  <w:tcMar>
                    <w:left w:w="28" w:type="dxa"/>
                    <w:right w:w="28" w:type="dxa"/>
                  </w:tcMar>
                  <w:vAlign w:val="center"/>
                </w:tcPr>
                <w:p>
                  <w:pPr>
                    <w:jc w:val="center"/>
                    <w:rPr>
                      <w:rFonts w:hint="eastAsia" w:hAnsi="宋体" w:cs="宋体"/>
                      <w:kern w:val="0"/>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577" w:type="pct"/>
                  <w:vMerge w:val="continue"/>
                  <w:noWrap w:val="0"/>
                  <w:tcMar>
                    <w:left w:w="28" w:type="dxa"/>
                    <w:right w:w="28" w:type="dxa"/>
                  </w:tcMar>
                  <w:vAlign w:val="center"/>
                </w:tcPr>
                <w:p>
                  <w:pPr>
                    <w:jc w:val="center"/>
                    <w:rPr>
                      <w:szCs w:val="21"/>
                    </w:rPr>
                  </w:pPr>
                </w:p>
              </w:tc>
              <w:tc>
                <w:tcPr>
                  <w:tcW w:w="752" w:type="pct"/>
                  <w:noWrap w:val="0"/>
                  <w:vAlign w:val="center"/>
                </w:tcPr>
                <w:p>
                  <w:pPr>
                    <w:widowControl/>
                    <w:jc w:val="center"/>
                    <w:rPr>
                      <w:kern w:val="0"/>
                      <w:szCs w:val="21"/>
                    </w:rPr>
                  </w:pPr>
                  <w:r>
                    <w:rPr>
                      <w:kern w:val="0"/>
                      <w:szCs w:val="21"/>
                    </w:rPr>
                    <w:t>水泥</w:t>
                  </w:r>
                </w:p>
              </w:tc>
              <w:tc>
                <w:tcPr>
                  <w:tcW w:w="769" w:type="pct"/>
                  <w:noWrap w:val="0"/>
                  <w:tcMar>
                    <w:left w:w="28" w:type="dxa"/>
                    <w:right w:w="28" w:type="dxa"/>
                  </w:tcMar>
                  <w:vAlign w:val="center"/>
                </w:tcPr>
                <w:p>
                  <w:pPr>
                    <w:pStyle w:val="103"/>
                    <w:spacing w:before="62" w:after="62"/>
                    <w:rPr>
                      <w:color w:val="auto"/>
                    </w:rPr>
                  </w:pPr>
                  <w:r>
                    <w:rPr>
                      <w:rFonts w:hint="eastAsia"/>
                      <w:color w:val="auto"/>
                    </w:rPr>
                    <w:t>/</w:t>
                  </w:r>
                </w:p>
              </w:tc>
              <w:tc>
                <w:tcPr>
                  <w:tcW w:w="1052" w:type="pct"/>
                  <w:noWrap w:val="0"/>
                  <w:vAlign w:val="center"/>
                </w:tcPr>
                <w:p>
                  <w:pPr>
                    <w:widowControl/>
                    <w:jc w:val="center"/>
                    <w:rPr>
                      <w:rFonts w:hint="eastAsia"/>
                      <w:kern w:val="0"/>
                      <w:szCs w:val="21"/>
                    </w:rPr>
                  </w:pPr>
                  <w:r>
                    <w:rPr>
                      <w:rFonts w:hint="eastAsia"/>
                      <w:kern w:val="0"/>
                      <w:szCs w:val="21"/>
                    </w:rPr>
                    <w:t>200t，水泥筒仓</w:t>
                  </w:r>
                </w:p>
              </w:tc>
              <w:tc>
                <w:tcPr>
                  <w:tcW w:w="592" w:type="pct"/>
                  <w:noWrap w:val="0"/>
                  <w:vAlign w:val="center"/>
                </w:tcPr>
                <w:p>
                  <w:pPr>
                    <w:widowControl/>
                    <w:jc w:val="center"/>
                    <w:rPr>
                      <w:rFonts w:hint="eastAsia" w:hAnsi="宋体"/>
                      <w:sz w:val="21"/>
                      <w:szCs w:val="21"/>
                    </w:rPr>
                  </w:pPr>
                  <w:r>
                    <w:rPr>
                      <w:rFonts w:hint="eastAsia"/>
                      <w:kern w:val="0"/>
                      <w:szCs w:val="21"/>
                    </w:rPr>
                    <w:t>2000</w:t>
                  </w:r>
                  <w:r>
                    <w:rPr>
                      <w:rFonts w:hint="eastAsia"/>
                      <w:szCs w:val="21"/>
                    </w:rPr>
                    <w:t xml:space="preserve"> t/a</w:t>
                  </w:r>
                </w:p>
              </w:tc>
              <w:tc>
                <w:tcPr>
                  <w:tcW w:w="593" w:type="pct"/>
                  <w:gridSpan w:val="2"/>
                  <w:noWrap w:val="0"/>
                  <w:vAlign w:val="center"/>
                </w:tcPr>
                <w:p>
                  <w:pPr>
                    <w:widowControl/>
                    <w:jc w:val="center"/>
                    <w:rPr>
                      <w:rFonts w:hint="eastAsia" w:hAnsi="宋体"/>
                      <w:sz w:val="21"/>
                      <w:szCs w:val="21"/>
                    </w:rPr>
                  </w:pPr>
                  <w:r>
                    <w:rPr>
                      <w:rFonts w:hint="eastAsia"/>
                      <w:kern w:val="0"/>
                      <w:szCs w:val="21"/>
                    </w:rPr>
                    <w:t>2000</w:t>
                  </w:r>
                  <w:r>
                    <w:rPr>
                      <w:rFonts w:hint="eastAsia"/>
                      <w:szCs w:val="21"/>
                    </w:rPr>
                    <w:t xml:space="preserve"> t/a</w:t>
                  </w:r>
                </w:p>
              </w:tc>
              <w:tc>
                <w:tcPr>
                  <w:tcW w:w="662" w:type="pct"/>
                  <w:noWrap w:val="0"/>
                  <w:tcMar>
                    <w:left w:w="28" w:type="dxa"/>
                    <w:right w:w="28" w:type="dxa"/>
                  </w:tcMar>
                  <w:vAlign w:val="center"/>
                </w:tcPr>
                <w:p>
                  <w:pPr>
                    <w:jc w:val="center"/>
                    <w:rPr>
                      <w:rFonts w:hint="eastAsia" w:hAnsi="宋体" w:cs="宋体"/>
                      <w:kern w:val="0"/>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8" w:hRule="atLeast"/>
              </w:trPr>
              <w:tc>
                <w:tcPr>
                  <w:tcW w:w="1329" w:type="pct"/>
                  <w:gridSpan w:val="2"/>
                  <w:noWrap w:val="0"/>
                  <w:tcMar>
                    <w:left w:w="28" w:type="dxa"/>
                    <w:right w:w="28" w:type="dxa"/>
                  </w:tcMar>
                  <w:vAlign w:val="center"/>
                </w:tcPr>
                <w:p>
                  <w:pPr>
                    <w:widowControl/>
                    <w:jc w:val="center"/>
                    <w:rPr>
                      <w:szCs w:val="21"/>
                    </w:rPr>
                  </w:pPr>
                  <w:r>
                    <w:rPr>
                      <w:szCs w:val="21"/>
                    </w:rPr>
                    <w:t>电</w:t>
                  </w:r>
                </w:p>
              </w:tc>
              <w:tc>
                <w:tcPr>
                  <w:tcW w:w="769" w:type="pct"/>
                  <w:noWrap w:val="0"/>
                  <w:vAlign w:val="center"/>
                </w:tcPr>
                <w:p>
                  <w:pPr>
                    <w:widowControl/>
                    <w:jc w:val="center"/>
                    <w:rPr>
                      <w:szCs w:val="21"/>
                    </w:rPr>
                  </w:pPr>
                  <w:r>
                    <w:rPr>
                      <w:szCs w:val="21"/>
                    </w:rPr>
                    <w:t>—</w:t>
                  </w:r>
                </w:p>
              </w:tc>
              <w:tc>
                <w:tcPr>
                  <w:tcW w:w="1052" w:type="pct"/>
                  <w:noWrap w:val="0"/>
                  <w:tcMar>
                    <w:left w:w="28" w:type="dxa"/>
                    <w:right w:w="28" w:type="dxa"/>
                  </w:tcMar>
                  <w:vAlign w:val="center"/>
                </w:tcPr>
                <w:p>
                  <w:pPr>
                    <w:widowControl/>
                    <w:jc w:val="center"/>
                    <w:rPr>
                      <w:szCs w:val="21"/>
                    </w:rPr>
                  </w:pPr>
                  <w:r>
                    <w:rPr>
                      <w:szCs w:val="21"/>
                    </w:rPr>
                    <w:t>—</w:t>
                  </w:r>
                </w:p>
              </w:tc>
              <w:tc>
                <w:tcPr>
                  <w:tcW w:w="592" w:type="pct"/>
                  <w:noWrap w:val="0"/>
                  <w:vAlign w:val="center"/>
                </w:tcPr>
                <w:p>
                  <w:pPr>
                    <w:widowControl/>
                    <w:jc w:val="center"/>
                    <w:rPr>
                      <w:szCs w:val="21"/>
                    </w:rPr>
                  </w:pPr>
                  <w:r>
                    <w:rPr>
                      <w:rFonts w:hint="eastAsia"/>
                      <w:szCs w:val="21"/>
                    </w:rPr>
                    <w:t>100万kwh</w:t>
                  </w:r>
                </w:p>
              </w:tc>
              <w:tc>
                <w:tcPr>
                  <w:tcW w:w="593" w:type="pct"/>
                  <w:gridSpan w:val="2"/>
                  <w:noWrap w:val="0"/>
                  <w:vAlign w:val="center"/>
                </w:tcPr>
                <w:p>
                  <w:pPr>
                    <w:widowControl/>
                    <w:jc w:val="center"/>
                    <w:rPr>
                      <w:szCs w:val="21"/>
                    </w:rPr>
                  </w:pPr>
                  <w:r>
                    <w:rPr>
                      <w:rFonts w:hint="eastAsia"/>
                      <w:szCs w:val="21"/>
                    </w:rPr>
                    <w:t>100万kwh</w:t>
                  </w:r>
                </w:p>
              </w:tc>
              <w:tc>
                <w:tcPr>
                  <w:tcW w:w="662" w:type="pct"/>
                  <w:noWrap w:val="0"/>
                  <w:tcMar>
                    <w:left w:w="28" w:type="dxa"/>
                    <w:right w:w="28" w:type="dxa"/>
                  </w:tcMar>
                  <w:vAlign w:val="center"/>
                </w:tcPr>
                <w:p>
                  <w:pPr>
                    <w:widowControl/>
                    <w:jc w:val="center"/>
                    <w:rPr>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1" w:hRule="atLeast"/>
              </w:trPr>
              <w:tc>
                <w:tcPr>
                  <w:tcW w:w="1329" w:type="pct"/>
                  <w:gridSpan w:val="2"/>
                  <w:noWrap w:val="0"/>
                  <w:tcMar>
                    <w:left w:w="28" w:type="dxa"/>
                    <w:right w:w="28" w:type="dxa"/>
                  </w:tcMar>
                  <w:vAlign w:val="center"/>
                </w:tcPr>
                <w:p>
                  <w:pPr>
                    <w:widowControl/>
                    <w:jc w:val="center"/>
                    <w:rPr>
                      <w:szCs w:val="21"/>
                    </w:rPr>
                  </w:pPr>
                  <w:r>
                    <w:rPr>
                      <w:rFonts w:hint="eastAsia"/>
                      <w:szCs w:val="21"/>
                    </w:rPr>
                    <w:t>自来水</w:t>
                  </w:r>
                </w:p>
              </w:tc>
              <w:tc>
                <w:tcPr>
                  <w:tcW w:w="769" w:type="pct"/>
                  <w:noWrap w:val="0"/>
                  <w:vAlign w:val="center"/>
                </w:tcPr>
                <w:p>
                  <w:pPr>
                    <w:widowControl/>
                    <w:jc w:val="center"/>
                    <w:rPr>
                      <w:szCs w:val="21"/>
                    </w:rPr>
                  </w:pPr>
                  <w:r>
                    <w:rPr>
                      <w:szCs w:val="21"/>
                    </w:rPr>
                    <w:t>—</w:t>
                  </w:r>
                </w:p>
              </w:tc>
              <w:tc>
                <w:tcPr>
                  <w:tcW w:w="1052" w:type="pct"/>
                  <w:noWrap w:val="0"/>
                  <w:tcMar>
                    <w:left w:w="28" w:type="dxa"/>
                    <w:right w:w="28" w:type="dxa"/>
                  </w:tcMar>
                  <w:vAlign w:val="center"/>
                </w:tcPr>
                <w:p>
                  <w:pPr>
                    <w:widowControl/>
                    <w:jc w:val="center"/>
                    <w:rPr>
                      <w:szCs w:val="21"/>
                    </w:rPr>
                  </w:pPr>
                  <w:r>
                    <w:rPr>
                      <w:szCs w:val="21"/>
                    </w:rPr>
                    <w:t>—</w:t>
                  </w:r>
                </w:p>
              </w:tc>
              <w:tc>
                <w:tcPr>
                  <w:tcW w:w="592" w:type="pct"/>
                  <w:noWrap w:val="0"/>
                  <w:vAlign w:val="center"/>
                </w:tcPr>
                <w:p>
                  <w:pPr>
                    <w:widowControl/>
                    <w:jc w:val="center"/>
                    <w:rPr>
                      <w:szCs w:val="21"/>
                    </w:rPr>
                  </w:pPr>
                  <w:r>
                    <w:rPr>
                      <w:rFonts w:hint="eastAsia"/>
                      <w:szCs w:val="21"/>
                    </w:rPr>
                    <w:t>1813m</w:t>
                  </w:r>
                  <w:r>
                    <w:rPr>
                      <w:rFonts w:hint="eastAsia"/>
                      <w:szCs w:val="21"/>
                      <w:vertAlign w:val="superscript"/>
                    </w:rPr>
                    <w:t>3</w:t>
                  </w:r>
                </w:p>
              </w:tc>
              <w:tc>
                <w:tcPr>
                  <w:tcW w:w="593" w:type="pct"/>
                  <w:gridSpan w:val="2"/>
                  <w:noWrap w:val="0"/>
                  <w:vAlign w:val="center"/>
                </w:tcPr>
                <w:p>
                  <w:pPr>
                    <w:widowControl/>
                    <w:jc w:val="center"/>
                    <w:rPr>
                      <w:szCs w:val="21"/>
                    </w:rPr>
                  </w:pPr>
                  <w:r>
                    <w:rPr>
                      <w:rFonts w:hint="eastAsia"/>
                      <w:szCs w:val="21"/>
                    </w:rPr>
                    <w:t>1813m</w:t>
                  </w:r>
                  <w:r>
                    <w:rPr>
                      <w:rFonts w:hint="eastAsia"/>
                      <w:szCs w:val="21"/>
                      <w:vertAlign w:val="superscript"/>
                    </w:rPr>
                    <w:t>3</w:t>
                  </w:r>
                </w:p>
              </w:tc>
              <w:tc>
                <w:tcPr>
                  <w:tcW w:w="662" w:type="pct"/>
                  <w:noWrap w:val="0"/>
                  <w:tcMar>
                    <w:left w:w="28" w:type="dxa"/>
                    <w:right w:w="28" w:type="dxa"/>
                  </w:tcMar>
                  <w:vAlign w:val="center"/>
                </w:tcPr>
                <w:p>
                  <w:pPr>
                    <w:widowControl/>
                    <w:jc w:val="center"/>
                    <w:rPr>
                      <w:rFonts w:hint="eastAsia"/>
                      <w:szCs w:val="21"/>
                    </w:rPr>
                  </w:pPr>
                  <w:r>
                    <w:rPr>
                      <w:rFonts w:hint="eastAsia"/>
                      <w:szCs w:val="21"/>
                      <w:lang w:val="en-US" w:eastAsia="zh-CN"/>
                    </w:rPr>
                    <w:t>与环评一致</w:t>
                  </w:r>
                </w:p>
              </w:tc>
            </w:tr>
          </w:tbl>
          <w:p>
            <w:pPr>
              <w:adjustRightInd w:val="0"/>
              <w:snapToGrid w:val="0"/>
              <w:spacing w:line="360" w:lineRule="auto"/>
              <w:rPr>
                <w:rFonts w:hint="default" w:ascii="Times New Roman" w:hAnsi="Times New Roman" w:eastAsia="宋体" w:cs="Times New Roman"/>
                <w:b/>
                <w:bCs/>
                <w:sz w:val="24"/>
              </w:rPr>
            </w:pPr>
            <w:r>
              <w:rPr>
                <w:rFonts w:hint="eastAsia" w:asciiTheme="majorEastAsia" w:hAnsiTheme="majorEastAsia" w:eastAsiaTheme="majorEastAsia"/>
                <w:b/>
                <w:bCs/>
                <w:sz w:val="24"/>
              </w:rPr>
              <w:t>2</w:t>
            </w:r>
            <w:r>
              <w:rPr>
                <w:rFonts w:asciiTheme="majorEastAsia" w:hAnsiTheme="majorEastAsia" w:eastAsiaTheme="majorEastAsia"/>
                <w:b/>
                <w:bCs/>
                <w:sz w:val="24"/>
              </w:rPr>
              <w:t>、产品产量</w:t>
            </w:r>
          </w:p>
          <w:p>
            <w:pPr>
              <w:jc w:val="center"/>
              <w:rPr>
                <w:rFonts w:hint="default" w:ascii="Times New Roman" w:hAnsi="Times New Roman" w:eastAsia="宋体" w:cs="Times New Roman"/>
                <w:b/>
                <w:bCs/>
              </w:rPr>
            </w:pPr>
            <w:r>
              <w:rPr>
                <w:rFonts w:hint="default" w:ascii="Times New Roman" w:hAnsi="Times New Roman" w:eastAsia="宋体" w:cs="Times New Roman"/>
                <w:b/>
                <w:bCs/>
              </w:rPr>
              <w:t>表2-</w:t>
            </w:r>
            <w:r>
              <w:rPr>
                <w:rFonts w:hint="eastAsia" w:cs="Times New Roman"/>
                <w:b/>
                <w:bCs/>
                <w:lang w:val="en-US" w:eastAsia="zh-CN"/>
              </w:rPr>
              <w:t>3 本</w:t>
            </w:r>
            <w:r>
              <w:rPr>
                <w:rFonts w:hint="default" w:ascii="Times New Roman" w:hAnsi="Times New Roman" w:eastAsia="宋体" w:cs="Times New Roman"/>
                <w:b/>
                <w:bCs/>
              </w:rPr>
              <w:t>项目产品实际产量</w:t>
            </w:r>
          </w:p>
          <w:tbl>
            <w:tblPr>
              <w:tblStyle w:val="26"/>
              <w:tblW w:w="9918"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561"/>
              <w:gridCol w:w="2132"/>
              <w:gridCol w:w="2315"/>
              <w:gridCol w:w="1941"/>
              <w:gridCol w:w="1593"/>
              <w:gridCol w:w="137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663" w:hRule="atLeast"/>
                <w:jc w:val="center"/>
              </w:trPr>
              <w:tc>
                <w:tcPr>
                  <w:tcW w:w="282" w:type="pct"/>
                  <w:tcBorders>
                    <w:tl2br w:val="nil"/>
                    <w:tr2bl w:val="nil"/>
                  </w:tcBorders>
                  <w:vAlign w:val="center"/>
                </w:tcPr>
                <w:p>
                  <w:pPr>
                    <w:adjustRightInd w:val="0"/>
                    <w:snapToGrid w:val="0"/>
                    <w:spacing w:line="240" w:lineRule="auto"/>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序号</w:t>
                  </w:r>
                </w:p>
              </w:tc>
              <w:tc>
                <w:tcPr>
                  <w:tcW w:w="1074" w:type="pct"/>
                  <w:tcBorders>
                    <w:tl2br w:val="nil"/>
                    <w:tr2bl w:val="nil"/>
                  </w:tcBorders>
                  <w:vAlign w:val="center"/>
                </w:tcPr>
                <w:p>
                  <w:pPr>
                    <w:adjustRightInd w:val="0"/>
                    <w:snapToGrid w:val="0"/>
                    <w:spacing w:line="240" w:lineRule="auto"/>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产品名称</w:t>
                  </w:r>
                </w:p>
              </w:tc>
              <w:tc>
                <w:tcPr>
                  <w:tcW w:w="1167" w:type="pct"/>
                  <w:tcBorders>
                    <w:tl2br w:val="nil"/>
                    <w:tr2bl w:val="nil"/>
                  </w:tcBorders>
                  <w:vAlign w:val="center"/>
                </w:tcPr>
                <w:p>
                  <w:pPr>
                    <w:pStyle w:val="18"/>
                    <w:adjustRightInd w:val="0"/>
                    <w:snapToGrid w:val="0"/>
                    <w:spacing w:before="0" w:after="0" w:line="240" w:lineRule="auto"/>
                    <w:jc w:val="center"/>
                    <w:rPr>
                      <w:rFonts w:hint="eastAsia" w:ascii="Times New Roman" w:eastAsia="宋体"/>
                      <w:color w:val="000000" w:themeColor="text1"/>
                      <w:kern w:val="0"/>
                      <w:sz w:val="18"/>
                      <w:szCs w:val="18"/>
                      <w:lang w:eastAsia="zh-CN"/>
                      <w14:textFill>
                        <w14:solidFill>
                          <w14:schemeClr w14:val="tx1"/>
                        </w14:solidFill>
                      </w14:textFill>
                    </w:rPr>
                  </w:pPr>
                  <w:r>
                    <w:rPr>
                      <w:rFonts w:hint="eastAsia" w:ascii="Times New Roman" w:eastAsia="宋体"/>
                      <w:color w:val="000000" w:themeColor="text1"/>
                      <w:kern w:val="0"/>
                      <w:sz w:val="18"/>
                      <w:szCs w:val="18"/>
                      <w:lang w:val="en-US" w:eastAsia="zh-CN"/>
                      <w14:textFill>
                        <w14:solidFill>
                          <w14:schemeClr w14:val="tx1"/>
                        </w14:solidFill>
                      </w14:textFill>
                    </w:rPr>
                    <w:t>环评</w:t>
                  </w:r>
                  <w:r>
                    <w:rPr>
                      <w:rFonts w:ascii="Times New Roman" w:eastAsia="宋体"/>
                      <w:color w:val="000000" w:themeColor="text1"/>
                      <w:kern w:val="0"/>
                      <w:sz w:val="18"/>
                      <w:szCs w:val="18"/>
                      <w14:textFill>
                        <w14:solidFill>
                          <w14:schemeClr w14:val="tx1"/>
                        </w14:solidFill>
                      </w14:textFill>
                    </w:rPr>
                    <w:t>设计能力</w:t>
                  </w:r>
                  <w:r>
                    <w:rPr>
                      <w:rFonts w:hint="eastAsia" w:ascii="Times New Roman" w:eastAsia="宋体"/>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b w:val="0"/>
                      <w:bCs/>
                      <w:sz w:val="18"/>
                      <w:szCs w:val="18"/>
                      <w:vertAlign w:val="baseline"/>
                      <w:lang w:val="en-US" w:eastAsia="zh-CN"/>
                    </w:rPr>
                    <w:t>万平方米</w:t>
                  </w:r>
                  <w:r>
                    <w:rPr>
                      <w:rFonts w:hint="eastAsia" w:ascii="Times New Roman" w:eastAsia="宋体" w:cs="Times New Roman"/>
                      <w:b w:val="0"/>
                      <w:bCs/>
                      <w:sz w:val="18"/>
                      <w:szCs w:val="18"/>
                      <w:vertAlign w:val="baseline"/>
                      <w:lang w:val="en-US" w:eastAsia="zh-CN"/>
                    </w:rPr>
                    <w:t>/a</w:t>
                  </w:r>
                  <w:r>
                    <w:rPr>
                      <w:rFonts w:hint="eastAsia" w:ascii="Times New Roman" w:eastAsia="宋体"/>
                      <w:color w:val="000000" w:themeColor="text1"/>
                      <w:kern w:val="0"/>
                      <w:sz w:val="18"/>
                      <w:szCs w:val="18"/>
                      <w:lang w:eastAsia="zh-CN"/>
                      <w14:textFill>
                        <w14:solidFill>
                          <w14:schemeClr w14:val="tx1"/>
                        </w14:solidFill>
                      </w14:textFill>
                    </w:rPr>
                    <w:t>）</w:t>
                  </w:r>
                </w:p>
              </w:tc>
              <w:tc>
                <w:tcPr>
                  <w:tcW w:w="978" w:type="pct"/>
                  <w:tcBorders>
                    <w:tl2br w:val="nil"/>
                    <w:tr2bl w:val="nil"/>
                  </w:tcBorders>
                  <w:vAlign w:val="center"/>
                </w:tcPr>
                <w:p>
                  <w:pPr>
                    <w:pStyle w:val="18"/>
                    <w:spacing w:line="240" w:lineRule="auto"/>
                    <w:jc w:val="center"/>
                    <w:rPr>
                      <w:color w:val="000000" w:themeColor="text1"/>
                      <w:kern w:val="0"/>
                      <w:sz w:val="18"/>
                      <w:szCs w:val="18"/>
                      <w14:textFill>
                        <w14:solidFill>
                          <w14:schemeClr w14:val="tx1"/>
                        </w14:solidFill>
                      </w14:textFill>
                    </w:rPr>
                  </w:pPr>
                  <w:r>
                    <w:rPr>
                      <w:rFonts w:hint="eastAsia" w:ascii="Times New Roman" w:eastAsiaTheme="minorEastAsia"/>
                      <w:sz w:val="18"/>
                      <w:szCs w:val="18"/>
                      <w:lang w:val="en-US" w:eastAsia="zh-CN"/>
                    </w:rPr>
                    <w:t>实际</w:t>
                  </w:r>
                  <w:r>
                    <w:rPr>
                      <w:rFonts w:hint="eastAsia" w:ascii="Times New Roman" w:eastAsiaTheme="minorEastAsia"/>
                      <w:sz w:val="18"/>
                      <w:szCs w:val="18"/>
                    </w:rPr>
                    <w:t>建设内容</w:t>
                  </w:r>
                  <w:r>
                    <w:rPr>
                      <w:rFonts w:hint="eastAsia" w:ascii="Times New Roman" w:eastAsia="宋体"/>
                      <w:color w:val="000000" w:themeColor="text1"/>
                      <w:kern w:val="0"/>
                      <w:sz w:val="18"/>
                      <w:szCs w:val="18"/>
                      <w:lang w:eastAsia="zh-CN"/>
                      <w14:textFill>
                        <w14:solidFill>
                          <w14:schemeClr w14:val="tx1"/>
                        </w14:solidFill>
                      </w14:textFill>
                    </w:rPr>
                    <w:t>（</w:t>
                  </w:r>
                  <w:r>
                    <w:rPr>
                      <w:rFonts w:hint="default" w:ascii="Times New Roman" w:hAnsi="Times New Roman" w:eastAsia="宋体" w:cs="Times New Roman"/>
                      <w:b w:val="0"/>
                      <w:bCs/>
                      <w:sz w:val="18"/>
                      <w:szCs w:val="18"/>
                      <w:vertAlign w:val="baseline"/>
                      <w:lang w:val="en-US" w:eastAsia="zh-CN"/>
                    </w:rPr>
                    <w:t>万平方米</w:t>
                  </w:r>
                  <w:r>
                    <w:rPr>
                      <w:rFonts w:hint="eastAsia" w:ascii="Times New Roman" w:eastAsia="宋体" w:cs="Times New Roman"/>
                      <w:b w:val="0"/>
                      <w:bCs/>
                      <w:sz w:val="18"/>
                      <w:szCs w:val="18"/>
                      <w:vertAlign w:val="baseline"/>
                      <w:lang w:val="en-US" w:eastAsia="zh-CN"/>
                    </w:rPr>
                    <w:t>/a</w:t>
                  </w:r>
                  <w:r>
                    <w:rPr>
                      <w:rFonts w:hint="eastAsia" w:ascii="Times New Roman" w:eastAsia="宋体"/>
                      <w:color w:val="000000" w:themeColor="text1"/>
                      <w:kern w:val="0"/>
                      <w:sz w:val="18"/>
                      <w:szCs w:val="18"/>
                      <w:lang w:eastAsia="zh-CN"/>
                      <w14:textFill>
                        <w14:solidFill>
                          <w14:schemeClr w14:val="tx1"/>
                        </w14:solidFill>
                      </w14:textFill>
                    </w:rPr>
                    <w:t>）</w:t>
                  </w:r>
                </w:p>
              </w:tc>
              <w:tc>
                <w:tcPr>
                  <w:tcW w:w="803" w:type="pct"/>
                  <w:tcBorders>
                    <w:tl2br w:val="nil"/>
                    <w:tr2bl w:val="nil"/>
                  </w:tcBorders>
                  <w:vAlign w:val="center"/>
                </w:tcPr>
                <w:p>
                  <w:pPr>
                    <w:adjustRightInd w:val="0"/>
                    <w:snapToGrid w:val="0"/>
                    <w:spacing w:line="240" w:lineRule="auto"/>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年运行时数h</w:t>
                  </w:r>
                </w:p>
              </w:tc>
              <w:tc>
                <w:tcPr>
                  <w:tcW w:w="693" w:type="pct"/>
                  <w:tcBorders>
                    <w:tl2br w:val="nil"/>
                    <w:tr2bl w:val="nil"/>
                  </w:tcBorders>
                  <w:vAlign w:val="center"/>
                </w:tcPr>
                <w:p>
                  <w:pPr>
                    <w:jc w:val="center"/>
                    <w:rPr>
                      <w:color w:val="000000" w:themeColor="text1"/>
                      <w:kern w:val="0"/>
                      <w:sz w:val="18"/>
                      <w:szCs w:val="18"/>
                      <w14:textFill>
                        <w14:solidFill>
                          <w14:schemeClr w14:val="tx1"/>
                        </w14:solidFill>
                      </w14:textFill>
                    </w:rPr>
                  </w:pPr>
                  <w:r>
                    <w:rPr>
                      <w:rFonts w:hint="eastAsia"/>
                      <w:szCs w:val="21"/>
                      <w:lang w:val="en-US" w:eastAsia="zh-CN"/>
                    </w:rPr>
                    <w:t>变化情况</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82" w:type="pct"/>
                  <w:tcBorders>
                    <w:tl2br w:val="nil"/>
                    <w:tr2bl w:val="nil"/>
                  </w:tcBorders>
                  <w:vAlign w:val="center"/>
                </w:tcPr>
                <w:p>
                  <w:pPr>
                    <w:widowControl/>
                    <w:jc w:val="center"/>
                    <w:rPr>
                      <w:rFonts w:hint="default"/>
                      <w:kern w:val="0"/>
                      <w:szCs w:val="21"/>
                      <w:lang w:val="en-US" w:eastAsia="zh-CN"/>
                    </w:rPr>
                  </w:pPr>
                  <w:r>
                    <w:rPr>
                      <w:rFonts w:hint="default"/>
                      <w:kern w:val="0"/>
                      <w:szCs w:val="21"/>
                    </w:rPr>
                    <w:t>1</w:t>
                  </w:r>
                </w:p>
              </w:tc>
              <w:tc>
                <w:tcPr>
                  <w:tcW w:w="1074" w:type="pct"/>
                  <w:tcBorders>
                    <w:tl2br w:val="nil"/>
                    <w:tr2bl w:val="nil"/>
                  </w:tcBorders>
                  <w:vAlign w:val="center"/>
                </w:tcPr>
                <w:p>
                  <w:pPr>
                    <w:widowControl/>
                    <w:jc w:val="center"/>
                    <w:rPr>
                      <w:rFonts w:hint="default"/>
                      <w:kern w:val="0"/>
                      <w:szCs w:val="21"/>
                      <w:lang w:val="en-US" w:eastAsia="zh-CN"/>
                    </w:rPr>
                  </w:pPr>
                  <w:r>
                    <w:rPr>
                      <w:rFonts w:hint="eastAsia"/>
                      <w:kern w:val="0"/>
                      <w:szCs w:val="21"/>
                      <w:lang w:val="en-US" w:eastAsia="zh-CN"/>
                    </w:rPr>
                    <w:t>非承重普通混凝土空心砖</w:t>
                  </w:r>
                </w:p>
              </w:tc>
              <w:tc>
                <w:tcPr>
                  <w:tcW w:w="116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0"/>
                      <w:sz w:val="18"/>
                      <w:szCs w:val="18"/>
                      <w:lang w:val="en-US" w:eastAsia="zh-CN" w:bidi="ar-SA"/>
                      <w14:textFill>
                        <w14:solidFill>
                          <w14:schemeClr w14:val="tx1"/>
                        </w14:solidFill>
                      </w14:textFill>
                    </w:rPr>
                  </w:pPr>
                  <w:r>
                    <w:rPr>
                      <w:rFonts w:hint="eastAsia" w:cs="Times New Roman"/>
                      <w:b w:val="0"/>
                      <w:bCs/>
                      <w:sz w:val="18"/>
                      <w:szCs w:val="18"/>
                      <w:vertAlign w:val="baseline"/>
                      <w:lang w:val="en-US" w:eastAsia="zh-CN"/>
                    </w:rPr>
                    <w:t>6</w:t>
                  </w:r>
                </w:p>
              </w:tc>
              <w:tc>
                <w:tcPr>
                  <w:tcW w:w="978"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eastAsiaTheme="minorEastAsia"/>
                      <w:color w:val="000000" w:themeColor="text1"/>
                      <w:kern w:val="0"/>
                      <w:sz w:val="18"/>
                      <w:szCs w:val="18"/>
                      <w:lang w:val="en-US" w:eastAsia="zh-CN"/>
                      <w14:textFill>
                        <w14:solidFill>
                          <w14:schemeClr w14:val="tx1"/>
                        </w14:solidFill>
                      </w14:textFill>
                    </w:rPr>
                  </w:pPr>
                  <w:r>
                    <w:rPr>
                      <w:rFonts w:hint="eastAsia" w:cs="Times New Roman"/>
                      <w:b w:val="0"/>
                      <w:bCs/>
                      <w:sz w:val="18"/>
                      <w:szCs w:val="18"/>
                      <w:vertAlign w:val="baseline"/>
                      <w:lang w:val="en-US" w:eastAsia="zh-CN"/>
                    </w:rPr>
                    <w:t>6</w:t>
                  </w:r>
                </w:p>
              </w:tc>
              <w:tc>
                <w:tcPr>
                  <w:tcW w:w="803" w:type="pct"/>
                  <w:tcBorders>
                    <w:tl2br w:val="nil"/>
                    <w:tr2bl w:val="nil"/>
                  </w:tcBorders>
                  <w:vAlign w:val="center"/>
                </w:tcPr>
                <w:p>
                  <w:pPr>
                    <w:adjustRightInd w:val="0"/>
                    <w:snapToGrid w:val="0"/>
                    <w:spacing w:line="240" w:lineRule="auto"/>
                    <w:jc w:val="center"/>
                    <w:rPr>
                      <w:color w:val="000000" w:themeColor="text1"/>
                      <w:kern w:val="0"/>
                      <w:sz w:val="18"/>
                      <w:szCs w:val="18"/>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2400</w:t>
                  </w:r>
                </w:p>
              </w:tc>
              <w:tc>
                <w:tcPr>
                  <w:tcW w:w="693" w:type="pct"/>
                  <w:tcBorders>
                    <w:tl2br w:val="nil"/>
                    <w:tr2bl w:val="nil"/>
                  </w:tcBorders>
                  <w:vAlign w:val="center"/>
                </w:tcPr>
                <w:p>
                  <w:pPr>
                    <w:jc w:val="center"/>
                    <w:rPr>
                      <w:rFonts w:hint="eastAsia"/>
                      <w:color w:val="000000" w:themeColor="text1"/>
                      <w:kern w:val="0"/>
                      <w:sz w:val="18"/>
                      <w:szCs w:val="18"/>
                      <w:lang w:val="en-US" w:eastAsia="zh-CN"/>
                      <w14:textFill>
                        <w14:solidFill>
                          <w14:schemeClr w14:val="tx1"/>
                        </w14:solidFill>
                      </w14:textFill>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282" w:type="pct"/>
                  <w:tcBorders>
                    <w:tl2br w:val="nil"/>
                    <w:tr2bl w:val="nil"/>
                  </w:tcBorders>
                  <w:vAlign w:val="center"/>
                </w:tcPr>
                <w:p>
                  <w:pPr>
                    <w:widowControl/>
                    <w:jc w:val="center"/>
                    <w:rPr>
                      <w:rFonts w:hint="eastAsia"/>
                      <w:kern w:val="0"/>
                      <w:szCs w:val="21"/>
                      <w:lang w:val="en-US" w:eastAsia="zh-CN"/>
                    </w:rPr>
                  </w:pPr>
                  <w:r>
                    <w:rPr>
                      <w:rFonts w:hint="default"/>
                      <w:kern w:val="0"/>
                      <w:szCs w:val="21"/>
                      <w:lang w:val="en-US" w:eastAsia="zh-CN"/>
                    </w:rPr>
                    <w:t>2</w:t>
                  </w:r>
                </w:p>
              </w:tc>
              <w:tc>
                <w:tcPr>
                  <w:tcW w:w="1074" w:type="pct"/>
                  <w:tcBorders>
                    <w:tl2br w:val="nil"/>
                    <w:tr2bl w:val="nil"/>
                  </w:tcBorders>
                  <w:vAlign w:val="center"/>
                </w:tcPr>
                <w:p>
                  <w:pPr>
                    <w:widowControl/>
                    <w:jc w:val="center"/>
                    <w:rPr>
                      <w:rFonts w:hint="default"/>
                      <w:kern w:val="0"/>
                      <w:szCs w:val="21"/>
                      <w:lang w:val="en-US" w:eastAsia="zh-CN"/>
                    </w:rPr>
                  </w:pPr>
                  <w:r>
                    <w:rPr>
                      <w:rFonts w:hint="eastAsia"/>
                      <w:kern w:val="0"/>
                      <w:szCs w:val="21"/>
                      <w:lang w:val="en-US" w:eastAsia="zh-CN"/>
                    </w:rPr>
                    <w:t>混凝土实心砖</w:t>
                  </w:r>
                </w:p>
              </w:tc>
              <w:tc>
                <w:tcPr>
                  <w:tcW w:w="116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0"/>
                      <w:sz w:val="18"/>
                      <w:szCs w:val="18"/>
                      <w:lang w:val="en-US" w:eastAsia="zh-CN" w:bidi="ar-SA"/>
                      <w14:textFill>
                        <w14:solidFill>
                          <w14:schemeClr w14:val="tx1"/>
                        </w14:solidFill>
                      </w14:textFill>
                    </w:rPr>
                  </w:pPr>
                  <w:r>
                    <w:rPr>
                      <w:rFonts w:hint="eastAsia" w:cs="Times New Roman"/>
                      <w:b w:val="0"/>
                      <w:bCs/>
                      <w:sz w:val="18"/>
                      <w:szCs w:val="18"/>
                      <w:vertAlign w:val="baseline"/>
                      <w:lang w:val="en-US" w:eastAsia="zh-CN"/>
                    </w:rPr>
                    <w:t>3</w:t>
                  </w:r>
                </w:p>
              </w:tc>
              <w:tc>
                <w:tcPr>
                  <w:tcW w:w="978"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eastAsiaTheme="minorEastAsia"/>
                      <w:color w:val="000000" w:themeColor="text1"/>
                      <w:kern w:val="0"/>
                      <w:sz w:val="18"/>
                      <w:szCs w:val="18"/>
                      <w:lang w:val="en-US" w:eastAsia="zh-CN"/>
                      <w14:textFill>
                        <w14:solidFill>
                          <w14:schemeClr w14:val="tx1"/>
                        </w14:solidFill>
                      </w14:textFill>
                    </w:rPr>
                  </w:pPr>
                  <w:r>
                    <w:rPr>
                      <w:rFonts w:hint="eastAsia" w:cs="Times New Roman"/>
                      <w:b w:val="0"/>
                      <w:bCs/>
                      <w:sz w:val="18"/>
                      <w:szCs w:val="18"/>
                      <w:vertAlign w:val="baseline"/>
                      <w:lang w:val="en-US" w:eastAsia="zh-CN"/>
                    </w:rPr>
                    <w:t>3</w:t>
                  </w:r>
                </w:p>
              </w:tc>
              <w:tc>
                <w:tcPr>
                  <w:tcW w:w="803" w:type="pct"/>
                  <w:tcBorders>
                    <w:tl2br w:val="nil"/>
                    <w:tr2bl w:val="nil"/>
                  </w:tcBorders>
                  <w:vAlign w:val="center"/>
                </w:tcPr>
                <w:p>
                  <w:pPr>
                    <w:adjustRightInd w:val="0"/>
                    <w:snapToGrid w:val="0"/>
                    <w:spacing w:line="240" w:lineRule="auto"/>
                    <w:jc w:val="center"/>
                    <w:rPr>
                      <w:rFonts w:hint="default"/>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2400</w:t>
                  </w:r>
                </w:p>
              </w:tc>
              <w:tc>
                <w:tcPr>
                  <w:tcW w:w="693" w:type="pct"/>
                  <w:tcBorders>
                    <w:tl2br w:val="nil"/>
                    <w:tr2bl w:val="nil"/>
                  </w:tcBorders>
                  <w:vAlign w:val="center"/>
                </w:tcPr>
                <w:p>
                  <w:pPr>
                    <w:adjustRightInd w:val="0"/>
                    <w:snapToGrid w:val="0"/>
                    <w:spacing w:line="240" w:lineRule="auto"/>
                    <w:jc w:val="center"/>
                    <w:rPr>
                      <w:rFonts w:hint="eastAsia"/>
                      <w:color w:val="000000" w:themeColor="text1"/>
                      <w:kern w:val="0"/>
                      <w:sz w:val="18"/>
                      <w:szCs w:val="18"/>
                      <w:lang w:val="en-US" w:eastAsia="zh-CN"/>
                      <w14:textFill>
                        <w14:solidFill>
                          <w14:schemeClr w14:val="tx1"/>
                        </w14:solidFill>
                      </w14:textFill>
                    </w:rPr>
                  </w:pPr>
                  <w:r>
                    <w:rPr>
                      <w:rFonts w:hint="eastAsia"/>
                      <w:szCs w:val="21"/>
                      <w:lang w:val="en-US" w:eastAsia="zh-CN"/>
                    </w:rPr>
                    <w:t>与环评一致</w:t>
                  </w:r>
                </w:p>
              </w:tc>
            </w:tr>
          </w:tbl>
          <w:p>
            <w:pPr>
              <w:snapToGrid w:val="0"/>
              <w:spacing w:line="360" w:lineRule="auto"/>
              <w:rPr>
                <w:rFonts w:asciiTheme="majorEastAsia" w:hAnsiTheme="majorEastAsia" w:eastAsiaTheme="majorEastAsia"/>
                <w:b/>
                <w:bCs/>
                <w:sz w:val="24"/>
              </w:rPr>
            </w:pPr>
            <w:r>
              <w:rPr>
                <w:rFonts w:asciiTheme="majorEastAsia" w:hAnsiTheme="majorEastAsia" w:eastAsiaTheme="majorEastAsia"/>
                <w:b/>
                <w:bCs/>
                <w:sz w:val="24"/>
              </w:rPr>
              <w:t>3、</w:t>
            </w:r>
            <w:r>
              <w:rPr>
                <w:rFonts w:hint="eastAsia" w:asciiTheme="majorEastAsia" w:hAnsiTheme="majorEastAsia" w:eastAsiaTheme="majorEastAsia"/>
                <w:b/>
                <w:bCs/>
                <w:sz w:val="24"/>
              </w:rPr>
              <w:t>贮运</w:t>
            </w:r>
            <w:r>
              <w:rPr>
                <w:rFonts w:asciiTheme="majorEastAsia" w:hAnsiTheme="majorEastAsia" w:eastAsiaTheme="majorEastAsia"/>
                <w:b/>
                <w:bCs/>
                <w:sz w:val="24"/>
              </w:rPr>
              <w:t>、公用及环保工程</w:t>
            </w:r>
          </w:p>
          <w:p>
            <w:pPr>
              <w:spacing w:before="120" w:beforeLines="50"/>
              <w:jc w:val="center"/>
              <w:rPr>
                <w:rFonts w:hint="default" w:ascii="Times New Roman" w:hAnsi="Times New Roman" w:eastAsia="宋体" w:cs="Times New Roman"/>
                <w:b/>
                <w:bCs/>
              </w:rPr>
            </w:pPr>
          </w:p>
          <w:p>
            <w:pPr>
              <w:spacing w:before="120" w:beforeLines="50"/>
              <w:jc w:val="center"/>
              <w:rPr>
                <w:rFonts w:hint="eastAsia" w:cs="Times New Roman"/>
                <w:b/>
                <w:bCs/>
                <w:lang w:eastAsia="zh-CN"/>
              </w:rPr>
            </w:pPr>
            <w:r>
              <w:rPr>
                <w:rFonts w:hint="default" w:ascii="Times New Roman" w:hAnsi="Times New Roman" w:eastAsia="宋体" w:cs="Times New Roman"/>
                <w:b/>
                <w:bCs/>
              </w:rPr>
              <w:t>表2-</w:t>
            </w:r>
            <w:r>
              <w:rPr>
                <w:rFonts w:hint="eastAsia" w:cs="Times New Roman"/>
                <w:b/>
                <w:bCs/>
                <w:lang w:val="en-US" w:eastAsia="zh-CN"/>
              </w:rPr>
              <w:t xml:space="preserve">4 </w:t>
            </w:r>
            <w:r>
              <w:rPr>
                <w:rFonts w:hint="default" w:ascii="Times New Roman" w:hAnsi="Times New Roman" w:eastAsia="宋体" w:cs="Times New Roman"/>
                <w:b/>
                <w:bCs/>
              </w:rPr>
              <w:t>贮运、公用及环保工程</w:t>
            </w:r>
            <w:r>
              <w:rPr>
                <w:rFonts w:hint="eastAsia" w:cs="Times New Roman"/>
                <w:b/>
                <w:bCs/>
                <w:lang w:eastAsia="zh-CN"/>
              </w:rPr>
              <w:t>（</w:t>
            </w:r>
            <w:r>
              <w:rPr>
                <w:rFonts w:hint="eastAsia" w:cs="Times New Roman"/>
                <w:b/>
                <w:bCs/>
                <w:lang w:val="en-US" w:eastAsia="zh-CN"/>
              </w:rPr>
              <w:t>本项目</w:t>
            </w:r>
            <w:r>
              <w:rPr>
                <w:rFonts w:hint="eastAsia" w:cs="Times New Roman"/>
                <w:b/>
                <w:bCs/>
                <w:lang w:eastAsia="zh-CN"/>
              </w:rPr>
              <w:t>）</w:t>
            </w:r>
          </w:p>
          <w:tbl>
            <w:tblPr>
              <w:tblStyle w:val="26"/>
              <w:tblW w:w="9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930"/>
              <w:gridCol w:w="1211"/>
              <w:gridCol w:w="2211"/>
              <w:gridCol w:w="2198"/>
              <w:gridCol w:w="2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6" w:type="pct"/>
                  <w:vMerge w:val="restart"/>
                  <w:noWrap w:val="0"/>
                  <w:vAlign w:val="center"/>
                </w:tcPr>
                <w:p>
                  <w:pPr>
                    <w:jc w:val="center"/>
                    <w:rPr>
                      <w:szCs w:val="21"/>
                    </w:rPr>
                  </w:pPr>
                  <w:r>
                    <w:rPr>
                      <w:rFonts w:hAnsi="宋体"/>
                      <w:szCs w:val="21"/>
                    </w:rPr>
                    <w:t>类别</w:t>
                  </w:r>
                </w:p>
              </w:tc>
              <w:tc>
                <w:tcPr>
                  <w:tcW w:w="1092" w:type="pct"/>
                  <w:gridSpan w:val="2"/>
                  <w:vMerge w:val="restart"/>
                  <w:noWrap w:val="0"/>
                  <w:vAlign w:val="center"/>
                </w:tcPr>
                <w:p>
                  <w:pPr>
                    <w:jc w:val="center"/>
                    <w:rPr>
                      <w:szCs w:val="21"/>
                    </w:rPr>
                  </w:pPr>
                  <w:r>
                    <w:rPr>
                      <w:rFonts w:hAnsi="宋体"/>
                      <w:szCs w:val="21"/>
                    </w:rPr>
                    <w:t>建设名称</w:t>
                  </w:r>
                </w:p>
              </w:tc>
              <w:tc>
                <w:tcPr>
                  <w:tcW w:w="2249" w:type="pct"/>
                  <w:gridSpan w:val="2"/>
                  <w:noWrap w:val="0"/>
                  <w:vAlign w:val="center"/>
                </w:tcPr>
                <w:p>
                  <w:pPr>
                    <w:jc w:val="center"/>
                    <w:rPr>
                      <w:rFonts w:hint="default" w:hAnsi="宋体" w:eastAsia="宋体"/>
                      <w:szCs w:val="21"/>
                      <w:lang w:val="en-US" w:eastAsia="zh-CN"/>
                    </w:rPr>
                  </w:pPr>
                  <w:r>
                    <w:rPr>
                      <w:rFonts w:hint="eastAsia" w:hAnsi="宋体"/>
                      <w:szCs w:val="21"/>
                      <w:lang w:val="en-US" w:eastAsia="zh-CN"/>
                    </w:rPr>
                    <w:t>能力、规格</w:t>
                  </w:r>
                </w:p>
              </w:tc>
              <w:tc>
                <w:tcPr>
                  <w:tcW w:w="1121" w:type="pct"/>
                  <w:vMerge w:val="restart"/>
                  <w:noWrap w:val="0"/>
                  <w:vAlign w:val="center"/>
                </w:tcPr>
                <w:p>
                  <w:pPr>
                    <w:jc w:val="center"/>
                    <w:rPr>
                      <w:szCs w:val="21"/>
                    </w:rPr>
                  </w:pPr>
                  <w:r>
                    <w:rPr>
                      <w:rFonts w:hint="eastAsia"/>
                      <w:szCs w:val="21"/>
                      <w:lang w:val="en-US" w:eastAsia="zh-CN"/>
                    </w:rPr>
                    <w:t>变化情况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6" w:type="pct"/>
                  <w:vMerge w:val="continue"/>
                  <w:noWrap w:val="0"/>
                  <w:vAlign w:val="center"/>
                </w:tcPr>
                <w:p>
                  <w:pPr>
                    <w:jc w:val="center"/>
                  </w:pPr>
                </w:p>
              </w:tc>
              <w:tc>
                <w:tcPr>
                  <w:tcW w:w="1092" w:type="pct"/>
                  <w:gridSpan w:val="2"/>
                  <w:vMerge w:val="continue"/>
                  <w:noWrap w:val="0"/>
                  <w:vAlign w:val="center"/>
                </w:tcPr>
                <w:p>
                  <w:pPr>
                    <w:jc w:val="center"/>
                  </w:pPr>
                </w:p>
              </w:tc>
              <w:tc>
                <w:tcPr>
                  <w:tcW w:w="1128" w:type="pct"/>
                  <w:noWrap w:val="0"/>
                  <w:vAlign w:val="center"/>
                </w:tcPr>
                <w:p>
                  <w:pPr>
                    <w:jc w:val="center"/>
                    <w:rPr>
                      <w:rFonts w:hint="default" w:hAnsi="宋体" w:eastAsia="宋体"/>
                      <w:szCs w:val="21"/>
                      <w:lang w:val="en-US" w:eastAsia="zh-CN"/>
                    </w:rPr>
                  </w:pPr>
                  <w:r>
                    <w:rPr>
                      <w:rFonts w:hint="eastAsia" w:hAnsi="宋体"/>
                      <w:szCs w:val="21"/>
                      <w:lang w:val="en-US" w:eastAsia="zh-CN"/>
                    </w:rPr>
                    <w:t>环评设计能力</w:t>
                  </w:r>
                </w:p>
              </w:tc>
              <w:tc>
                <w:tcPr>
                  <w:tcW w:w="1121" w:type="pct"/>
                  <w:noWrap w:val="0"/>
                  <w:vAlign w:val="center"/>
                </w:tcPr>
                <w:p>
                  <w:pPr>
                    <w:jc w:val="center"/>
                    <w:rPr>
                      <w:rFonts w:hint="eastAsia" w:hAnsi="宋体" w:eastAsia="宋体"/>
                      <w:szCs w:val="21"/>
                      <w:lang w:val="en-US" w:eastAsia="zh-CN"/>
                    </w:rPr>
                  </w:pPr>
                  <w:r>
                    <w:rPr>
                      <w:rFonts w:hint="eastAsia" w:hAnsi="宋体"/>
                      <w:szCs w:val="21"/>
                      <w:lang w:val="en-US" w:eastAsia="zh-CN"/>
                    </w:rPr>
                    <w:t>实际情况</w:t>
                  </w:r>
                </w:p>
              </w:tc>
              <w:tc>
                <w:tcPr>
                  <w:tcW w:w="1121" w:type="pct"/>
                  <w:vMerge w:val="continue"/>
                  <w:noWrap w:val="0"/>
                  <w:vAlign w:val="center"/>
                </w:tcPr>
                <w:p>
                  <w:pPr>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6" w:type="pct"/>
                  <w:vMerge w:val="restart"/>
                  <w:noWrap w:val="0"/>
                  <w:vAlign w:val="center"/>
                </w:tcPr>
                <w:p>
                  <w:pPr>
                    <w:jc w:val="center"/>
                    <w:rPr>
                      <w:rFonts w:hint="eastAsia" w:hAnsi="宋体"/>
                      <w:szCs w:val="21"/>
                    </w:rPr>
                  </w:pPr>
                  <w:r>
                    <w:rPr>
                      <w:rFonts w:hint="eastAsia" w:hAnsi="宋体"/>
                      <w:szCs w:val="21"/>
                    </w:rPr>
                    <w:t>主体工程</w:t>
                  </w:r>
                </w:p>
              </w:tc>
              <w:tc>
                <w:tcPr>
                  <w:tcW w:w="1092" w:type="pct"/>
                  <w:gridSpan w:val="2"/>
                  <w:noWrap w:val="0"/>
                  <w:vAlign w:val="center"/>
                </w:tcPr>
                <w:p>
                  <w:pPr>
                    <w:jc w:val="center"/>
                    <w:rPr>
                      <w:rFonts w:hint="eastAsia" w:hAnsi="宋体"/>
                      <w:szCs w:val="21"/>
                    </w:rPr>
                  </w:pPr>
                  <w:r>
                    <w:rPr>
                      <w:rFonts w:hint="eastAsia" w:hAnsi="宋体"/>
                      <w:szCs w:val="21"/>
                    </w:rPr>
                    <w:t>生产区</w:t>
                  </w:r>
                </w:p>
              </w:tc>
              <w:tc>
                <w:tcPr>
                  <w:tcW w:w="1128" w:type="pct"/>
                  <w:noWrap w:val="0"/>
                  <w:vAlign w:val="center"/>
                </w:tcPr>
                <w:p>
                  <w:pPr>
                    <w:widowControl/>
                    <w:jc w:val="center"/>
                    <w:rPr>
                      <w:rFonts w:hint="eastAsia"/>
                      <w:kern w:val="0"/>
                      <w:szCs w:val="21"/>
                    </w:rPr>
                  </w:pPr>
                  <w:r>
                    <w:rPr>
                      <w:rFonts w:hint="eastAsia"/>
                      <w:kern w:val="0"/>
                      <w:szCs w:val="21"/>
                    </w:rPr>
                    <w:t>占地440 m</w:t>
                  </w:r>
                  <w:r>
                    <w:rPr>
                      <w:rFonts w:hint="eastAsia"/>
                      <w:kern w:val="0"/>
                      <w:szCs w:val="21"/>
                      <w:vertAlign w:val="superscript"/>
                    </w:rPr>
                    <w:t>2</w:t>
                  </w:r>
                </w:p>
              </w:tc>
              <w:tc>
                <w:tcPr>
                  <w:tcW w:w="1121" w:type="pct"/>
                  <w:noWrap w:val="0"/>
                  <w:vAlign w:val="center"/>
                </w:tcPr>
                <w:p>
                  <w:pPr>
                    <w:widowControl/>
                    <w:jc w:val="center"/>
                    <w:rPr>
                      <w:rFonts w:hint="eastAsia"/>
                      <w:kern w:val="0"/>
                      <w:szCs w:val="21"/>
                    </w:rPr>
                  </w:pPr>
                  <w:r>
                    <w:rPr>
                      <w:rFonts w:hint="eastAsia"/>
                      <w:kern w:val="0"/>
                      <w:szCs w:val="21"/>
                    </w:rPr>
                    <w:t>占地440 m</w:t>
                  </w:r>
                  <w:r>
                    <w:rPr>
                      <w:rFonts w:hint="eastAsia"/>
                      <w:kern w:val="0"/>
                      <w:szCs w:val="21"/>
                      <w:vertAlign w:val="superscript"/>
                    </w:rPr>
                    <w:t>2</w:t>
                  </w:r>
                </w:p>
              </w:tc>
              <w:tc>
                <w:tcPr>
                  <w:tcW w:w="1121" w:type="pct"/>
                  <w:noWrap w:val="0"/>
                  <w:vAlign w:val="center"/>
                </w:tcPr>
                <w:p>
                  <w:pPr>
                    <w:jc w:val="center"/>
                    <w:rPr>
                      <w:rFonts w:hint="default" w:hAnsi="宋体" w:eastAsia="宋体"/>
                      <w:szCs w:val="21"/>
                      <w:lang w:val="en-US" w:eastAsia="zh-CN"/>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9" w:hRule="atLeast"/>
                <w:jc w:val="center"/>
              </w:trPr>
              <w:tc>
                <w:tcPr>
                  <w:tcW w:w="536" w:type="pct"/>
                  <w:vMerge w:val="continue"/>
                  <w:noWrap w:val="0"/>
                  <w:vAlign w:val="center"/>
                </w:tcPr>
                <w:p>
                  <w:pPr>
                    <w:jc w:val="center"/>
                    <w:rPr>
                      <w:rFonts w:hint="eastAsia" w:hAnsi="宋体"/>
                      <w:szCs w:val="21"/>
                    </w:rPr>
                  </w:pPr>
                </w:p>
              </w:tc>
              <w:tc>
                <w:tcPr>
                  <w:tcW w:w="1092" w:type="pct"/>
                  <w:gridSpan w:val="2"/>
                  <w:noWrap w:val="0"/>
                  <w:vAlign w:val="center"/>
                </w:tcPr>
                <w:p>
                  <w:pPr>
                    <w:jc w:val="center"/>
                    <w:rPr>
                      <w:rFonts w:hint="eastAsia" w:hAnsi="宋体"/>
                      <w:szCs w:val="21"/>
                    </w:rPr>
                  </w:pPr>
                  <w:r>
                    <w:rPr>
                      <w:rFonts w:hint="eastAsia" w:hAnsi="宋体"/>
                      <w:szCs w:val="21"/>
                    </w:rPr>
                    <w:t>养护区</w:t>
                  </w:r>
                </w:p>
              </w:tc>
              <w:tc>
                <w:tcPr>
                  <w:tcW w:w="1128" w:type="pct"/>
                  <w:noWrap w:val="0"/>
                  <w:vAlign w:val="center"/>
                </w:tcPr>
                <w:p>
                  <w:pPr>
                    <w:widowControl/>
                    <w:jc w:val="center"/>
                    <w:rPr>
                      <w:rFonts w:hint="eastAsia"/>
                      <w:kern w:val="0"/>
                      <w:szCs w:val="21"/>
                    </w:rPr>
                  </w:pPr>
                  <w:r>
                    <w:rPr>
                      <w:rFonts w:hint="eastAsia"/>
                      <w:kern w:val="0"/>
                      <w:szCs w:val="21"/>
                    </w:rPr>
                    <w:t>占地1332m</w:t>
                  </w:r>
                  <w:r>
                    <w:rPr>
                      <w:rFonts w:hint="eastAsia"/>
                      <w:kern w:val="0"/>
                      <w:szCs w:val="21"/>
                      <w:vertAlign w:val="superscript"/>
                    </w:rPr>
                    <w:t>2</w:t>
                  </w:r>
                </w:p>
              </w:tc>
              <w:tc>
                <w:tcPr>
                  <w:tcW w:w="1121" w:type="pct"/>
                  <w:noWrap w:val="0"/>
                  <w:vAlign w:val="center"/>
                </w:tcPr>
                <w:p>
                  <w:pPr>
                    <w:widowControl/>
                    <w:jc w:val="center"/>
                    <w:rPr>
                      <w:rFonts w:hint="eastAsia"/>
                      <w:kern w:val="0"/>
                      <w:szCs w:val="21"/>
                    </w:rPr>
                  </w:pPr>
                  <w:r>
                    <w:rPr>
                      <w:rFonts w:hint="eastAsia"/>
                      <w:kern w:val="0"/>
                      <w:szCs w:val="21"/>
                    </w:rPr>
                    <w:t>占地1332m</w:t>
                  </w:r>
                  <w:r>
                    <w:rPr>
                      <w:rFonts w:hint="eastAsia"/>
                      <w:kern w:val="0"/>
                      <w:szCs w:val="21"/>
                      <w:vertAlign w:val="superscript"/>
                    </w:rPr>
                    <w:t>2</w:t>
                  </w:r>
                </w:p>
              </w:tc>
              <w:tc>
                <w:tcPr>
                  <w:tcW w:w="1121" w:type="pct"/>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restart"/>
                  <w:noWrap w:val="0"/>
                  <w:vAlign w:val="center"/>
                </w:tcPr>
                <w:p>
                  <w:pPr>
                    <w:jc w:val="center"/>
                    <w:rPr>
                      <w:szCs w:val="21"/>
                    </w:rPr>
                  </w:pPr>
                  <w:r>
                    <w:rPr>
                      <w:rFonts w:hAnsi="宋体"/>
                      <w:szCs w:val="21"/>
                    </w:rPr>
                    <w:t>贮运工程</w:t>
                  </w:r>
                </w:p>
              </w:tc>
              <w:tc>
                <w:tcPr>
                  <w:tcW w:w="1092" w:type="pct"/>
                  <w:gridSpan w:val="2"/>
                  <w:noWrap w:val="0"/>
                  <w:vAlign w:val="center"/>
                </w:tcPr>
                <w:p>
                  <w:pPr>
                    <w:jc w:val="center"/>
                    <w:rPr>
                      <w:szCs w:val="21"/>
                    </w:rPr>
                  </w:pPr>
                  <w:r>
                    <w:rPr>
                      <w:rFonts w:hint="eastAsia" w:hAnsi="宋体"/>
                      <w:szCs w:val="21"/>
                    </w:rPr>
                    <w:t>原料堆场</w:t>
                  </w:r>
                </w:p>
              </w:tc>
              <w:tc>
                <w:tcPr>
                  <w:tcW w:w="1128" w:type="pct"/>
                  <w:noWrap w:val="0"/>
                  <w:vAlign w:val="center"/>
                </w:tcPr>
                <w:p>
                  <w:pPr>
                    <w:jc w:val="center"/>
                    <w:rPr>
                      <w:szCs w:val="21"/>
                    </w:rPr>
                  </w:pPr>
                  <w:r>
                    <w:rPr>
                      <w:rFonts w:hint="eastAsia"/>
                    </w:rPr>
                    <w:t>占地320m</w:t>
                  </w:r>
                  <w:r>
                    <w:rPr>
                      <w:rFonts w:hint="eastAsia"/>
                      <w:vertAlign w:val="superscript"/>
                    </w:rPr>
                    <w:t>2</w:t>
                  </w:r>
                </w:p>
              </w:tc>
              <w:tc>
                <w:tcPr>
                  <w:tcW w:w="1121" w:type="pct"/>
                  <w:noWrap w:val="0"/>
                  <w:vAlign w:val="center"/>
                </w:tcPr>
                <w:p>
                  <w:pPr>
                    <w:jc w:val="center"/>
                    <w:rPr>
                      <w:rFonts w:hint="eastAsia"/>
                    </w:rPr>
                  </w:pPr>
                  <w:r>
                    <w:rPr>
                      <w:rFonts w:hint="eastAsia"/>
                    </w:rPr>
                    <w:t>占地320m</w:t>
                  </w:r>
                  <w:r>
                    <w:rPr>
                      <w:rFonts w:hint="eastAsia"/>
                      <w:vertAlign w:val="superscript"/>
                    </w:rPr>
                    <w:t>2</w:t>
                  </w:r>
                </w:p>
              </w:tc>
              <w:tc>
                <w:tcPr>
                  <w:tcW w:w="1121" w:type="pct"/>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9" w:hRule="atLeast"/>
                <w:jc w:val="center"/>
              </w:trPr>
              <w:tc>
                <w:tcPr>
                  <w:tcW w:w="536" w:type="pct"/>
                  <w:vMerge w:val="continue"/>
                  <w:noWrap w:val="0"/>
                  <w:vAlign w:val="center"/>
                </w:tcPr>
                <w:p>
                  <w:pPr>
                    <w:jc w:val="center"/>
                    <w:rPr>
                      <w:szCs w:val="21"/>
                    </w:rPr>
                  </w:pPr>
                </w:p>
              </w:tc>
              <w:tc>
                <w:tcPr>
                  <w:tcW w:w="1092" w:type="pct"/>
                  <w:gridSpan w:val="2"/>
                  <w:noWrap w:val="0"/>
                  <w:vAlign w:val="center"/>
                </w:tcPr>
                <w:p>
                  <w:pPr>
                    <w:jc w:val="center"/>
                    <w:rPr>
                      <w:szCs w:val="21"/>
                    </w:rPr>
                  </w:pPr>
                  <w:r>
                    <w:rPr>
                      <w:rFonts w:hint="eastAsia" w:hAnsi="宋体"/>
                      <w:szCs w:val="21"/>
                    </w:rPr>
                    <w:t>成品堆场</w:t>
                  </w:r>
                </w:p>
              </w:tc>
              <w:tc>
                <w:tcPr>
                  <w:tcW w:w="1128" w:type="pct"/>
                  <w:noWrap w:val="0"/>
                  <w:vAlign w:val="center"/>
                </w:tcPr>
                <w:p>
                  <w:pPr>
                    <w:jc w:val="center"/>
                    <w:rPr>
                      <w:szCs w:val="21"/>
                    </w:rPr>
                  </w:pPr>
                  <w:r>
                    <w:rPr>
                      <w:rFonts w:hint="eastAsia"/>
                      <w:kern w:val="0"/>
                      <w:szCs w:val="21"/>
                    </w:rPr>
                    <w:t>占地1568</w:t>
                  </w:r>
                  <w:r>
                    <w:rPr>
                      <w:rFonts w:hint="eastAsia"/>
                    </w:rPr>
                    <w:t>m</w:t>
                  </w:r>
                  <w:r>
                    <w:rPr>
                      <w:rFonts w:hint="eastAsia"/>
                      <w:vertAlign w:val="superscript"/>
                    </w:rPr>
                    <w:t>2</w:t>
                  </w:r>
                </w:p>
              </w:tc>
              <w:tc>
                <w:tcPr>
                  <w:tcW w:w="1121" w:type="pct"/>
                  <w:noWrap w:val="0"/>
                  <w:vAlign w:val="center"/>
                </w:tcPr>
                <w:p>
                  <w:pPr>
                    <w:jc w:val="center"/>
                    <w:rPr>
                      <w:rFonts w:hint="eastAsia"/>
                      <w:kern w:val="0"/>
                      <w:szCs w:val="21"/>
                    </w:rPr>
                  </w:pPr>
                  <w:r>
                    <w:rPr>
                      <w:rFonts w:hint="eastAsia"/>
                      <w:kern w:val="0"/>
                      <w:szCs w:val="21"/>
                    </w:rPr>
                    <w:t>占地1568</w:t>
                  </w:r>
                  <w:r>
                    <w:rPr>
                      <w:rFonts w:hint="eastAsia"/>
                    </w:rPr>
                    <w:t>m</w:t>
                  </w:r>
                  <w:r>
                    <w:rPr>
                      <w:rFonts w:hint="eastAsia"/>
                      <w:vertAlign w:val="superscript"/>
                    </w:rPr>
                    <w:t>2</w:t>
                  </w:r>
                </w:p>
              </w:tc>
              <w:tc>
                <w:tcPr>
                  <w:tcW w:w="1121" w:type="pct"/>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restart"/>
                  <w:noWrap w:val="0"/>
                  <w:vAlign w:val="center"/>
                </w:tcPr>
                <w:p>
                  <w:pPr>
                    <w:jc w:val="center"/>
                    <w:rPr>
                      <w:szCs w:val="21"/>
                      <w:highlight w:val="yellow"/>
                    </w:rPr>
                  </w:pPr>
                  <w:r>
                    <w:rPr>
                      <w:rFonts w:hAnsi="宋体"/>
                      <w:szCs w:val="21"/>
                    </w:rPr>
                    <w:t>公用工程</w:t>
                  </w:r>
                </w:p>
              </w:tc>
              <w:tc>
                <w:tcPr>
                  <w:tcW w:w="1092" w:type="pct"/>
                  <w:gridSpan w:val="2"/>
                  <w:noWrap w:val="0"/>
                  <w:vAlign w:val="center"/>
                </w:tcPr>
                <w:p>
                  <w:pPr>
                    <w:jc w:val="center"/>
                    <w:rPr>
                      <w:szCs w:val="21"/>
                    </w:rPr>
                  </w:pPr>
                  <w:r>
                    <w:rPr>
                      <w:rFonts w:hAnsi="宋体"/>
                      <w:szCs w:val="21"/>
                    </w:rPr>
                    <w:t>给水</w:t>
                  </w:r>
                </w:p>
              </w:tc>
              <w:tc>
                <w:tcPr>
                  <w:tcW w:w="1128" w:type="pct"/>
                  <w:noWrap w:val="0"/>
                  <w:vAlign w:val="center"/>
                </w:tcPr>
                <w:p>
                  <w:pPr>
                    <w:jc w:val="center"/>
                    <w:rPr>
                      <w:szCs w:val="21"/>
                    </w:rPr>
                  </w:pPr>
                  <w:r>
                    <w:rPr>
                      <w:rFonts w:hint="eastAsia"/>
                      <w:szCs w:val="21"/>
                    </w:rPr>
                    <w:t>1813</w:t>
                  </w:r>
                  <w:r>
                    <w:rPr>
                      <w:rFonts w:hint="eastAsia"/>
                    </w:rPr>
                    <w:t>m</w:t>
                  </w:r>
                  <w:r>
                    <w:rPr>
                      <w:rFonts w:hint="eastAsia"/>
                      <w:vertAlign w:val="superscript"/>
                    </w:rPr>
                    <w:t>3</w:t>
                  </w:r>
                  <w:r>
                    <w:rPr>
                      <w:rFonts w:hint="eastAsia"/>
                    </w:rPr>
                    <w:t>/a</w:t>
                  </w:r>
                </w:p>
              </w:tc>
              <w:tc>
                <w:tcPr>
                  <w:tcW w:w="1121" w:type="pct"/>
                  <w:noWrap w:val="0"/>
                  <w:vAlign w:val="center"/>
                </w:tcPr>
                <w:p>
                  <w:pPr>
                    <w:jc w:val="center"/>
                    <w:rPr>
                      <w:rFonts w:hint="eastAsia"/>
                      <w:szCs w:val="21"/>
                    </w:rPr>
                  </w:pPr>
                  <w:r>
                    <w:rPr>
                      <w:rFonts w:hint="eastAsia"/>
                      <w:szCs w:val="21"/>
                    </w:rPr>
                    <w:t>1813</w:t>
                  </w:r>
                  <w:r>
                    <w:rPr>
                      <w:rFonts w:hint="eastAsia"/>
                    </w:rPr>
                    <w:t>m</w:t>
                  </w:r>
                  <w:r>
                    <w:rPr>
                      <w:rFonts w:hint="eastAsia"/>
                      <w:vertAlign w:val="superscript"/>
                    </w:rPr>
                    <w:t>3</w:t>
                  </w:r>
                  <w:r>
                    <w:rPr>
                      <w:rFonts w:hint="eastAsia"/>
                    </w:rPr>
                    <w:t>/a</w:t>
                  </w:r>
                </w:p>
              </w:tc>
              <w:tc>
                <w:tcPr>
                  <w:tcW w:w="1121" w:type="pct"/>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continue"/>
                  <w:noWrap w:val="0"/>
                  <w:vAlign w:val="center"/>
                </w:tcPr>
                <w:p>
                  <w:pPr>
                    <w:jc w:val="center"/>
                    <w:rPr>
                      <w:szCs w:val="21"/>
                      <w:highlight w:val="yellow"/>
                    </w:rPr>
                  </w:pPr>
                </w:p>
              </w:tc>
              <w:tc>
                <w:tcPr>
                  <w:tcW w:w="1092" w:type="pct"/>
                  <w:gridSpan w:val="2"/>
                  <w:noWrap w:val="0"/>
                  <w:vAlign w:val="center"/>
                </w:tcPr>
                <w:p>
                  <w:pPr>
                    <w:jc w:val="center"/>
                    <w:rPr>
                      <w:szCs w:val="21"/>
                    </w:rPr>
                  </w:pPr>
                  <w:r>
                    <w:rPr>
                      <w:rFonts w:hAnsi="宋体"/>
                      <w:szCs w:val="21"/>
                    </w:rPr>
                    <w:t>排水</w:t>
                  </w:r>
                </w:p>
              </w:tc>
              <w:tc>
                <w:tcPr>
                  <w:tcW w:w="1128" w:type="pct"/>
                  <w:noWrap w:val="0"/>
                  <w:vAlign w:val="center"/>
                </w:tcPr>
                <w:p>
                  <w:pPr>
                    <w:jc w:val="center"/>
                  </w:pPr>
                  <w:r>
                    <w:rPr>
                      <w:rFonts w:hint="eastAsia"/>
                    </w:rPr>
                    <w:t>153m</w:t>
                  </w:r>
                  <w:r>
                    <w:rPr>
                      <w:rFonts w:hint="eastAsia"/>
                      <w:vertAlign w:val="superscript"/>
                    </w:rPr>
                    <w:t>3</w:t>
                  </w:r>
                  <w:r>
                    <w:rPr>
                      <w:rFonts w:hint="eastAsia"/>
                    </w:rPr>
                    <w:t>/a</w:t>
                  </w:r>
                </w:p>
              </w:tc>
              <w:tc>
                <w:tcPr>
                  <w:tcW w:w="1121" w:type="pct"/>
                  <w:noWrap w:val="0"/>
                  <w:vAlign w:val="center"/>
                </w:tcPr>
                <w:p>
                  <w:pPr>
                    <w:jc w:val="center"/>
                    <w:rPr>
                      <w:rFonts w:hint="eastAsia"/>
                    </w:rPr>
                  </w:pPr>
                  <w:r>
                    <w:rPr>
                      <w:rFonts w:hint="eastAsia"/>
                    </w:rPr>
                    <w:t>153m</w:t>
                  </w:r>
                  <w:r>
                    <w:rPr>
                      <w:rFonts w:hint="eastAsia"/>
                      <w:vertAlign w:val="superscript"/>
                    </w:rPr>
                    <w:t>3</w:t>
                  </w:r>
                  <w:r>
                    <w:rPr>
                      <w:rFonts w:hint="eastAsia"/>
                    </w:rPr>
                    <w:t>/a</w:t>
                  </w:r>
                </w:p>
              </w:tc>
              <w:tc>
                <w:tcPr>
                  <w:tcW w:w="1121" w:type="pct"/>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continue"/>
                  <w:noWrap w:val="0"/>
                  <w:vAlign w:val="center"/>
                </w:tcPr>
                <w:p>
                  <w:pPr>
                    <w:jc w:val="center"/>
                    <w:rPr>
                      <w:szCs w:val="21"/>
                      <w:highlight w:val="yellow"/>
                    </w:rPr>
                  </w:pPr>
                </w:p>
              </w:tc>
              <w:tc>
                <w:tcPr>
                  <w:tcW w:w="1092" w:type="pct"/>
                  <w:gridSpan w:val="2"/>
                  <w:noWrap w:val="0"/>
                  <w:vAlign w:val="center"/>
                </w:tcPr>
                <w:p>
                  <w:pPr>
                    <w:jc w:val="center"/>
                    <w:rPr>
                      <w:szCs w:val="21"/>
                    </w:rPr>
                  </w:pPr>
                  <w:r>
                    <w:rPr>
                      <w:rFonts w:hAnsi="宋体"/>
                      <w:szCs w:val="21"/>
                    </w:rPr>
                    <w:t>供电</w:t>
                  </w:r>
                </w:p>
              </w:tc>
              <w:tc>
                <w:tcPr>
                  <w:tcW w:w="1128" w:type="pct"/>
                  <w:noWrap w:val="0"/>
                  <w:vAlign w:val="center"/>
                </w:tcPr>
                <w:p>
                  <w:pPr>
                    <w:jc w:val="center"/>
                    <w:rPr>
                      <w:szCs w:val="21"/>
                    </w:rPr>
                  </w:pPr>
                  <w:r>
                    <w:rPr>
                      <w:rFonts w:hint="eastAsia"/>
                    </w:rPr>
                    <w:t>100万kwh/a</w:t>
                  </w:r>
                </w:p>
              </w:tc>
              <w:tc>
                <w:tcPr>
                  <w:tcW w:w="1121" w:type="pct"/>
                  <w:noWrap w:val="0"/>
                  <w:vAlign w:val="center"/>
                </w:tcPr>
                <w:p>
                  <w:pPr>
                    <w:jc w:val="center"/>
                    <w:rPr>
                      <w:rFonts w:hint="eastAsia"/>
                    </w:rPr>
                  </w:pPr>
                  <w:r>
                    <w:rPr>
                      <w:rFonts w:hint="eastAsia"/>
                    </w:rPr>
                    <w:t>100万kwh/a</w:t>
                  </w:r>
                </w:p>
              </w:tc>
              <w:tc>
                <w:tcPr>
                  <w:tcW w:w="1121" w:type="pct"/>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6" w:type="pct"/>
                  <w:vMerge w:val="restart"/>
                  <w:shd w:val="clear" w:color="auto" w:fill="auto"/>
                  <w:noWrap w:val="0"/>
                  <w:vAlign w:val="center"/>
                </w:tcPr>
                <w:p>
                  <w:pPr>
                    <w:jc w:val="center"/>
                    <w:rPr>
                      <w:szCs w:val="21"/>
                    </w:rPr>
                  </w:pPr>
                  <w:r>
                    <w:t>环保工程</w:t>
                  </w:r>
                </w:p>
              </w:tc>
              <w:tc>
                <w:tcPr>
                  <w:tcW w:w="474" w:type="pct"/>
                  <w:shd w:val="clear" w:color="auto" w:fill="auto"/>
                  <w:noWrap w:val="0"/>
                  <w:vAlign w:val="center"/>
                </w:tcPr>
                <w:p>
                  <w:pPr>
                    <w:jc w:val="center"/>
                    <w:rPr>
                      <w:rFonts w:hAnsi="宋体"/>
                      <w:szCs w:val="21"/>
                    </w:rPr>
                  </w:pPr>
                  <w:r>
                    <w:rPr>
                      <w:rFonts w:hint="eastAsia"/>
                    </w:rPr>
                    <w:t>废水</w:t>
                  </w:r>
                </w:p>
              </w:tc>
              <w:tc>
                <w:tcPr>
                  <w:tcW w:w="617" w:type="pct"/>
                  <w:shd w:val="clear" w:color="auto" w:fill="auto"/>
                  <w:noWrap w:val="0"/>
                  <w:vAlign w:val="center"/>
                </w:tcPr>
                <w:p>
                  <w:pPr>
                    <w:jc w:val="center"/>
                    <w:rPr>
                      <w:rFonts w:hint="eastAsia" w:hAnsi="宋体"/>
                      <w:szCs w:val="21"/>
                    </w:rPr>
                  </w:pPr>
                  <w:r>
                    <w:rPr>
                      <w:rFonts w:hint="eastAsia" w:hAnsi="宋体"/>
                      <w:szCs w:val="21"/>
                    </w:rPr>
                    <w:t>生活污水</w:t>
                  </w:r>
                </w:p>
              </w:tc>
              <w:tc>
                <w:tcPr>
                  <w:tcW w:w="1128" w:type="pct"/>
                  <w:shd w:val="clear" w:color="auto" w:fill="auto"/>
                  <w:noWrap w:val="0"/>
                  <w:vAlign w:val="center"/>
                </w:tcPr>
                <w:p>
                  <w:pPr>
                    <w:jc w:val="center"/>
                    <w:rPr>
                      <w:szCs w:val="21"/>
                    </w:rPr>
                  </w:pPr>
                  <w:r>
                    <w:rPr>
                      <w:rFonts w:hint="eastAsia" w:hAnsi="宋体"/>
                      <w:szCs w:val="21"/>
                    </w:rPr>
                    <w:t>化粪池</w:t>
                  </w:r>
                  <w:r>
                    <w:rPr>
                      <w:rFonts w:hint="eastAsia"/>
                    </w:rPr>
                    <w:t>30m</w:t>
                  </w:r>
                  <w:r>
                    <w:rPr>
                      <w:rFonts w:hint="eastAsia"/>
                      <w:vertAlign w:val="superscript"/>
                    </w:rPr>
                    <w:t>3</w:t>
                  </w:r>
                </w:p>
              </w:tc>
              <w:tc>
                <w:tcPr>
                  <w:tcW w:w="1121" w:type="pct"/>
                  <w:shd w:val="clear" w:color="auto" w:fill="auto"/>
                  <w:noWrap w:val="0"/>
                  <w:vAlign w:val="center"/>
                </w:tcPr>
                <w:p>
                  <w:pPr>
                    <w:jc w:val="center"/>
                    <w:rPr>
                      <w:rFonts w:hint="eastAsia" w:hAnsi="宋体"/>
                      <w:szCs w:val="21"/>
                    </w:rPr>
                  </w:pPr>
                  <w:r>
                    <w:rPr>
                      <w:rFonts w:hint="eastAsia" w:hAnsi="宋体"/>
                      <w:szCs w:val="21"/>
                    </w:rPr>
                    <w:t>化粪池</w:t>
                  </w:r>
                  <w:r>
                    <w:rPr>
                      <w:rFonts w:hint="eastAsia"/>
                    </w:rPr>
                    <w:t>30m</w:t>
                  </w:r>
                  <w:r>
                    <w:rPr>
                      <w:rFonts w:hint="eastAsia"/>
                      <w:vertAlign w:val="superscript"/>
                    </w:rPr>
                    <w:t>3</w:t>
                  </w:r>
                </w:p>
              </w:tc>
              <w:tc>
                <w:tcPr>
                  <w:tcW w:w="1121" w:type="pct"/>
                  <w:shd w:val="clear" w:color="auto" w:fill="auto"/>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36" w:type="pct"/>
                  <w:vMerge w:val="continue"/>
                  <w:shd w:val="clear" w:color="auto" w:fill="auto"/>
                  <w:noWrap w:val="0"/>
                  <w:vAlign w:val="center"/>
                </w:tcPr>
                <w:p>
                  <w:pPr>
                    <w:jc w:val="center"/>
                  </w:pPr>
                </w:p>
              </w:tc>
              <w:tc>
                <w:tcPr>
                  <w:tcW w:w="474" w:type="pct"/>
                  <w:shd w:val="clear" w:color="auto" w:fill="auto"/>
                  <w:noWrap w:val="0"/>
                  <w:vAlign w:val="center"/>
                </w:tcPr>
                <w:p>
                  <w:pPr>
                    <w:spacing w:line="240" w:lineRule="exact"/>
                    <w:jc w:val="center"/>
                    <w:rPr>
                      <w:rFonts w:hint="eastAsia"/>
                    </w:rPr>
                  </w:pPr>
                  <w:r>
                    <w:t>废气</w:t>
                  </w:r>
                </w:p>
              </w:tc>
              <w:tc>
                <w:tcPr>
                  <w:tcW w:w="617" w:type="pct"/>
                  <w:shd w:val="clear" w:color="auto" w:fill="auto"/>
                  <w:noWrap w:val="0"/>
                  <w:vAlign w:val="center"/>
                </w:tcPr>
                <w:p>
                  <w:pPr>
                    <w:spacing w:line="240" w:lineRule="exact"/>
                    <w:jc w:val="center"/>
                    <w:rPr>
                      <w:rFonts w:hint="eastAsia"/>
                    </w:rPr>
                  </w:pPr>
                  <w:r>
                    <w:rPr>
                      <w:rFonts w:hint="eastAsia"/>
                    </w:rPr>
                    <w:t>颗粒物</w:t>
                  </w:r>
                </w:p>
              </w:tc>
              <w:tc>
                <w:tcPr>
                  <w:tcW w:w="1128" w:type="pct"/>
                  <w:shd w:val="clear" w:color="auto" w:fill="auto"/>
                  <w:noWrap w:val="0"/>
                  <w:vAlign w:val="center"/>
                </w:tcPr>
                <w:p>
                  <w:pPr>
                    <w:jc w:val="center"/>
                    <w:rPr>
                      <w:rFonts w:hint="eastAsia"/>
                    </w:rPr>
                  </w:pPr>
                  <w:r>
                    <w:rPr>
                      <w:rFonts w:hint="eastAsia"/>
                      <w:szCs w:val="21"/>
                    </w:rPr>
                    <w:t>布袋除尘，除尘效率99.9%</w:t>
                  </w:r>
                </w:p>
              </w:tc>
              <w:tc>
                <w:tcPr>
                  <w:tcW w:w="1121" w:type="pct"/>
                  <w:shd w:val="clear" w:color="auto" w:fill="auto"/>
                  <w:noWrap w:val="0"/>
                  <w:vAlign w:val="center"/>
                </w:tcPr>
                <w:p>
                  <w:pPr>
                    <w:jc w:val="center"/>
                    <w:rPr>
                      <w:rFonts w:hint="eastAsia"/>
                      <w:szCs w:val="21"/>
                    </w:rPr>
                  </w:pPr>
                  <w:r>
                    <w:rPr>
                      <w:rFonts w:hint="eastAsia"/>
                      <w:szCs w:val="21"/>
                    </w:rPr>
                    <w:t>布袋除尘，除尘效率99.9%</w:t>
                  </w:r>
                </w:p>
              </w:tc>
              <w:tc>
                <w:tcPr>
                  <w:tcW w:w="1121" w:type="pct"/>
                  <w:shd w:val="clear" w:color="auto" w:fill="auto"/>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36" w:type="pct"/>
                  <w:vMerge w:val="continue"/>
                  <w:shd w:val="clear" w:color="auto" w:fill="auto"/>
                  <w:noWrap w:val="0"/>
                  <w:vAlign w:val="center"/>
                </w:tcPr>
                <w:p>
                  <w:pPr>
                    <w:jc w:val="center"/>
                  </w:pPr>
                </w:p>
              </w:tc>
              <w:tc>
                <w:tcPr>
                  <w:tcW w:w="1092" w:type="pct"/>
                  <w:gridSpan w:val="2"/>
                  <w:shd w:val="clear" w:color="auto" w:fill="auto"/>
                  <w:noWrap w:val="0"/>
                  <w:vAlign w:val="center"/>
                </w:tcPr>
                <w:p>
                  <w:pPr>
                    <w:spacing w:line="240" w:lineRule="exact"/>
                    <w:jc w:val="center"/>
                    <w:rPr>
                      <w:rFonts w:hint="eastAsia"/>
                    </w:rPr>
                  </w:pPr>
                  <w:r>
                    <w:rPr>
                      <w:rFonts w:hint="eastAsia"/>
                    </w:rPr>
                    <w:t>噪声</w:t>
                  </w:r>
                </w:p>
              </w:tc>
              <w:tc>
                <w:tcPr>
                  <w:tcW w:w="1128" w:type="pct"/>
                  <w:shd w:val="clear" w:color="auto" w:fill="auto"/>
                  <w:noWrap w:val="0"/>
                  <w:vAlign w:val="center"/>
                </w:tcPr>
                <w:p>
                  <w:pPr>
                    <w:jc w:val="center"/>
                    <w:rPr>
                      <w:rFonts w:hint="eastAsia"/>
                    </w:rPr>
                  </w:pPr>
                  <w:r>
                    <w:rPr>
                      <w:rFonts w:hint="eastAsia"/>
                    </w:rPr>
                    <w:t>隔声、减震</w:t>
                  </w:r>
                </w:p>
              </w:tc>
              <w:tc>
                <w:tcPr>
                  <w:tcW w:w="1121" w:type="pct"/>
                  <w:shd w:val="clear" w:color="auto" w:fill="auto"/>
                  <w:noWrap w:val="0"/>
                  <w:vAlign w:val="center"/>
                </w:tcPr>
                <w:p>
                  <w:pPr>
                    <w:jc w:val="center"/>
                    <w:rPr>
                      <w:rFonts w:hint="eastAsia"/>
                    </w:rPr>
                  </w:pPr>
                  <w:r>
                    <w:rPr>
                      <w:rFonts w:hint="eastAsia"/>
                    </w:rPr>
                    <w:t>隔声、减震</w:t>
                  </w:r>
                </w:p>
              </w:tc>
              <w:tc>
                <w:tcPr>
                  <w:tcW w:w="1121" w:type="pct"/>
                  <w:shd w:val="clear" w:color="auto" w:fill="auto"/>
                  <w:noWrap w:val="0"/>
                  <w:vAlign w:val="center"/>
                </w:tcPr>
                <w:p>
                  <w:pPr>
                    <w:jc w:val="center"/>
                    <w:rPr>
                      <w:rFonts w:hint="eastAsia"/>
                      <w:szCs w:val="21"/>
                    </w:rPr>
                  </w:pPr>
                  <w:r>
                    <w:rPr>
                      <w:rFonts w:hint="eastAsia"/>
                      <w:szCs w:val="21"/>
                      <w:lang w:val="en-US" w:eastAsia="zh-CN"/>
                    </w:rPr>
                    <w:t>与环评一致</w:t>
                  </w:r>
                </w:p>
              </w:tc>
            </w:tr>
          </w:tbl>
          <w:p>
            <w:pPr>
              <w:numPr>
                <w:ilvl w:val="0"/>
                <w:numId w:val="2"/>
              </w:numPr>
              <w:adjustRightInd w:val="0"/>
              <w:snapToGrid w:val="0"/>
              <w:spacing w:line="360" w:lineRule="auto"/>
              <w:rPr>
                <w:b/>
                <w:bCs/>
              </w:rPr>
            </w:pPr>
            <w:r>
              <w:rPr>
                <w:rFonts w:hint="eastAsia" w:asciiTheme="majorEastAsia" w:hAnsiTheme="majorEastAsia" w:eastAsiaTheme="majorEastAsia"/>
                <w:b/>
                <w:bCs/>
                <w:sz w:val="24"/>
              </w:rPr>
              <w:t>设备清单</w:t>
            </w:r>
          </w:p>
          <w:p>
            <w:pPr>
              <w:spacing w:before="120" w:beforeLines="50"/>
              <w:jc w:val="center"/>
              <w:rPr>
                <w:rFonts w:hint="eastAsia"/>
                <w:b/>
                <w:bCs/>
                <w:lang w:eastAsia="zh-CN"/>
              </w:rPr>
            </w:pPr>
            <w:r>
              <w:rPr>
                <w:rFonts w:hint="eastAsia"/>
                <w:b/>
                <w:bCs/>
              </w:rPr>
              <w:t>表</w:t>
            </w:r>
            <w:r>
              <w:rPr>
                <w:b/>
                <w:bCs/>
              </w:rPr>
              <w:t>2-</w:t>
            </w:r>
            <w:r>
              <w:rPr>
                <w:rFonts w:hint="eastAsia"/>
                <w:b/>
                <w:bCs/>
                <w:lang w:val="en-US" w:eastAsia="zh-CN"/>
              </w:rPr>
              <w:t xml:space="preserve">5 </w:t>
            </w:r>
            <w:r>
              <w:rPr>
                <w:b/>
                <w:bCs/>
              </w:rPr>
              <w:t>主要设备</w:t>
            </w:r>
            <w:r>
              <w:rPr>
                <w:rFonts w:hint="eastAsia"/>
                <w:b/>
                <w:bCs/>
                <w:lang w:eastAsia="zh-CN"/>
              </w:rPr>
              <w:t>（</w:t>
            </w:r>
            <w:r>
              <w:rPr>
                <w:rFonts w:hint="eastAsia"/>
                <w:b/>
                <w:bCs/>
                <w:lang w:val="en-US" w:eastAsia="zh-CN"/>
              </w:rPr>
              <w:t>本项目</w:t>
            </w:r>
            <w:r>
              <w:rPr>
                <w:rFonts w:hint="eastAsia"/>
                <w:b/>
                <w:bCs/>
                <w:lang w:eastAsia="zh-CN"/>
              </w:rPr>
              <w:t>）</w:t>
            </w:r>
          </w:p>
          <w:tbl>
            <w:tblPr>
              <w:tblStyle w:val="26"/>
              <w:tblW w:w="482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178"/>
              <w:gridCol w:w="1666"/>
              <w:gridCol w:w="1634"/>
              <w:gridCol w:w="1481"/>
              <w:gridCol w:w="1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471" w:type="pct"/>
                  <w:vMerge w:val="restart"/>
                  <w:noWrap w:val="0"/>
                  <w:vAlign w:val="center"/>
                </w:tcPr>
                <w:p>
                  <w:pPr>
                    <w:jc w:val="center"/>
                    <w:rPr>
                      <w:rFonts w:hint="eastAsia" w:eastAsia="宋体"/>
                      <w:szCs w:val="21"/>
                      <w:lang w:eastAsia="zh-CN"/>
                    </w:rPr>
                  </w:pPr>
                  <w:r>
                    <w:rPr>
                      <w:rFonts w:hint="eastAsia"/>
                      <w:szCs w:val="21"/>
                      <w:lang w:val="en-US" w:eastAsia="zh-CN"/>
                    </w:rPr>
                    <w:t>序号</w:t>
                  </w:r>
                </w:p>
              </w:tc>
              <w:tc>
                <w:tcPr>
                  <w:tcW w:w="1132" w:type="pct"/>
                  <w:vMerge w:val="restart"/>
                  <w:noWrap w:val="0"/>
                  <w:vAlign w:val="center"/>
                </w:tcPr>
                <w:p>
                  <w:pPr>
                    <w:jc w:val="center"/>
                    <w:rPr>
                      <w:szCs w:val="21"/>
                    </w:rPr>
                  </w:pPr>
                  <w:r>
                    <w:rPr>
                      <w:szCs w:val="21"/>
                    </w:rPr>
                    <w:t>设备名称</w:t>
                  </w:r>
                </w:p>
              </w:tc>
              <w:tc>
                <w:tcPr>
                  <w:tcW w:w="866" w:type="pct"/>
                  <w:vMerge w:val="restart"/>
                  <w:noWrap w:val="0"/>
                  <w:vAlign w:val="center"/>
                </w:tcPr>
                <w:p>
                  <w:pPr>
                    <w:jc w:val="center"/>
                    <w:rPr>
                      <w:szCs w:val="21"/>
                    </w:rPr>
                  </w:pPr>
                  <w:r>
                    <w:rPr>
                      <w:szCs w:val="21"/>
                    </w:rPr>
                    <w:t>规格与型号</w:t>
                  </w:r>
                </w:p>
              </w:tc>
              <w:tc>
                <w:tcPr>
                  <w:tcW w:w="1619" w:type="pct"/>
                  <w:gridSpan w:val="2"/>
                  <w:noWrap w:val="0"/>
                  <w:vAlign w:val="center"/>
                </w:tcPr>
                <w:p>
                  <w:pPr>
                    <w:jc w:val="center"/>
                    <w:rPr>
                      <w:szCs w:val="21"/>
                    </w:rPr>
                  </w:pPr>
                  <w:r>
                    <w:rPr>
                      <w:szCs w:val="21"/>
                    </w:rPr>
                    <w:t>数量</w:t>
                  </w:r>
                  <w:r>
                    <w:rPr>
                      <w:rFonts w:hint="eastAsia"/>
                      <w:szCs w:val="21"/>
                    </w:rPr>
                    <w:t>（台/套）</w:t>
                  </w:r>
                </w:p>
              </w:tc>
              <w:tc>
                <w:tcPr>
                  <w:tcW w:w="910" w:type="pct"/>
                  <w:vMerge w:val="restart"/>
                  <w:noWrap w:val="0"/>
                  <w:vAlign w:val="center"/>
                </w:tcPr>
                <w:p>
                  <w:pPr>
                    <w:jc w:val="center"/>
                    <w:rPr>
                      <w:rFonts w:hint="eastAsia" w:eastAsia="宋体"/>
                      <w:szCs w:val="21"/>
                      <w:lang w:eastAsia="zh-CN"/>
                    </w:rPr>
                  </w:pPr>
                  <w:r>
                    <w:rPr>
                      <w:rFonts w:hint="eastAsia"/>
                      <w:szCs w:val="21"/>
                      <w:lang w:val="en-US" w:eastAsia="zh-CN"/>
                    </w:rPr>
                    <w:t>变化情况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471" w:type="pct"/>
                  <w:vMerge w:val="continue"/>
                  <w:noWrap w:val="0"/>
                  <w:vAlign w:val="center"/>
                </w:tcPr>
                <w:p>
                  <w:pPr>
                    <w:jc w:val="center"/>
                    <w:rPr>
                      <w:rFonts w:hint="eastAsia"/>
                      <w:szCs w:val="21"/>
                    </w:rPr>
                  </w:pPr>
                </w:p>
              </w:tc>
              <w:tc>
                <w:tcPr>
                  <w:tcW w:w="1132" w:type="pct"/>
                  <w:vMerge w:val="continue"/>
                  <w:noWrap w:val="0"/>
                  <w:vAlign w:val="center"/>
                </w:tcPr>
                <w:p>
                  <w:pPr>
                    <w:jc w:val="center"/>
                    <w:rPr>
                      <w:szCs w:val="21"/>
                    </w:rPr>
                  </w:pPr>
                </w:p>
              </w:tc>
              <w:tc>
                <w:tcPr>
                  <w:tcW w:w="866" w:type="pct"/>
                  <w:vMerge w:val="continue"/>
                  <w:noWrap w:val="0"/>
                  <w:vAlign w:val="center"/>
                </w:tcPr>
                <w:p>
                  <w:pPr>
                    <w:jc w:val="center"/>
                    <w:rPr>
                      <w:szCs w:val="21"/>
                    </w:rPr>
                  </w:pPr>
                </w:p>
              </w:tc>
              <w:tc>
                <w:tcPr>
                  <w:tcW w:w="849" w:type="pct"/>
                  <w:noWrap w:val="0"/>
                  <w:vAlign w:val="center"/>
                </w:tcPr>
                <w:p>
                  <w:pPr>
                    <w:jc w:val="center"/>
                    <w:rPr>
                      <w:rFonts w:hint="default" w:eastAsia="宋体"/>
                      <w:szCs w:val="21"/>
                      <w:lang w:val="en-US" w:eastAsia="zh-CN"/>
                    </w:rPr>
                  </w:pPr>
                  <w:r>
                    <w:rPr>
                      <w:rFonts w:hint="eastAsia"/>
                      <w:szCs w:val="21"/>
                      <w:lang w:val="en-US" w:eastAsia="zh-CN"/>
                    </w:rPr>
                    <w:t>环评数量</w:t>
                  </w:r>
                </w:p>
              </w:tc>
              <w:tc>
                <w:tcPr>
                  <w:tcW w:w="769" w:type="pct"/>
                  <w:noWrap w:val="0"/>
                  <w:vAlign w:val="center"/>
                </w:tcPr>
                <w:p>
                  <w:pPr>
                    <w:jc w:val="center"/>
                    <w:rPr>
                      <w:rFonts w:hint="default" w:eastAsia="宋体"/>
                      <w:szCs w:val="21"/>
                      <w:lang w:val="en-US" w:eastAsia="zh-CN"/>
                    </w:rPr>
                  </w:pPr>
                  <w:r>
                    <w:rPr>
                      <w:rFonts w:hint="eastAsia"/>
                      <w:szCs w:val="21"/>
                      <w:lang w:val="en-US" w:eastAsia="zh-CN"/>
                    </w:rPr>
                    <w:t>实际建设量</w:t>
                  </w:r>
                </w:p>
              </w:tc>
              <w:tc>
                <w:tcPr>
                  <w:tcW w:w="910" w:type="pct"/>
                  <w:vMerge w:val="continue"/>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1" w:type="pct"/>
                  <w:noWrap w:val="0"/>
                  <w:vAlign w:val="center"/>
                </w:tcPr>
                <w:p>
                  <w:pPr>
                    <w:jc w:val="center"/>
                    <w:rPr>
                      <w:rFonts w:hint="eastAsia" w:eastAsia="宋体"/>
                      <w:szCs w:val="21"/>
                      <w:lang w:val="en-US" w:eastAsia="zh-CN"/>
                    </w:rPr>
                  </w:pPr>
                  <w:r>
                    <w:rPr>
                      <w:rFonts w:hint="eastAsia"/>
                      <w:szCs w:val="21"/>
                      <w:lang w:val="en-US" w:eastAsia="zh-CN"/>
                    </w:rPr>
                    <w:t>1</w:t>
                  </w:r>
                </w:p>
              </w:tc>
              <w:tc>
                <w:tcPr>
                  <w:tcW w:w="1132" w:type="pct"/>
                  <w:noWrap w:val="0"/>
                  <w:vAlign w:val="center"/>
                </w:tcPr>
                <w:p>
                  <w:pPr>
                    <w:jc w:val="center"/>
                    <w:rPr>
                      <w:rFonts w:hint="eastAsia"/>
                    </w:rPr>
                  </w:pPr>
                  <w:r>
                    <w:rPr>
                      <w:rFonts w:hint="eastAsia"/>
                    </w:rPr>
                    <w:t>全自动砌块成型机</w:t>
                  </w:r>
                </w:p>
              </w:tc>
              <w:tc>
                <w:tcPr>
                  <w:tcW w:w="866" w:type="pct"/>
                  <w:noWrap w:val="0"/>
                  <w:vAlign w:val="center"/>
                </w:tcPr>
                <w:p>
                  <w:pPr>
                    <w:jc w:val="center"/>
                    <w:rPr>
                      <w:rFonts w:hint="eastAsia"/>
                    </w:rPr>
                  </w:pPr>
                  <w:r>
                    <w:rPr>
                      <w:rFonts w:hint="eastAsia"/>
                    </w:rPr>
                    <w:t>PXQT10-15</w:t>
                  </w:r>
                </w:p>
              </w:tc>
              <w:tc>
                <w:tcPr>
                  <w:tcW w:w="849" w:type="pct"/>
                  <w:noWrap w:val="0"/>
                  <w:vAlign w:val="center"/>
                </w:tcPr>
                <w:p>
                  <w:pPr>
                    <w:jc w:val="center"/>
                    <w:rPr>
                      <w:rFonts w:hint="eastAsia"/>
                      <w:szCs w:val="21"/>
                    </w:rPr>
                  </w:pPr>
                  <w:r>
                    <w:rPr>
                      <w:rFonts w:hint="eastAsia"/>
                    </w:rPr>
                    <w:t>2</w:t>
                  </w:r>
                </w:p>
              </w:tc>
              <w:tc>
                <w:tcPr>
                  <w:tcW w:w="769" w:type="pct"/>
                  <w:noWrap w:val="0"/>
                  <w:vAlign w:val="center"/>
                </w:tcPr>
                <w:p>
                  <w:pPr>
                    <w:jc w:val="center"/>
                    <w:rPr>
                      <w:rFonts w:hint="eastAsia"/>
                    </w:rPr>
                  </w:pPr>
                  <w:r>
                    <w:rPr>
                      <w:rFonts w:hint="eastAsia"/>
                    </w:rPr>
                    <w:t>2</w:t>
                  </w:r>
                </w:p>
              </w:tc>
              <w:tc>
                <w:tcPr>
                  <w:tcW w:w="910" w:type="pct"/>
                  <w:noWrap w:val="0"/>
                  <w:vAlign w:val="center"/>
                </w:tcPr>
                <w:p>
                  <w:pPr>
                    <w:jc w:val="cente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1" w:type="pct"/>
                  <w:noWrap w:val="0"/>
                  <w:vAlign w:val="center"/>
                </w:tcPr>
                <w:p>
                  <w:pPr>
                    <w:jc w:val="center"/>
                    <w:rPr>
                      <w:rFonts w:hint="default" w:eastAsia="宋体"/>
                      <w:szCs w:val="21"/>
                      <w:lang w:val="en-US" w:eastAsia="zh-CN"/>
                    </w:rPr>
                  </w:pPr>
                  <w:r>
                    <w:rPr>
                      <w:rFonts w:hint="eastAsia"/>
                      <w:szCs w:val="21"/>
                      <w:lang w:val="en-US" w:eastAsia="zh-CN"/>
                    </w:rPr>
                    <w:t>2</w:t>
                  </w:r>
                </w:p>
              </w:tc>
              <w:tc>
                <w:tcPr>
                  <w:tcW w:w="1132" w:type="pct"/>
                  <w:noWrap w:val="0"/>
                  <w:vAlign w:val="center"/>
                </w:tcPr>
                <w:p>
                  <w:pPr>
                    <w:jc w:val="center"/>
                    <w:rPr>
                      <w:rFonts w:hint="eastAsia"/>
                    </w:rPr>
                  </w:pPr>
                  <w:r>
                    <w:rPr>
                      <w:rFonts w:hint="eastAsia"/>
                    </w:rPr>
                    <w:t>全自动电子计量配料机</w:t>
                  </w:r>
                </w:p>
              </w:tc>
              <w:tc>
                <w:tcPr>
                  <w:tcW w:w="866" w:type="pct"/>
                  <w:noWrap w:val="0"/>
                  <w:vAlign w:val="center"/>
                </w:tcPr>
                <w:p>
                  <w:pPr>
                    <w:jc w:val="center"/>
                    <w:rPr>
                      <w:rFonts w:hint="eastAsia"/>
                      <w:szCs w:val="21"/>
                    </w:rPr>
                  </w:pPr>
                  <w:r>
                    <w:rPr>
                      <w:rFonts w:hint="eastAsia"/>
                      <w:szCs w:val="21"/>
                    </w:rPr>
                    <w:t>PLD-1200</w:t>
                  </w:r>
                </w:p>
              </w:tc>
              <w:tc>
                <w:tcPr>
                  <w:tcW w:w="849" w:type="pct"/>
                  <w:noWrap w:val="0"/>
                  <w:vAlign w:val="center"/>
                </w:tcPr>
                <w:p>
                  <w:pPr>
                    <w:jc w:val="center"/>
                    <w:rPr>
                      <w:rFonts w:hint="eastAsia"/>
                      <w:szCs w:val="21"/>
                    </w:rPr>
                  </w:pPr>
                  <w:r>
                    <w:rPr>
                      <w:rFonts w:hint="eastAsia"/>
                    </w:rPr>
                    <w:t>2</w:t>
                  </w:r>
                </w:p>
              </w:tc>
              <w:tc>
                <w:tcPr>
                  <w:tcW w:w="769" w:type="pct"/>
                  <w:noWrap w:val="0"/>
                  <w:vAlign w:val="center"/>
                </w:tcPr>
                <w:p>
                  <w:pPr>
                    <w:jc w:val="center"/>
                    <w:rPr>
                      <w:rFonts w:hint="eastAsia"/>
                    </w:rPr>
                  </w:pPr>
                  <w:r>
                    <w:rPr>
                      <w:rFonts w:hint="eastAsia"/>
                    </w:rPr>
                    <w:t>2</w:t>
                  </w:r>
                </w:p>
              </w:tc>
              <w:tc>
                <w:tcPr>
                  <w:tcW w:w="910" w:type="pct"/>
                  <w:noWrap w:val="0"/>
                  <w:vAlign w:val="center"/>
                </w:tcPr>
                <w:p>
                  <w:pPr>
                    <w:jc w:val="center"/>
                  </w:pPr>
                  <w:r>
                    <w:rPr>
                      <w:rFonts w:hint="eastAsia"/>
                      <w:szCs w:val="21"/>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471" w:type="pct"/>
                  <w:noWrap w:val="0"/>
                  <w:vAlign w:val="center"/>
                </w:tcPr>
                <w:p>
                  <w:pPr>
                    <w:jc w:val="center"/>
                    <w:rPr>
                      <w:rFonts w:hint="eastAsia" w:eastAsia="宋体"/>
                      <w:szCs w:val="21"/>
                      <w:lang w:val="en-US" w:eastAsia="zh-CN"/>
                    </w:rPr>
                  </w:pPr>
                  <w:r>
                    <w:rPr>
                      <w:rFonts w:hint="eastAsia"/>
                      <w:szCs w:val="21"/>
                      <w:lang w:val="en-US" w:eastAsia="zh-CN"/>
                    </w:rPr>
                    <w:t>3</w:t>
                  </w:r>
                </w:p>
              </w:tc>
              <w:tc>
                <w:tcPr>
                  <w:tcW w:w="1132" w:type="pct"/>
                  <w:noWrap w:val="0"/>
                  <w:vAlign w:val="center"/>
                </w:tcPr>
                <w:p>
                  <w:pPr>
                    <w:jc w:val="center"/>
                    <w:rPr>
                      <w:rFonts w:hint="eastAsia"/>
                    </w:rPr>
                  </w:pPr>
                  <w:r>
                    <w:rPr>
                      <w:rFonts w:hint="eastAsia"/>
                    </w:rPr>
                    <w:t>双卧轴强制式搅拌机</w:t>
                  </w:r>
                </w:p>
              </w:tc>
              <w:tc>
                <w:tcPr>
                  <w:tcW w:w="866" w:type="pct"/>
                  <w:noWrap w:val="0"/>
                  <w:vAlign w:val="center"/>
                </w:tcPr>
                <w:p>
                  <w:pPr>
                    <w:jc w:val="center"/>
                    <w:rPr>
                      <w:rFonts w:hint="eastAsia"/>
                      <w:szCs w:val="21"/>
                    </w:rPr>
                  </w:pPr>
                  <w:r>
                    <w:rPr>
                      <w:rFonts w:hint="eastAsia"/>
                      <w:szCs w:val="21"/>
                    </w:rPr>
                    <w:t>JS-750</w:t>
                  </w:r>
                </w:p>
              </w:tc>
              <w:tc>
                <w:tcPr>
                  <w:tcW w:w="849" w:type="pct"/>
                  <w:noWrap w:val="0"/>
                  <w:vAlign w:val="center"/>
                </w:tcPr>
                <w:p>
                  <w:pPr>
                    <w:jc w:val="center"/>
                    <w:rPr>
                      <w:rFonts w:hint="eastAsia"/>
                      <w:szCs w:val="21"/>
                    </w:rPr>
                  </w:pPr>
                  <w:r>
                    <w:rPr>
                      <w:rFonts w:hint="eastAsia"/>
                    </w:rPr>
                    <w:t>2</w:t>
                  </w:r>
                </w:p>
              </w:tc>
              <w:tc>
                <w:tcPr>
                  <w:tcW w:w="769" w:type="pct"/>
                  <w:noWrap w:val="0"/>
                  <w:vAlign w:val="center"/>
                </w:tcPr>
                <w:p>
                  <w:pPr>
                    <w:jc w:val="center"/>
                    <w:rPr>
                      <w:rFonts w:hint="eastAsia"/>
                    </w:rPr>
                  </w:pPr>
                  <w:r>
                    <w:rPr>
                      <w:rFonts w:hint="eastAsia"/>
                    </w:rPr>
                    <w:t>2</w:t>
                  </w:r>
                </w:p>
              </w:tc>
              <w:tc>
                <w:tcPr>
                  <w:tcW w:w="910" w:type="pct"/>
                  <w:noWrap w:val="0"/>
                  <w:vAlign w:val="center"/>
                </w:tcPr>
                <w:p>
                  <w:pPr>
                    <w:jc w:val="center"/>
                  </w:pPr>
                  <w:r>
                    <w:rPr>
                      <w:rFonts w:hint="eastAsia"/>
                      <w:szCs w:val="21"/>
                      <w:lang w:val="en-US" w:eastAsia="zh-CN"/>
                    </w:rPr>
                    <w:t>与环评一致</w:t>
                  </w:r>
                </w:p>
              </w:tc>
            </w:tr>
          </w:tbl>
          <w:p>
            <w:pPr>
              <w:adjustRightInd w:val="0"/>
              <w:snapToGrid w:val="0"/>
              <w:spacing w:line="360" w:lineRule="auto"/>
              <w:ind w:firstLine="480" w:firstLineChars="200"/>
              <w:rPr>
                <w:rFonts w:hint="eastAsia"/>
                <w:sz w:val="24"/>
                <w:szCs w:val="32"/>
                <w:highlight w:val="none"/>
                <w:lang w:val="en-US" w:eastAsia="zh-CN"/>
              </w:rPr>
            </w:pPr>
            <w:r>
              <w:rPr>
                <w:rFonts w:hint="eastAsia"/>
                <w:sz w:val="24"/>
                <w:szCs w:val="32"/>
                <w:highlight w:val="none"/>
                <w:lang w:val="en-US" w:eastAsia="zh-CN"/>
              </w:rPr>
              <w:t>项目到位设备与整体项目申报设备种类一致，项目产能及原辅料使用情况与整体项目产能比例相符。</w:t>
            </w:r>
          </w:p>
          <w:p>
            <w:pPr>
              <w:adjustRightInd w:val="0"/>
              <w:snapToGrid w:val="0"/>
              <w:spacing w:line="360" w:lineRule="auto"/>
              <w:ind w:firstLine="480" w:firstLineChars="200"/>
              <w:rPr>
                <w:rFonts w:hint="eastAsia"/>
                <w:sz w:val="24"/>
                <w:szCs w:val="32"/>
                <w:highlight w:val="none"/>
                <w:lang w:val="en-US" w:eastAsia="zh-CN"/>
              </w:rPr>
            </w:pPr>
          </w:p>
          <w:p>
            <w:pPr>
              <w:adjustRightInd w:val="0"/>
              <w:snapToGrid w:val="0"/>
              <w:spacing w:line="360" w:lineRule="auto"/>
              <w:ind w:firstLine="480" w:firstLineChars="200"/>
              <w:rPr>
                <w:rFonts w:hint="eastAsia"/>
                <w:sz w:val="24"/>
                <w:szCs w:val="32"/>
                <w:highlight w:val="none"/>
                <w:lang w:val="en-US" w:eastAsia="zh-CN"/>
              </w:rPr>
            </w:pPr>
          </w:p>
          <w:p>
            <w:pPr>
              <w:adjustRightInd w:val="0"/>
              <w:snapToGrid w:val="0"/>
              <w:spacing w:line="360" w:lineRule="auto"/>
              <w:ind w:firstLine="480" w:firstLineChars="200"/>
              <w:rPr>
                <w:rFonts w:hint="eastAsia"/>
                <w:sz w:val="24"/>
                <w:szCs w:val="32"/>
                <w:highlight w:val="none"/>
                <w:lang w:val="en-US" w:eastAsia="zh-CN"/>
              </w:rPr>
            </w:pPr>
          </w:p>
          <w:p>
            <w:pPr>
              <w:adjustRightInd w:val="0"/>
              <w:snapToGrid w:val="0"/>
              <w:spacing w:line="360" w:lineRule="auto"/>
              <w:ind w:firstLine="480" w:firstLineChars="200"/>
              <w:rPr>
                <w:rFonts w:hint="eastAsia"/>
                <w:sz w:val="24"/>
                <w:szCs w:val="32"/>
                <w:highlight w:val="none"/>
                <w:lang w:val="en-US" w:eastAsia="zh-CN"/>
              </w:rPr>
            </w:pPr>
          </w:p>
          <w:p>
            <w:pPr>
              <w:adjustRightInd w:val="0"/>
              <w:snapToGrid w:val="0"/>
              <w:spacing w:line="360" w:lineRule="auto"/>
              <w:ind w:firstLine="480" w:firstLineChars="200"/>
              <w:rPr>
                <w:rFonts w:hint="eastAsia"/>
                <w:sz w:val="24"/>
                <w:szCs w:val="32"/>
                <w:highlight w:val="none"/>
                <w:lang w:val="en-US" w:eastAsia="zh-CN"/>
              </w:rPr>
            </w:pPr>
          </w:p>
          <w:p>
            <w:pPr>
              <w:adjustRightInd w:val="0"/>
              <w:snapToGrid w:val="0"/>
              <w:spacing w:line="360" w:lineRule="auto"/>
              <w:ind w:firstLine="480" w:firstLineChars="200"/>
              <w:rPr>
                <w:rFonts w:hint="eastAsia"/>
                <w:sz w:val="24"/>
                <w:szCs w:val="32"/>
                <w:highlight w:val="none"/>
                <w:lang w:val="en-US" w:eastAsia="zh-CN"/>
              </w:rPr>
            </w:pPr>
          </w:p>
          <w:p>
            <w:pPr>
              <w:adjustRightInd w:val="0"/>
              <w:snapToGrid w:val="0"/>
              <w:spacing w:line="360" w:lineRule="auto"/>
              <w:ind w:firstLine="480" w:firstLineChars="200"/>
              <w:rPr>
                <w:rFonts w:hint="eastAsia"/>
                <w:sz w:val="24"/>
                <w:szCs w:val="32"/>
                <w:highlight w:val="none"/>
                <w:lang w:val="en-US" w:eastAsia="zh-CN"/>
              </w:rPr>
            </w:pPr>
          </w:p>
          <w:p>
            <w:pPr>
              <w:adjustRightInd w:val="0"/>
              <w:snapToGrid w:val="0"/>
              <w:spacing w:line="360" w:lineRule="auto"/>
              <w:rPr>
                <w:rFonts w:hint="default" w:eastAsia="宋体"/>
                <w:sz w:val="24"/>
                <w:lang w:val="en-US" w:eastAsia="zh-CN"/>
              </w:rPr>
            </w:pPr>
          </w:p>
          <w:p>
            <w:pPr>
              <w:adjustRightInd w:val="0"/>
              <w:snapToGrid w:val="0"/>
              <w:spacing w:line="360" w:lineRule="auto"/>
              <w:rPr>
                <w:rFonts w:hint="default" w:eastAsia="宋体"/>
                <w:sz w:val="24"/>
                <w:lang w:val="en-US" w:eastAsia="zh-CN"/>
              </w:rPr>
            </w:pPr>
          </w:p>
          <w:p>
            <w:pPr>
              <w:adjustRightInd w:val="0"/>
              <w:snapToGrid w:val="0"/>
              <w:spacing w:line="360" w:lineRule="auto"/>
              <w:rPr>
                <w:rFonts w:hint="default" w:eastAsia="宋体"/>
                <w:sz w:val="24"/>
                <w:lang w:val="en-US" w:eastAsia="zh-CN"/>
              </w:rPr>
            </w:pPr>
          </w:p>
          <w:p>
            <w:pPr>
              <w:adjustRightInd w:val="0"/>
              <w:snapToGrid w:val="0"/>
              <w:spacing w:line="360" w:lineRule="auto"/>
              <w:rPr>
                <w:rFonts w:hint="default" w:eastAsia="宋体"/>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5" w:type="dxa"/>
            <w:tcBorders>
              <w:tl2br w:val="nil"/>
              <w:tr2bl w:val="nil"/>
            </w:tcBorders>
            <w:vAlign w:val="top"/>
          </w:tcPr>
          <w:p>
            <w:pPr>
              <w:adjustRightInd w:val="0"/>
              <w:snapToGrid w:val="0"/>
              <w:spacing w:line="360" w:lineRule="auto"/>
              <w:rPr>
                <w:b/>
                <w:bCs/>
                <w:sz w:val="24"/>
              </w:rPr>
            </w:pPr>
            <w:r>
              <w:rPr>
                <w:b/>
                <w:bCs/>
                <w:sz w:val="24"/>
              </w:rPr>
              <w:t>主要工艺流程及产污环节</w:t>
            </w:r>
          </w:p>
          <w:p>
            <w:pPr>
              <w:spacing w:line="360" w:lineRule="auto"/>
              <w:jc w:val="left"/>
              <w:rPr>
                <w:sz w:val="24"/>
              </w:rPr>
            </w:pPr>
            <w:r>
              <w:rPr>
                <w:sz w:val="24"/>
              </w:rPr>
              <w:t>工艺流程简述（图示）：</w:t>
            </w:r>
          </w:p>
          <w:p>
            <w:pPr>
              <w:adjustRightInd w:val="0"/>
              <w:snapToGrid w:val="0"/>
              <w:spacing w:line="360" w:lineRule="auto"/>
              <w:ind w:firstLine="480" w:firstLineChars="200"/>
              <w:rPr>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本项目具体</w:t>
            </w:r>
            <w:r>
              <w:rPr>
                <w:rFonts w:hint="eastAsia"/>
                <w:b w:val="0"/>
                <w:bCs w:val="0"/>
                <w:color w:val="000000" w:themeColor="text1"/>
                <w:sz w:val="24"/>
                <w14:textFill>
                  <w14:solidFill>
                    <w14:schemeClr w14:val="tx1"/>
                  </w14:solidFill>
                </w14:textFill>
              </w:rPr>
              <w:t>生产工艺流程及产污环节见图</w:t>
            </w:r>
            <w:r>
              <w:rPr>
                <w:rFonts w:hint="eastAsia"/>
                <w:b w:val="0"/>
                <w:bCs w:val="0"/>
                <w:color w:val="000000" w:themeColor="text1"/>
                <w:sz w:val="24"/>
                <w:lang w:val="en-US" w:eastAsia="zh-CN"/>
                <w14:textFill>
                  <w14:solidFill>
                    <w14:schemeClr w14:val="tx1"/>
                  </w14:solidFill>
                </w14:textFill>
              </w:rPr>
              <w:t>2</w:t>
            </w:r>
            <w:r>
              <w:rPr>
                <w:b w:val="0"/>
                <w:bCs w:val="0"/>
                <w:color w:val="000000" w:themeColor="text1"/>
                <w:sz w:val="24"/>
                <w14:textFill>
                  <w14:solidFill>
                    <w14:schemeClr w14:val="tx1"/>
                  </w14:solidFill>
                </w14:textFill>
              </w:rPr>
              <w:t>-</w:t>
            </w:r>
            <w:r>
              <w:rPr>
                <w:rFonts w:hint="eastAsia"/>
                <w:b w:val="0"/>
                <w:bCs w:val="0"/>
                <w:color w:val="000000" w:themeColor="text1"/>
                <w:sz w:val="24"/>
                <w14:textFill>
                  <w14:solidFill>
                    <w14:schemeClr w14:val="tx1"/>
                  </w14:solidFill>
                </w14:textFill>
              </w:rPr>
              <w:t>1：</w:t>
            </w:r>
          </w:p>
          <w:p>
            <w:pPr>
              <w:adjustRightInd w:val="0"/>
              <w:snapToGrid w:val="0"/>
              <w:spacing w:line="360" w:lineRule="auto"/>
              <w:jc w:val="center"/>
            </w:pPr>
            <w:r>
              <w:rPr>
                <w:b/>
                <w:sz w:val="24"/>
              </w:rPr>
              <w:drawing>
                <wp:inline distT="0" distB="0" distL="114300" distR="114300">
                  <wp:extent cx="5755640" cy="156972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2"/>
                          <a:stretch>
                            <a:fillRect/>
                          </a:stretch>
                        </pic:blipFill>
                        <pic:spPr>
                          <a:xfrm>
                            <a:off x="0" y="0"/>
                            <a:ext cx="5755640" cy="1569720"/>
                          </a:xfrm>
                          <a:prstGeom prst="rect">
                            <a:avLst/>
                          </a:prstGeom>
                          <a:noFill/>
                          <a:ln>
                            <a:noFill/>
                          </a:ln>
                        </pic:spPr>
                      </pic:pic>
                    </a:graphicData>
                  </a:graphic>
                </wp:inline>
              </w:drawing>
            </w:r>
          </w:p>
          <w:p>
            <w:pPr>
              <w:widowControl/>
              <w:adjustRightInd w:val="0"/>
              <w:snapToGrid w:val="0"/>
              <w:spacing w:line="240" w:lineRule="auto"/>
              <w:jc w:val="center"/>
              <w:rPr>
                <w:rFonts w:hint="eastAsia"/>
                <w:b/>
                <w:bCs/>
                <w:sz w:val="24"/>
                <w:szCs w:val="32"/>
              </w:rPr>
            </w:pPr>
            <w:r>
              <w:rPr>
                <w:b/>
                <w:bCs/>
                <w:sz w:val="24"/>
                <w:szCs w:val="32"/>
              </w:rPr>
              <w:t>图</w:t>
            </w:r>
            <w:r>
              <w:rPr>
                <w:rFonts w:hint="eastAsia"/>
                <w:b/>
                <w:bCs/>
                <w:sz w:val="24"/>
                <w:szCs w:val="32"/>
                <w:lang w:val="en-US" w:eastAsia="zh-CN"/>
              </w:rPr>
              <w:t>2</w:t>
            </w:r>
            <w:r>
              <w:rPr>
                <w:b/>
                <w:bCs/>
                <w:sz w:val="24"/>
                <w:szCs w:val="32"/>
              </w:rPr>
              <w:t>-1</w:t>
            </w:r>
            <w:r>
              <w:rPr>
                <w:rFonts w:hint="eastAsia"/>
                <w:b/>
                <w:bCs/>
                <w:sz w:val="24"/>
                <w:szCs w:val="32"/>
                <w:lang w:val="en-US" w:eastAsia="zh-CN"/>
              </w:rPr>
              <w:t xml:space="preserve"> </w:t>
            </w:r>
            <w:r>
              <w:rPr>
                <w:rFonts w:hint="eastAsia"/>
                <w:b/>
                <w:bCs/>
                <w:sz w:val="24"/>
                <w:szCs w:val="32"/>
                <w:lang w:eastAsia="zh-CN"/>
              </w:rPr>
              <w:t>生产工艺流程</w:t>
            </w:r>
            <w:r>
              <w:rPr>
                <w:rFonts w:hint="eastAsia"/>
                <w:b/>
                <w:bCs/>
                <w:sz w:val="24"/>
                <w:szCs w:val="32"/>
              </w:rPr>
              <w:t>图</w:t>
            </w:r>
          </w:p>
          <w:p>
            <w:pPr>
              <w:adjustRightInd w:val="0"/>
              <w:snapToGrid w:val="0"/>
              <w:spacing w:line="360" w:lineRule="auto"/>
              <w:rPr>
                <w:b/>
                <w:bCs/>
                <w:snapToGrid w:val="0"/>
                <w:color w:val="000000" w:themeColor="text1"/>
                <w:kern w:val="0"/>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生产</w:t>
            </w:r>
            <w:r>
              <w:rPr>
                <w:b/>
                <w:bCs/>
                <w:snapToGrid w:val="0"/>
                <w:color w:val="000000" w:themeColor="text1"/>
                <w:kern w:val="0"/>
                <w:sz w:val="24"/>
                <w:highlight w:val="none"/>
                <w14:textFill>
                  <w14:solidFill>
                    <w14:schemeClr w14:val="tx1"/>
                  </w14:solidFill>
                </w14:textFill>
              </w:rPr>
              <w:t>工艺流程说明：</w:t>
            </w:r>
          </w:p>
          <w:p>
            <w:pPr>
              <w:pStyle w:val="106"/>
              <w:spacing w:before="0" w:beforeLines="0" w:after="0" w:afterLines="0"/>
            </w:pPr>
            <w:r>
              <w:rPr>
                <w:rFonts w:hint="eastAsia"/>
              </w:rPr>
              <w:t>工艺说明：</w:t>
            </w:r>
          </w:p>
          <w:p>
            <w:pPr>
              <w:pStyle w:val="106"/>
              <w:spacing w:before="0" w:beforeLines="0" w:after="0" w:afterLines="0"/>
              <w:rPr>
                <w:rFonts w:hint="eastAsia"/>
              </w:rPr>
            </w:pPr>
            <w:r>
              <w:rPr>
                <w:rFonts w:hint="eastAsia"/>
              </w:rPr>
              <w:t>本项目</w:t>
            </w:r>
            <w:r>
              <w:t>混凝土实心砖、非承重混凝土空心砖</w:t>
            </w:r>
            <w:r>
              <w:rPr>
                <w:rFonts w:hint="eastAsia"/>
              </w:rPr>
              <w:t>的生产在同一条生产线上完成，区别为在压制工段采用不同的模具。本项目模具为砌块机配套设施，模具损坏后由供应商负责维修。</w:t>
            </w:r>
          </w:p>
          <w:p>
            <w:pPr>
              <w:pStyle w:val="106"/>
              <w:spacing w:before="0" w:beforeLines="0" w:after="0" w:afterLines="0"/>
            </w:pPr>
            <w:r>
              <w:rPr>
                <w:rFonts w:hint="eastAsia"/>
                <w:b/>
              </w:rPr>
              <w:t>水泥筒仓：</w:t>
            </w:r>
            <w:r>
              <w:rPr>
                <w:rFonts w:hint="eastAsia"/>
              </w:rPr>
              <w:t>本项目水泥采用水泥散装密闭罐车运入，由车上自备气力输送系统将其送入水泥筒仓中存放待用，水泥在储存过程中产生粉尘G1。</w:t>
            </w:r>
          </w:p>
          <w:p>
            <w:pPr>
              <w:pStyle w:val="106"/>
            </w:pPr>
            <w:r>
              <w:rPr>
                <w:rFonts w:hint="eastAsia"/>
                <w:b/>
              </w:rPr>
              <w:t>搅拌：</w:t>
            </w:r>
            <w:r>
              <w:rPr>
                <w:rFonts w:hint="eastAsia"/>
              </w:rPr>
              <w:t>利用计量配料机将购置的水泥、石粉、碎屑按一定的比例配比后利用泵通过管道送入搅拌机</w:t>
            </w:r>
            <w:r>
              <w:t>，搅拌是在掺水的情况下进行的，搅拌机所用能源为电能</w:t>
            </w:r>
            <w:r>
              <w:rPr>
                <w:rFonts w:hint="eastAsia"/>
              </w:rPr>
              <w:t>。该过程产生粉尘G2。搅拌机每天清洗一次，清洗废水经沉淀池沉淀后用于搅拌工段。</w:t>
            </w:r>
          </w:p>
          <w:p>
            <w:pPr>
              <w:pStyle w:val="106"/>
              <w:spacing w:before="0" w:beforeLines="0" w:after="0" w:afterLines="0"/>
            </w:pPr>
            <w:r>
              <w:rPr>
                <w:rFonts w:hint="eastAsia"/>
                <w:b/>
              </w:rPr>
              <w:t>压制：</w:t>
            </w:r>
            <w:r>
              <w:rPr>
                <w:rFonts w:hint="eastAsia"/>
              </w:rPr>
              <w:t>搅拌完成后，由输送带送入砌块机，本项目采用的是液压成型原理。</w:t>
            </w:r>
          </w:p>
          <w:p>
            <w:pPr>
              <w:pStyle w:val="106"/>
              <w:spacing w:before="0" w:beforeLines="0" w:after="0" w:afterLines="0"/>
            </w:pPr>
            <w:r>
              <w:rPr>
                <w:rFonts w:hint="eastAsia"/>
              </w:rPr>
              <w:t>液压砌块成型机，包括上部设有压实机构的上模板、下部设有脱模机构的下模板，所述压实机构安装有双曲柄增力机构，脱模机构安装有超声波振动器和电磁振动器；本设备采用新型电磁和超声波双振动机构，具有震实效果好，工作噪音低等特点。</w:t>
            </w:r>
          </w:p>
          <w:p>
            <w:pPr>
              <w:pStyle w:val="106"/>
              <w:spacing w:before="0" w:beforeLines="0" w:after="0" w:afterLines="0"/>
            </w:pPr>
            <w:r>
              <w:rPr>
                <w:rFonts w:hint="eastAsia"/>
              </w:rPr>
              <w:t>成型机上带有随机模具，材质为钢质，经搅拌均匀的原料按照既定的量注入模具中，然后压制成型，该过程中无废水产生。</w:t>
            </w:r>
          </w:p>
          <w:p>
            <w:pPr>
              <w:pStyle w:val="106"/>
              <w:spacing w:before="0" w:beforeLines="0" w:after="0" w:afterLines="0"/>
            </w:pPr>
            <w:r>
              <w:rPr>
                <w:rFonts w:hint="eastAsia"/>
                <w:b/>
              </w:rPr>
              <w:t>晾干：</w:t>
            </w:r>
            <w:r>
              <w:rPr>
                <w:rFonts w:hint="eastAsia"/>
              </w:rPr>
              <w:t>经成型的混凝土砌块送入养护房中进行自然养护，养护时间约为48h，使混凝土砖的硬度达到相应的要求。</w:t>
            </w: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default"/>
                <w:sz w:val="24"/>
                <w:szCs w:val="32"/>
                <w:highlight w:val="none"/>
                <w:lang w:val="en-US" w:eastAsia="zh-CN"/>
              </w:rPr>
            </w:pPr>
          </w:p>
        </w:tc>
      </w:tr>
    </w:tbl>
    <w:p>
      <w:pPr>
        <w:keepNext/>
        <w:keepLines/>
        <w:widowControl/>
        <w:spacing w:line="360" w:lineRule="auto"/>
        <w:textAlignment w:val="baseline"/>
        <w:outlineLvl w:val="1"/>
        <w:rPr>
          <w:b/>
          <w:color w:val="000000"/>
          <w:sz w:val="24"/>
          <w:highlight w:val="none"/>
          <w:lang w:val="zh-CN"/>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bookmarkStart w:id="2" w:name="_Toc3905043"/>
    </w:p>
    <w:p>
      <w:pPr>
        <w:keepNext/>
        <w:keepLines/>
        <w:widowControl/>
        <w:spacing w:line="360" w:lineRule="auto"/>
        <w:textAlignment w:val="baseline"/>
        <w:outlineLvl w:val="1"/>
        <w:rPr>
          <w:b/>
          <w:color w:val="000000"/>
          <w:sz w:val="24"/>
          <w:highlight w:val="none"/>
          <w:lang w:val="zh-CN"/>
        </w:rPr>
      </w:pPr>
      <w:r>
        <w:rPr>
          <w:b/>
          <w:color w:val="000000"/>
          <w:sz w:val="24"/>
          <w:highlight w:val="none"/>
          <w:lang w:val="zh-CN"/>
        </w:rPr>
        <w:t>表三、主要污染源、污染物处理和排放</w:t>
      </w:r>
      <w:bookmarkEnd w:id="2"/>
    </w:p>
    <w:tbl>
      <w:tblPr>
        <w:tblStyle w:val="26"/>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4" w:type="dxa"/>
            <w:tcBorders>
              <w:tl2br w:val="nil"/>
              <w:tr2bl w:val="nil"/>
            </w:tcBorders>
            <w:vAlign w:val="top"/>
          </w:tcPr>
          <w:p>
            <w:pPr>
              <w:adjustRightInd w:val="0"/>
              <w:snapToGrid w:val="0"/>
              <w:spacing w:line="360" w:lineRule="auto"/>
              <w:ind w:firstLine="482" w:firstLineChars="200"/>
              <w:jc w:val="left"/>
              <w:rPr>
                <w:b/>
                <w:color w:val="000000" w:themeColor="text1"/>
                <w:sz w:val="24"/>
                <w:szCs w:val="28"/>
                <w:highlight w:val="none"/>
                <w14:textFill>
                  <w14:solidFill>
                    <w14:schemeClr w14:val="tx1"/>
                  </w14:solidFill>
                </w14:textFill>
              </w:rPr>
            </w:pPr>
            <w:r>
              <w:rPr>
                <w:b/>
                <w:color w:val="000000" w:themeColor="text1"/>
                <w:sz w:val="24"/>
                <w:highlight w:val="none"/>
                <w14:textFill>
                  <w14:solidFill>
                    <w14:schemeClr w14:val="tx1"/>
                  </w14:solidFill>
                </w14:textFill>
              </w:rPr>
              <w:t>（1）</w:t>
            </w:r>
            <w:r>
              <w:rPr>
                <w:b/>
                <w:color w:val="000000" w:themeColor="text1"/>
                <w:sz w:val="24"/>
                <w:szCs w:val="28"/>
                <w:highlight w:val="none"/>
                <w14:textFill>
                  <w14:solidFill>
                    <w14:schemeClr w14:val="tx1"/>
                  </w14:solidFill>
                </w14:textFill>
              </w:rPr>
              <w:t>废</w:t>
            </w:r>
            <w:r>
              <w:rPr>
                <w:rFonts w:hint="eastAsia"/>
                <w:b/>
                <w:color w:val="000000" w:themeColor="text1"/>
                <w:sz w:val="24"/>
                <w:szCs w:val="28"/>
                <w:highlight w:val="none"/>
                <w14:textFill>
                  <w14:solidFill>
                    <w14:schemeClr w14:val="tx1"/>
                  </w14:solidFill>
                </w14:textFill>
              </w:rPr>
              <w:t>气</w:t>
            </w:r>
          </w:p>
          <w:p>
            <w:pPr>
              <w:spacing w:line="360" w:lineRule="auto"/>
              <w:ind w:firstLine="480" w:firstLineChars="200"/>
              <w:rPr>
                <w:rFonts w:hint="eastAsia"/>
                <w:sz w:val="24"/>
              </w:rPr>
            </w:pPr>
            <w:r>
              <w:rPr>
                <w:rFonts w:hint="eastAsia"/>
                <w:sz w:val="24"/>
              </w:rPr>
              <w:t>本项目</w:t>
            </w:r>
            <w:r>
              <w:rPr>
                <w:rFonts w:hint="eastAsia"/>
                <w:sz w:val="24"/>
                <w:lang w:val="en-US" w:eastAsia="zh-CN"/>
              </w:rPr>
              <w:t>的尾气主要为水泥筒仓、搅拌</w:t>
            </w:r>
            <w:r>
              <w:rPr>
                <w:rFonts w:hint="eastAsia"/>
                <w:sz w:val="24"/>
              </w:rPr>
              <w:t>过程</w:t>
            </w:r>
            <w:r>
              <w:rPr>
                <w:rFonts w:hint="eastAsia"/>
                <w:sz w:val="24"/>
                <w:lang w:val="en-US" w:eastAsia="zh-CN"/>
              </w:rPr>
              <w:t>中产生的粉尘（以颗粒物计）</w:t>
            </w:r>
            <w:r>
              <w:rPr>
                <w:rFonts w:hint="eastAsia"/>
                <w:sz w:val="24"/>
                <w:lang w:eastAsia="zh-CN"/>
              </w:rPr>
              <w:t>。</w:t>
            </w:r>
            <w:r>
              <w:rPr>
                <w:rFonts w:hint="eastAsia"/>
                <w:sz w:val="24"/>
              </w:rPr>
              <w:t>水泥筒仓</w:t>
            </w:r>
            <w:r>
              <w:rPr>
                <w:rFonts w:hint="eastAsia"/>
                <w:sz w:val="24"/>
                <w:lang w:eastAsia="zh-CN"/>
              </w:rPr>
              <w:t>、</w:t>
            </w:r>
            <w:r>
              <w:rPr>
                <w:rFonts w:hint="eastAsia"/>
                <w:sz w:val="24"/>
              </w:rPr>
              <w:t>搅拌工段产生</w:t>
            </w:r>
            <w:r>
              <w:rPr>
                <w:rFonts w:hint="eastAsia"/>
                <w:sz w:val="24"/>
                <w:lang w:val="en-US" w:eastAsia="zh-CN"/>
              </w:rPr>
              <w:t>的</w:t>
            </w:r>
            <w:r>
              <w:rPr>
                <w:rFonts w:hint="eastAsia"/>
                <w:sz w:val="24"/>
              </w:rPr>
              <w:t>粉尘经布袋除尘装置处理后，废气经处理后通过15m高1#排气筒达标排放，收集效率</w:t>
            </w:r>
            <w:r>
              <w:rPr>
                <w:rFonts w:hint="eastAsia"/>
                <w:sz w:val="24"/>
                <w:lang w:val="en-US" w:eastAsia="zh-CN"/>
              </w:rPr>
              <w:t>98</w:t>
            </w:r>
            <w:r>
              <w:rPr>
                <w:rFonts w:hint="eastAsia"/>
                <w:sz w:val="24"/>
              </w:rPr>
              <w:t>%，除尘效率为99.9%。未捕集的粉尘无组织排放，通过</w:t>
            </w:r>
            <w:r>
              <w:rPr>
                <w:rFonts w:hint="eastAsia"/>
                <w:bCs/>
                <w:snapToGrid w:val="0"/>
                <w:kern w:val="0"/>
                <w:sz w:val="24"/>
                <w:szCs w:val="21"/>
              </w:rPr>
              <w:t>定期洒水抑尘</w:t>
            </w:r>
            <w:r>
              <w:rPr>
                <w:rFonts w:hint="eastAsia"/>
                <w:bCs/>
                <w:snapToGrid w:val="0"/>
                <w:kern w:val="0"/>
                <w:sz w:val="24"/>
                <w:szCs w:val="21"/>
                <w:lang w:eastAsia="zh-CN"/>
              </w:rPr>
              <w:t>，</w:t>
            </w:r>
            <w:r>
              <w:rPr>
                <w:rFonts w:hint="eastAsia"/>
                <w:sz w:val="24"/>
              </w:rPr>
              <w:t>对周围空气影响很小。</w:t>
            </w:r>
          </w:p>
          <w:p>
            <w:pPr>
              <w:adjustRightInd w:val="0"/>
              <w:snapToGrid w:val="0"/>
              <w:spacing w:before="120" w:beforeLines="50" w:line="360" w:lineRule="auto"/>
              <w:ind w:firstLine="482" w:firstLineChars="200"/>
              <w:jc w:val="left"/>
              <w:rPr>
                <w:b/>
                <w:color w:val="000000"/>
                <w:sz w:val="24"/>
                <w:szCs w:val="28"/>
                <w:highlight w:val="none"/>
              </w:rPr>
            </w:pPr>
            <w:r>
              <w:rPr>
                <w:b/>
                <w:sz w:val="24"/>
                <w:highlight w:val="none"/>
              </w:rPr>
              <w:t>（2）</w:t>
            </w:r>
            <w:r>
              <w:rPr>
                <w:b/>
                <w:color w:val="000000"/>
                <w:sz w:val="24"/>
                <w:szCs w:val="28"/>
                <w:highlight w:val="none"/>
              </w:rPr>
              <w:t>废</w:t>
            </w:r>
            <w:r>
              <w:rPr>
                <w:rFonts w:hint="eastAsia"/>
                <w:b/>
                <w:color w:val="000000"/>
                <w:sz w:val="24"/>
                <w:szCs w:val="28"/>
                <w:highlight w:val="none"/>
              </w:rPr>
              <w:t>水</w:t>
            </w:r>
          </w:p>
          <w:p>
            <w:pPr>
              <w:spacing w:line="360" w:lineRule="auto"/>
              <w:ind w:firstLine="480" w:firstLineChars="200"/>
              <w:rPr>
                <w:rFonts w:hint="eastAsia" w:hAnsi="宋体"/>
                <w:sz w:val="24"/>
                <w:lang w:eastAsia="zh-CN"/>
              </w:rPr>
            </w:pPr>
            <w:r>
              <w:rPr>
                <w:rFonts w:hint="eastAsia"/>
                <w:sz w:val="24"/>
              </w:rPr>
              <w:t>本项目生产过程中搅拌机每天清洗一次，废水产生量约为1t/次，即本项目清洗废水产生量为300t/a，该废水全部收集后回用到搅拌工段，不外排；废水主要为员工生活污水，</w:t>
            </w:r>
            <w:r>
              <w:rPr>
                <w:rFonts w:hint="eastAsia"/>
                <w:snapToGrid w:val="0"/>
                <w:kern w:val="0"/>
                <w:sz w:val="24"/>
              </w:rPr>
              <w:t>本项目</w:t>
            </w:r>
            <w:r>
              <w:rPr>
                <w:rFonts w:hint="eastAsia" w:hAnsi="宋体"/>
                <w:sz w:val="24"/>
              </w:rPr>
              <w:t>预计</w:t>
            </w:r>
            <w:r>
              <w:rPr>
                <w:rFonts w:hAnsi="宋体"/>
                <w:sz w:val="24"/>
              </w:rPr>
              <w:t>职工</w:t>
            </w:r>
            <w:r>
              <w:rPr>
                <w:rFonts w:hint="eastAsia"/>
                <w:sz w:val="24"/>
              </w:rPr>
              <w:t>6</w:t>
            </w:r>
            <w:r>
              <w:rPr>
                <w:rFonts w:hAnsi="宋体"/>
                <w:sz w:val="24"/>
              </w:rPr>
              <w:t>人，</w:t>
            </w:r>
            <w:r>
              <w:rPr>
                <w:rFonts w:hint="eastAsia" w:hAnsi="宋体"/>
                <w:sz w:val="24"/>
              </w:rPr>
              <w:t>无</w:t>
            </w:r>
            <w:r>
              <w:rPr>
                <w:rFonts w:hAnsi="宋体"/>
                <w:sz w:val="24"/>
              </w:rPr>
              <w:t>宿舍</w:t>
            </w:r>
            <w:r>
              <w:rPr>
                <w:rFonts w:hint="eastAsia" w:hAnsi="宋体"/>
                <w:sz w:val="24"/>
              </w:rPr>
              <w:t>和</w:t>
            </w:r>
            <w:r>
              <w:rPr>
                <w:rFonts w:hAnsi="宋体"/>
                <w:sz w:val="24"/>
              </w:rPr>
              <w:t>食堂，生活用水量按</w:t>
            </w:r>
            <w:r>
              <w:rPr>
                <w:rFonts w:hint="eastAsia"/>
                <w:sz w:val="24"/>
              </w:rPr>
              <w:t>100</w:t>
            </w:r>
            <w:r>
              <w:rPr>
                <w:sz w:val="24"/>
              </w:rPr>
              <w:t>L/(</w:t>
            </w:r>
            <w:r>
              <w:rPr>
                <w:rFonts w:hAnsi="宋体"/>
                <w:sz w:val="24"/>
              </w:rPr>
              <w:t>人</w:t>
            </w:r>
            <w:r>
              <w:rPr>
                <w:sz w:val="24"/>
              </w:rPr>
              <w:t>•</w:t>
            </w:r>
            <w:r>
              <w:rPr>
                <w:rFonts w:hAnsi="宋体"/>
                <w:sz w:val="24"/>
              </w:rPr>
              <w:t>天</w:t>
            </w:r>
            <w:r>
              <w:rPr>
                <w:sz w:val="24"/>
              </w:rPr>
              <w:t>)</w:t>
            </w:r>
            <w:r>
              <w:rPr>
                <w:rFonts w:hAnsi="宋体"/>
                <w:sz w:val="24"/>
              </w:rPr>
              <w:t>计算，年工作日为</w:t>
            </w:r>
            <w:r>
              <w:rPr>
                <w:rFonts w:hint="eastAsia"/>
                <w:sz w:val="24"/>
              </w:rPr>
              <w:t>300</w:t>
            </w:r>
            <w:r>
              <w:rPr>
                <w:rFonts w:hAnsi="宋体"/>
                <w:sz w:val="24"/>
              </w:rPr>
              <w:t>天，</w:t>
            </w:r>
            <w:r>
              <w:rPr>
                <w:rFonts w:hint="eastAsia"/>
                <w:sz w:val="24"/>
              </w:rPr>
              <w:t>损耗按照15%，</w:t>
            </w:r>
            <w:r>
              <w:rPr>
                <w:rFonts w:hAnsi="宋体"/>
                <w:sz w:val="24"/>
              </w:rPr>
              <w:t>则生活污水产生量为</w:t>
            </w:r>
            <w:r>
              <w:rPr>
                <w:rFonts w:hint="eastAsia"/>
                <w:sz w:val="24"/>
              </w:rPr>
              <w:t>153</w:t>
            </w:r>
            <w:r>
              <w:rPr>
                <w:sz w:val="24"/>
              </w:rPr>
              <w:t>m</w:t>
            </w:r>
            <w:r>
              <w:rPr>
                <w:sz w:val="24"/>
                <w:vertAlign w:val="superscript"/>
              </w:rPr>
              <w:t>3</w:t>
            </w:r>
            <w:r>
              <w:rPr>
                <w:sz w:val="24"/>
              </w:rPr>
              <w:t>/a</w:t>
            </w:r>
            <w:r>
              <w:rPr>
                <w:rFonts w:hint="eastAsia" w:hAnsi="宋体"/>
                <w:sz w:val="24"/>
                <w:lang w:eastAsia="zh-CN"/>
              </w:rPr>
              <w:t>。</w:t>
            </w:r>
          </w:p>
          <w:p>
            <w:pPr>
              <w:spacing w:line="360" w:lineRule="auto"/>
              <w:jc w:val="center"/>
              <w:rPr>
                <w:rFonts w:hint="eastAsia"/>
                <w:b/>
                <w:sz w:val="24"/>
              </w:rPr>
            </w:pPr>
            <w:r>
              <w:rPr>
                <w:b/>
                <w:sz w:val="24"/>
              </w:rPr>
              <w:drawing>
                <wp:inline distT="0" distB="0" distL="114300" distR="114300">
                  <wp:extent cx="5759450" cy="2117090"/>
                  <wp:effectExtent l="0" t="0" r="0" b="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3"/>
                          <a:stretch>
                            <a:fillRect/>
                          </a:stretch>
                        </pic:blipFill>
                        <pic:spPr>
                          <a:xfrm>
                            <a:off x="0" y="0"/>
                            <a:ext cx="5759450" cy="2117090"/>
                          </a:xfrm>
                          <a:prstGeom prst="rect">
                            <a:avLst/>
                          </a:prstGeom>
                          <a:noFill/>
                          <a:ln>
                            <a:noFill/>
                          </a:ln>
                        </pic:spPr>
                      </pic:pic>
                    </a:graphicData>
                  </a:graphic>
                </wp:inline>
              </w:drawing>
            </w:r>
          </w:p>
          <w:p>
            <w:pPr>
              <w:spacing w:line="360" w:lineRule="auto"/>
              <w:jc w:val="center"/>
              <w:rPr>
                <w:rFonts w:hint="eastAsia"/>
                <w:b/>
                <w:sz w:val="24"/>
              </w:rPr>
            </w:pPr>
            <w:r>
              <w:rPr>
                <w:rFonts w:hint="eastAsia"/>
                <w:b/>
                <w:sz w:val="24"/>
              </w:rPr>
              <w:t>图</w:t>
            </w:r>
            <w:r>
              <w:rPr>
                <w:rFonts w:hint="eastAsia"/>
                <w:b/>
                <w:sz w:val="24"/>
                <w:lang w:val="en-US" w:eastAsia="zh-CN"/>
              </w:rPr>
              <w:t>3</w:t>
            </w:r>
            <w:r>
              <w:rPr>
                <w:rFonts w:hint="eastAsia"/>
                <w:b/>
                <w:sz w:val="24"/>
              </w:rPr>
              <w:t>-</w:t>
            </w:r>
            <w:r>
              <w:rPr>
                <w:rFonts w:hint="eastAsia"/>
                <w:b/>
                <w:sz w:val="24"/>
                <w:lang w:val="en-US" w:eastAsia="zh-CN"/>
              </w:rPr>
              <w:t>1</w:t>
            </w:r>
            <w:r>
              <w:rPr>
                <w:rFonts w:hint="eastAsia"/>
                <w:b/>
                <w:sz w:val="24"/>
              </w:rPr>
              <w:t xml:space="preserve"> 本项目水平衡图  t/a</w:t>
            </w:r>
          </w:p>
          <w:p>
            <w:pPr>
              <w:spacing w:line="360" w:lineRule="auto"/>
              <w:ind w:firstLine="480" w:firstLineChars="200"/>
              <w:rPr>
                <w:rFonts w:hint="eastAsia" w:hAnsi="宋体"/>
                <w:sz w:val="24"/>
                <w:lang w:eastAsia="zh-CN"/>
              </w:rPr>
            </w:pPr>
          </w:p>
          <w:p>
            <w:pPr>
              <w:spacing w:line="360" w:lineRule="auto"/>
              <w:ind w:firstLine="480" w:firstLineChars="200"/>
              <w:rPr>
                <w:rFonts w:hint="eastAsia"/>
                <w:sz w:val="24"/>
              </w:rPr>
            </w:pPr>
            <w:r>
              <w:rPr>
                <w:rFonts w:hint="eastAsia"/>
                <w:sz w:val="24"/>
              </w:rPr>
              <w:t>项目厂区雨污分流，无生产废水，生活污水接管至</w:t>
            </w:r>
            <w:r>
              <w:rPr>
                <w:rFonts w:hint="eastAsia"/>
                <w:sz w:val="24"/>
                <w:lang w:eastAsia="zh-CN"/>
              </w:rPr>
              <w:t>苏州市吴江桃源生活污水处理有限公司</w:t>
            </w:r>
            <w:r>
              <w:rPr>
                <w:rFonts w:hint="eastAsia"/>
                <w:sz w:val="24"/>
              </w:rPr>
              <w:t>，雨水通过市政雨水管网排入周边河流。</w:t>
            </w:r>
          </w:p>
          <w:p>
            <w:pPr>
              <w:adjustRightInd w:val="0"/>
              <w:snapToGrid w:val="0"/>
              <w:spacing w:line="360" w:lineRule="auto"/>
              <w:ind w:firstLine="482" w:firstLineChars="200"/>
              <w:jc w:val="left"/>
              <w:rPr>
                <w:b/>
                <w:sz w:val="24"/>
                <w:highlight w:val="none"/>
              </w:rPr>
            </w:pPr>
            <w:r>
              <w:rPr>
                <w:b/>
                <w:sz w:val="24"/>
                <w:highlight w:val="none"/>
              </w:rPr>
              <w:t>（3）</w:t>
            </w:r>
            <w:r>
              <w:rPr>
                <w:b/>
                <w:color w:val="000000"/>
                <w:sz w:val="24"/>
                <w:szCs w:val="28"/>
                <w:highlight w:val="none"/>
              </w:rPr>
              <w:t>噪声</w:t>
            </w:r>
          </w:p>
          <w:p>
            <w:pPr>
              <w:spacing w:line="360" w:lineRule="auto"/>
              <w:ind w:right="105" w:rightChars="50" w:firstLine="480" w:firstLineChars="200"/>
              <w:rPr>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项目运营期的噪声源主要是</w:t>
            </w:r>
            <w:r>
              <w:rPr>
                <w:rFonts w:hint="eastAsia"/>
                <w:bCs/>
                <w:color w:val="000000" w:themeColor="text1"/>
                <w:sz w:val="24"/>
                <w:highlight w:val="none"/>
                <w14:textFill>
                  <w14:solidFill>
                    <w14:schemeClr w14:val="tx1"/>
                  </w14:solidFill>
                </w14:textFill>
              </w:rPr>
              <w:t>各类机械设备运行时产生的机械噪声</w:t>
            </w:r>
            <w:r>
              <w:rPr>
                <w:bCs/>
                <w:color w:val="000000" w:themeColor="text1"/>
                <w:sz w:val="24"/>
                <w:highlight w:val="none"/>
                <w14:textFill>
                  <w14:solidFill>
                    <w14:schemeClr w14:val="tx1"/>
                  </w14:solidFill>
                </w14:textFill>
              </w:rPr>
              <w:t>，噪声值在</w:t>
            </w:r>
            <w:r>
              <w:rPr>
                <w:rFonts w:hint="eastAsia"/>
                <w:bCs/>
                <w:color w:val="000000" w:themeColor="text1"/>
                <w:sz w:val="24"/>
                <w:highlight w:val="none"/>
                <w:lang w:val="en-US" w:eastAsia="zh-CN"/>
                <w14:textFill>
                  <w14:solidFill>
                    <w14:schemeClr w14:val="tx1"/>
                  </w14:solidFill>
                </w14:textFill>
              </w:rPr>
              <w:t>80</w:t>
            </w:r>
            <w:r>
              <w:rPr>
                <w:bCs/>
                <w:color w:val="000000" w:themeColor="text1"/>
                <w:sz w:val="24"/>
                <w:highlight w:val="none"/>
                <w14:textFill>
                  <w14:solidFill>
                    <w14:schemeClr w14:val="tx1"/>
                  </w14:solidFill>
                </w14:textFill>
              </w:rPr>
              <w:t>dB左右。</w:t>
            </w:r>
            <w:r>
              <w:rPr>
                <w:rFonts w:hint="eastAsia"/>
                <w:bCs/>
                <w:color w:val="000000" w:themeColor="text1"/>
                <w:sz w:val="24"/>
                <w:highlight w:val="none"/>
                <w14:textFill>
                  <w14:solidFill>
                    <w14:schemeClr w14:val="tx1"/>
                  </w14:solidFill>
                </w14:textFill>
              </w:rPr>
              <w:t>本项目选用低噪声动力设备与机械设备，并按照工业设备安装的有关规范进行安装。设备均布置在车间内部，对其进行墙壁隔声。</w:t>
            </w:r>
            <w:r>
              <w:rPr>
                <w:rFonts w:hint="eastAsia"/>
                <w:bCs/>
                <w:color w:val="000000" w:themeColor="text1"/>
                <w:sz w:val="24"/>
                <w:highlight w:val="none"/>
                <w:lang w:val="en-US" w:eastAsia="zh-CN"/>
                <w14:textFill>
                  <w14:solidFill>
                    <w14:schemeClr w14:val="tx1"/>
                  </w14:solidFill>
                </w14:textFill>
              </w:rPr>
              <w:t>高噪声</w:t>
            </w:r>
            <w:r>
              <w:rPr>
                <w:rFonts w:hint="eastAsia"/>
                <w:bCs/>
                <w:color w:val="000000" w:themeColor="text1"/>
                <w:sz w:val="24"/>
                <w:highlight w:val="none"/>
                <w14:textFill>
                  <w14:solidFill>
                    <w14:schemeClr w14:val="tx1"/>
                  </w14:solidFill>
                </w14:textFill>
              </w:rPr>
              <w:t>设备经隔声、减振后</w:t>
            </w:r>
            <w:r>
              <w:rPr>
                <w:color w:val="000000" w:themeColor="text1"/>
                <w:sz w:val="24"/>
                <w:highlight w:val="none"/>
                <w14:textFill>
                  <w14:solidFill>
                    <w14:schemeClr w14:val="tx1"/>
                  </w14:solidFill>
                </w14:textFill>
              </w:rPr>
              <w:t>，厂界噪声均可以达到《工业企业厂界环境噪声排放标准》（GB12348-2008）</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类标准。</w:t>
            </w:r>
          </w:p>
          <w:p>
            <w:pPr>
              <w:adjustRightInd w:val="0"/>
              <w:snapToGrid w:val="0"/>
              <w:spacing w:line="360" w:lineRule="auto"/>
              <w:ind w:firstLine="482" w:firstLineChars="200"/>
              <w:jc w:val="left"/>
              <w:rPr>
                <w:b/>
                <w:sz w:val="24"/>
                <w:highlight w:val="none"/>
              </w:rPr>
            </w:pPr>
            <w:r>
              <w:rPr>
                <w:b/>
                <w:sz w:val="24"/>
                <w:highlight w:val="none"/>
              </w:rPr>
              <w:t>（4）固体废物</w:t>
            </w:r>
          </w:p>
          <w:p>
            <w:pPr>
              <w:spacing w:line="360" w:lineRule="auto"/>
              <w:ind w:firstLine="480" w:firstLineChars="200"/>
              <w:rPr>
                <w:rFonts w:hint="eastAsia"/>
                <w:sz w:val="24"/>
              </w:rPr>
            </w:pPr>
            <w:r>
              <w:rPr>
                <w:rFonts w:hint="eastAsia"/>
                <w:sz w:val="24"/>
                <w:lang w:val="en-US" w:eastAsia="zh-CN"/>
              </w:rPr>
              <w:t xml:space="preserve">项目营运期产生的固体废物主要包括： </w:t>
            </w:r>
          </w:p>
          <w:p>
            <w:pPr>
              <w:spacing w:line="360" w:lineRule="auto"/>
              <w:ind w:firstLine="480" w:firstLineChars="200"/>
              <w:rPr>
                <w:rFonts w:hint="eastAsia"/>
                <w:sz w:val="24"/>
              </w:rPr>
            </w:pPr>
            <w:r>
              <w:rPr>
                <w:rFonts w:hint="eastAsia"/>
                <w:sz w:val="24"/>
                <w:lang w:val="en-US" w:eastAsia="zh-CN"/>
              </w:rPr>
              <w:t>一般固废为</w:t>
            </w:r>
            <w:r>
              <w:rPr>
                <w:rFonts w:hint="eastAsia"/>
                <w:sz w:val="24"/>
              </w:rPr>
              <w:t>布袋除尘器收尘</w:t>
            </w:r>
            <w:r>
              <w:rPr>
                <w:rFonts w:hint="eastAsia"/>
                <w:sz w:val="24"/>
                <w:lang w:val="en-US" w:eastAsia="zh-CN"/>
              </w:rPr>
              <w:t>，</w:t>
            </w:r>
            <w:r>
              <w:rPr>
                <w:rFonts w:hint="eastAsia"/>
                <w:sz w:val="24"/>
              </w:rPr>
              <w:t>布袋除尘器收尘重新回用到搅拌工段。</w:t>
            </w:r>
          </w:p>
          <w:p>
            <w:pPr>
              <w:spacing w:line="360" w:lineRule="auto"/>
              <w:ind w:firstLine="480" w:firstLineChars="200"/>
              <w:rPr>
                <w:rFonts w:hint="eastAsia"/>
                <w:sz w:val="24"/>
              </w:rPr>
            </w:pPr>
            <w:r>
              <w:rPr>
                <w:rFonts w:hint="eastAsia"/>
                <w:sz w:val="24"/>
                <w:lang w:val="en-US" w:eastAsia="zh-CN"/>
              </w:rPr>
              <w:t>生活垃圾委托环卫部门清运处置。</w:t>
            </w:r>
          </w:p>
          <w:p>
            <w:pPr>
              <w:spacing w:before="120" w:beforeLines="50"/>
              <w:jc w:val="center"/>
              <w:rPr>
                <w:rFonts w:hint="eastAsia"/>
                <w:b/>
                <w:bCs/>
              </w:rPr>
            </w:pPr>
            <w:r>
              <w:rPr>
                <w:rFonts w:hint="eastAsia"/>
                <w:b/>
                <w:bCs/>
              </w:rPr>
              <w:t>表3-1</w:t>
            </w:r>
            <w:r>
              <w:rPr>
                <w:rFonts w:hint="eastAsia"/>
                <w:b/>
                <w:bCs/>
                <w:lang w:val="en-US" w:eastAsia="zh-CN"/>
              </w:rPr>
              <w:t xml:space="preserve"> 项目</w:t>
            </w:r>
            <w:r>
              <w:rPr>
                <w:rFonts w:hint="eastAsia"/>
                <w:b/>
                <w:bCs/>
              </w:rPr>
              <w:t>固废产生处理情况一览表</w:t>
            </w:r>
          </w:p>
          <w:tbl>
            <w:tblPr>
              <w:tblStyle w:val="26"/>
              <w:tblW w:w="91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956"/>
              <w:gridCol w:w="11"/>
              <w:gridCol w:w="891"/>
              <w:gridCol w:w="968"/>
              <w:gridCol w:w="1125"/>
              <w:gridCol w:w="1259"/>
              <w:gridCol w:w="918"/>
              <w:gridCol w:w="1500"/>
              <w:gridCol w:w="10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26" w:type="dxa"/>
                  <w:noWrap w:val="0"/>
                  <w:vAlign w:val="center"/>
                </w:tcPr>
                <w:p>
                  <w:pPr>
                    <w:adjustRightInd w:val="0"/>
                    <w:snapToGrid w:val="0"/>
                    <w:jc w:val="center"/>
                    <w:rPr>
                      <w:szCs w:val="21"/>
                    </w:rPr>
                  </w:pPr>
                  <w:r>
                    <w:rPr>
                      <w:rFonts w:hAnsi="宋体"/>
                      <w:szCs w:val="21"/>
                    </w:rPr>
                    <w:t>序号</w:t>
                  </w:r>
                </w:p>
              </w:tc>
              <w:tc>
                <w:tcPr>
                  <w:tcW w:w="967" w:type="dxa"/>
                  <w:gridSpan w:val="2"/>
                  <w:noWrap w:val="0"/>
                  <w:vAlign w:val="center"/>
                </w:tcPr>
                <w:p>
                  <w:pPr>
                    <w:adjustRightInd w:val="0"/>
                    <w:snapToGrid w:val="0"/>
                    <w:jc w:val="center"/>
                    <w:rPr>
                      <w:szCs w:val="21"/>
                    </w:rPr>
                  </w:pPr>
                  <w:r>
                    <w:rPr>
                      <w:rFonts w:hAnsi="宋体"/>
                      <w:szCs w:val="21"/>
                    </w:rPr>
                    <w:t>固废</w:t>
                  </w:r>
                </w:p>
                <w:p>
                  <w:pPr>
                    <w:adjustRightInd w:val="0"/>
                    <w:snapToGrid w:val="0"/>
                    <w:jc w:val="center"/>
                    <w:rPr>
                      <w:szCs w:val="21"/>
                    </w:rPr>
                  </w:pPr>
                  <w:r>
                    <w:rPr>
                      <w:rFonts w:hAnsi="宋体"/>
                      <w:szCs w:val="21"/>
                    </w:rPr>
                    <w:t>名称</w:t>
                  </w:r>
                </w:p>
              </w:tc>
              <w:tc>
                <w:tcPr>
                  <w:tcW w:w="891" w:type="dxa"/>
                  <w:noWrap w:val="0"/>
                  <w:vAlign w:val="center"/>
                </w:tcPr>
                <w:p>
                  <w:pPr>
                    <w:adjustRightInd w:val="0"/>
                    <w:snapToGrid w:val="0"/>
                    <w:jc w:val="center"/>
                    <w:rPr>
                      <w:szCs w:val="21"/>
                    </w:rPr>
                  </w:pPr>
                  <w:r>
                    <w:rPr>
                      <w:rFonts w:hAnsi="宋体"/>
                      <w:szCs w:val="21"/>
                    </w:rPr>
                    <w:t>属性</w:t>
                  </w:r>
                </w:p>
              </w:tc>
              <w:tc>
                <w:tcPr>
                  <w:tcW w:w="968" w:type="dxa"/>
                  <w:noWrap w:val="0"/>
                  <w:vAlign w:val="center"/>
                </w:tcPr>
                <w:p>
                  <w:pPr>
                    <w:adjustRightInd w:val="0"/>
                    <w:snapToGrid w:val="0"/>
                    <w:jc w:val="center"/>
                    <w:rPr>
                      <w:szCs w:val="21"/>
                    </w:rPr>
                  </w:pPr>
                  <w:r>
                    <w:rPr>
                      <w:rFonts w:hAnsi="宋体"/>
                      <w:szCs w:val="21"/>
                    </w:rPr>
                    <w:t>产生工序</w:t>
                  </w:r>
                </w:p>
              </w:tc>
              <w:tc>
                <w:tcPr>
                  <w:tcW w:w="1125" w:type="dxa"/>
                  <w:noWrap w:val="0"/>
                  <w:vAlign w:val="center"/>
                </w:tcPr>
                <w:p>
                  <w:pPr>
                    <w:adjustRightInd w:val="0"/>
                    <w:snapToGrid w:val="0"/>
                    <w:jc w:val="center"/>
                    <w:rPr>
                      <w:rFonts w:hint="eastAsia" w:hAnsi="宋体"/>
                      <w:szCs w:val="21"/>
                    </w:rPr>
                  </w:pPr>
                  <w:r>
                    <w:rPr>
                      <w:rFonts w:hAnsi="宋体"/>
                      <w:szCs w:val="21"/>
                    </w:rPr>
                    <w:t>主要</w:t>
                  </w:r>
                </w:p>
                <w:p>
                  <w:pPr>
                    <w:adjustRightInd w:val="0"/>
                    <w:snapToGrid w:val="0"/>
                    <w:jc w:val="center"/>
                    <w:rPr>
                      <w:szCs w:val="21"/>
                    </w:rPr>
                  </w:pPr>
                  <w:r>
                    <w:rPr>
                      <w:rFonts w:hAnsi="宋体"/>
                      <w:szCs w:val="21"/>
                    </w:rPr>
                    <w:t>成分</w:t>
                  </w:r>
                </w:p>
              </w:tc>
              <w:tc>
                <w:tcPr>
                  <w:tcW w:w="1259" w:type="dxa"/>
                  <w:noWrap w:val="0"/>
                  <w:vAlign w:val="center"/>
                </w:tcPr>
                <w:p>
                  <w:pPr>
                    <w:adjustRightInd w:val="0"/>
                    <w:snapToGrid w:val="0"/>
                    <w:jc w:val="center"/>
                    <w:rPr>
                      <w:szCs w:val="21"/>
                    </w:rPr>
                  </w:pPr>
                  <w:r>
                    <w:rPr>
                      <w:rFonts w:hAnsi="宋体"/>
                      <w:szCs w:val="21"/>
                    </w:rPr>
                    <w:t>废物代码</w:t>
                  </w:r>
                </w:p>
              </w:tc>
              <w:tc>
                <w:tcPr>
                  <w:tcW w:w="918" w:type="dxa"/>
                  <w:noWrap w:val="0"/>
                  <w:vAlign w:val="center"/>
                </w:tcPr>
                <w:p>
                  <w:pPr>
                    <w:adjustRightInd w:val="0"/>
                    <w:snapToGrid w:val="0"/>
                    <w:jc w:val="center"/>
                    <w:rPr>
                      <w:rFonts w:hint="eastAsia" w:hAnsi="宋体"/>
                      <w:szCs w:val="21"/>
                    </w:rPr>
                  </w:pPr>
                  <w:r>
                    <w:rPr>
                      <w:rFonts w:hint="eastAsia" w:hAnsi="宋体"/>
                      <w:szCs w:val="21"/>
                      <w:lang w:val="en-US" w:eastAsia="zh-CN"/>
                    </w:rPr>
                    <w:t>环评</w:t>
                  </w:r>
                  <w:r>
                    <w:rPr>
                      <w:rFonts w:hAnsi="宋体"/>
                      <w:szCs w:val="21"/>
                    </w:rPr>
                    <w:t>产生量</w:t>
                  </w:r>
                </w:p>
                <w:p>
                  <w:pPr>
                    <w:adjustRightInd w:val="0"/>
                    <w:snapToGrid w:val="0"/>
                    <w:jc w:val="center"/>
                    <w:rPr>
                      <w:szCs w:val="21"/>
                    </w:rPr>
                  </w:pPr>
                  <w:r>
                    <w:rPr>
                      <w:rFonts w:hAnsi="宋体"/>
                      <w:szCs w:val="21"/>
                    </w:rPr>
                    <w:t>（吨</w:t>
                  </w:r>
                  <w:r>
                    <w:rPr>
                      <w:szCs w:val="21"/>
                    </w:rPr>
                    <w:t>/</w:t>
                  </w:r>
                  <w:r>
                    <w:rPr>
                      <w:rFonts w:hAnsi="宋体"/>
                      <w:szCs w:val="21"/>
                    </w:rPr>
                    <w:t>年）</w:t>
                  </w:r>
                </w:p>
              </w:tc>
              <w:tc>
                <w:tcPr>
                  <w:tcW w:w="1500" w:type="dxa"/>
                  <w:noWrap w:val="0"/>
                  <w:vAlign w:val="center"/>
                </w:tcPr>
                <w:p>
                  <w:pPr>
                    <w:adjustRightInd w:val="0"/>
                    <w:snapToGrid w:val="0"/>
                    <w:jc w:val="center"/>
                    <w:rPr>
                      <w:rFonts w:hint="eastAsia" w:eastAsia="宋体"/>
                      <w:szCs w:val="21"/>
                      <w:lang w:eastAsia="zh-CN"/>
                    </w:rPr>
                  </w:pPr>
                  <w:r>
                    <w:rPr>
                      <w:rFonts w:hint="eastAsia" w:hAnsi="宋体"/>
                      <w:szCs w:val="21"/>
                      <w:lang w:val="en-US" w:eastAsia="zh-CN"/>
                    </w:rPr>
                    <w:t>实际产生</w:t>
                  </w:r>
                  <w:r>
                    <w:rPr>
                      <w:rFonts w:hAnsi="宋体"/>
                      <w:szCs w:val="21"/>
                    </w:rPr>
                    <w:t>（吨</w:t>
                  </w:r>
                  <w:r>
                    <w:rPr>
                      <w:szCs w:val="21"/>
                    </w:rPr>
                    <w:t>/</w:t>
                  </w:r>
                  <w:r>
                    <w:rPr>
                      <w:rFonts w:hAnsi="宋体"/>
                      <w:szCs w:val="21"/>
                    </w:rPr>
                    <w:t>年</w:t>
                  </w:r>
                  <w:r>
                    <w:rPr>
                      <w:rFonts w:hint="eastAsia" w:hAnsi="宋体"/>
                      <w:szCs w:val="21"/>
                      <w:lang w:eastAsia="zh-CN"/>
                    </w:rPr>
                    <w:t>）</w:t>
                  </w:r>
                </w:p>
              </w:tc>
              <w:tc>
                <w:tcPr>
                  <w:tcW w:w="1078" w:type="dxa"/>
                  <w:noWrap w:val="0"/>
                  <w:vAlign w:val="center"/>
                </w:tcPr>
                <w:p>
                  <w:pPr>
                    <w:adjustRightInd w:val="0"/>
                    <w:snapToGrid w:val="0"/>
                    <w:jc w:val="center"/>
                    <w:rPr>
                      <w:rFonts w:hint="eastAsia" w:eastAsia="宋体"/>
                      <w:szCs w:val="21"/>
                      <w:lang w:eastAsia="zh-CN"/>
                    </w:rPr>
                  </w:pPr>
                  <w:r>
                    <w:rPr>
                      <w:rFonts w:hint="eastAsia" w:hAnsi="宋体"/>
                      <w:szCs w:val="21"/>
                      <w:lang w:val="en-US" w:eastAsia="zh-CN"/>
                    </w:rPr>
                    <w:t>处置方式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426" w:type="dxa"/>
                  <w:noWrap w:val="0"/>
                  <w:vAlign w:val="center"/>
                </w:tcPr>
                <w:p>
                  <w:pPr>
                    <w:jc w:val="center"/>
                    <w:rPr>
                      <w:rFonts w:hint="eastAsia" w:hAnsi="宋体"/>
                      <w:szCs w:val="21"/>
                    </w:rPr>
                  </w:pPr>
                  <w:r>
                    <w:rPr>
                      <w:rFonts w:hint="eastAsia" w:hAnsi="宋体"/>
                      <w:szCs w:val="21"/>
                    </w:rPr>
                    <w:t>1</w:t>
                  </w:r>
                </w:p>
              </w:tc>
              <w:tc>
                <w:tcPr>
                  <w:tcW w:w="956" w:type="dxa"/>
                  <w:noWrap w:val="0"/>
                  <w:vAlign w:val="center"/>
                </w:tcPr>
                <w:p>
                  <w:pPr>
                    <w:pStyle w:val="103"/>
                    <w:spacing w:before="62" w:after="62"/>
                    <w:rPr>
                      <w:rFonts w:hint="eastAsia"/>
                      <w:color w:val="auto"/>
                    </w:rPr>
                  </w:pPr>
                  <w:r>
                    <w:rPr>
                      <w:rFonts w:hint="eastAsia"/>
                      <w:color w:val="auto"/>
                    </w:rPr>
                    <w:t>布袋除尘器收尘</w:t>
                  </w:r>
                </w:p>
              </w:tc>
              <w:tc>
                <w:tcPr>
                  <w:tcW w:w="902" w:type="dxa"/>
                  <w:gridSpan w:val="2"/>
                  <w:noWrap w:val="0"/>
                  <w:vAlign w:val="center"/>
                </w:tcPr>
                <w:p>
                  <w:pPr>
                    <w:pStyle w:val="103"/>
                    <w:spacing w:before="62" w:after="62"/>
                    <w:rPr>
                      <w:color w:val="auto"/>
                    </w:rPr>
                  </w:pPr>
                  <w:r>
                    <w:rPr>
                      <w:rFonts w:hint="eastAsia"/>
                      <w:color w:val="auto"/>
                    </w:rPr>
                    <w:t>一般固废</w:t>
                  </w:r>
                </w:p>
              </w:tc>
              <w:tc>
                <w:tcPr>
                  <w:tcW w:w="968" w:type="dxa"/>
                  <w:noWrap w:val="0"/>
                  <w:vAlign w:val="center"/>
                </w:tcPr>
                <w:p>
                  <w:pPr>
                    <w:pStyle w:val="103"/>
                    <w:spacing w:before="62" w:after="62"/>
                    <w:rPr>
                      <w:rFonts w:hint="eastAsia"/>
                      <w:color w:val="auto"/>
                    </w:rPr>
                  </w:pPr>
                  <w:r>
                    <w:rPr>
                      <w:rFonts w:hint="eastAsia"/>
                      <w:color w:val="auto"/>
                    </w:rPr>
                    <w:t>废气处理</w:t>
                  </w:r>
                </w:p>
              </w:tc>
              <w:tc>
                <w:tcPr>
                  <w:tcW w:w="1125" w:type="dxa"/>
                  <w:noWrap w:val="0"/>
                  <w:vAlign w:val="center"/>
                </w:tcPr>
                <w:p>
                  <w:pPr>
                    <w:pStyle w:val="103"/>
                    <w:spacing w:before="62" w:after="62"/>
                    <w:rPr>
                      <w:rFonts w:hint="eastAsia"/>
                      <w:color w:val="auto"/>
                    </w:rPr>
                  </w:pPr>
                  <w:r>
                    <w:rPr>
                      <w:rFonts w:hint="eastAsia"/>
                      <w:color w:val="auto"/>
                    </w:rPr>
                    <w:t>水泥等</w:t>
                  </w:r>
                </w:p>
              </w:tc>
              <w:tc>
                <w:tcPr>
                  <w:tcW w:w="1259" w:type="dxa"/>
                  <w:noWrap w:val="0"/>
                  <w:vAlign w:val="center"/>
                </w:tcPr>
                <w:p>
                  <w:pPr>
                    <w:pStyle w:val="103"/>
                    <w:spacing w:before="62" w:after="62"/>
                    <w:rPr>
                      <w:rFonts w:hint="eastAsia"/>
                      <w:color w:val="auto"/>
                    </w:rPr>
                  </w:pPr>
                  <w:r>
                    <w:rPr>
                      <w:rFonts w:hint="eastAsia"/>
                      <w:color w:val="000000" w:themeColor="text1"/>
                      <w:sz w:val="18"/>
                      <w:szCs w:val="18"/>
                      <w:highlight w:val="none"/>
                      <w:lang w:val="en-US" w:eastAsia="zh-CN"/>
                      <w14:textFill>
                        <w14:solidFill>
                          <w14:schemeClr w14:val="tx1"/>
                        </w14:solidFill>
                      </w14:textFill>
                    </w:rPr>
                    <w:t>900-999-99</w:t>
                  </w:r>
                </w:p>
              </w:tc>
              <w:tc>
                <w:tcPr>
                  <w:tcW w:w="918" w:type="dxa"/>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15.435</w:t>
                  </w:r>
                </w:p>
              </w:tc>
              <w:tc>
                <w:tcPr>
                  <w:tcW w:w="1500" w:type="dxa"/>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预计年产生活垃圾15.435t，日清</w:t>
                  </w:r>
                </w:p>
              </w:tc>
              <w:tc>
                <w:tcPr>
                  <w:tcW w:w="1078" w:type="dxa"/>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回用到搅拌工段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426" w:type="dxa"/>
                  <w:noWrap w:val="0"/>
                  <w:vAlign w:val="center"/>
                </w:tcPr>
                <w:p>
                  <w:pPr>
                    <w:jc w:val="center"/>
                    <w:rPr>
                      <w:rFonts w:hint="eastAsia" w:hAnsi="宋体"/>
                      <w:szCs w:val="21"/>
                    </w:rPr>
                  </w:pPr>
                  <w:r>
                    <w:rPr>
                      <w:rFonts w:hint="eastAsia" w:hAnsi="宋体"/>
                      <w:szCs w:val="21"/>
                    </w:rPr>
                    <w:t>2</w:t>
                  </w:r>
                </w:p>
              </w:tc>
              <w:tc>
                <w:tcPr>
                  <w:tcW w:w="956" w:type="dxa"/>
                  <w:noWrap w:val="0"/>
                  <w:vAlign w:val="center"/>
                </w:tcPr>
                <w:p>
                  <w:pPr>
                    <w:pStyle w:val="103"/>
                    <w:spacing w:before="62" w:after="62"/>
                    <w:rPr>
                      <w:color w:val="auto"/>
                      <w:kern w:val="0"/>
                    </w:rPr>
                  </w:pPr>
                  <w:r>
                    <w:rPr>
                      <w:color w:val="auto"/>
                      <w:kern w:val="0"/>
                    </w:rPr>
                    <w:t>生活垃圾</w:t>
                  </w:r>
                </w:p>
              </w:tc>
              <w:tc>
                <w:tcPr>
                  <w:tcW w:w="902" w:type="dxa"/>
                  <w:gridSpan w:val="2"/>
                  <w:noWrap w:val="0"/>
                  <w:vAlign w:val="center"/>
                </w:tcPr>
                <w:p>
                  <w:pPr>
                    <w:pStyle w:val="103"/>
                    <w:spacing w:before="62" w:after="62"/>
                    <w:rPr>
                      <w:rFonts w:hint="eastAsia"/>
                      <w:color w:val="auto"/>
                    </w:rPr>
                  </w:pPr>
                  <w:r>
                    <w:rPr>
                      <w:rFonts w:hint="eastAsia"/>
                      <w:color w:val="auto"/>
                    </w:rPr>
                    <w:t>生活垃圾</w:t>
                  </w:r>
                </w:p>
              </w:tc>
              <w:tc>
                <w:tcPr>
                  <w:tcW w:w="968" w:type="dxa"/>
                  <w:noWrap w:val="0"/>
                  <w:vAlign w:val="center"/>
                </w:tcPr>
                <w:p>
                  <w:pPr>
                    <w:pStyle w:val="103"/>
                    <w:spacing w:before="62" w:after="62"/>
                    <w:rPr>
                      <w:color w:val="auto"/>
                      <w:kern w:val="0"/>
                    </w:rPr>
                  </w:pPr>
                  <w:r>
                    <w:rPr>
                      <w:color w:val="auto"/>
                      <w:kern w:val="0"/>
                    </w:rPr>
                    <w:t>办公、生活</w:t>
                  </w:r>
                </w:p>
              </w:tc>
              <w:tc>
                <w:tcPr>
                  <w:tcW w:w="1125" w:type="dxa"/>
                  <w:noWrap w:val="0"/>
                  <w:vAlign w:val="center"/>
                </w:tcPr>
                <w:p>
                  <w:pPr>
                    <w:pStyle w:val="103"/>
                    <w:spacing w:before="62" w:after="62"/>
                    <w:rPr>
                      <w:color w:val="auto"/>
                      <w:kern w:val="0"/>
                    </w:rPr>
                  </w:pPr>
                  <w:r>
                    <w:rPr>
                      <w:color w:val="auto"/>
                      <w:kern w:val="0"/>
                    </w:rPr>
                    <w:t>废塑料、废纸等</w:t>
                  </w:r>
                </w:p>
              </w:tc>
              <w:tc>
                <w:tcPr>
                  <w:tcW w:w="1259" w:type="dxa"/>
                  <w:noWrap w:val="0"/>
                  <w:vAlign w:val="center"/>
                </w:tcPr>
                <w:p>
                  <w:pPr>
                    <w:pStyle w:val="103"/>
                    <w:spacing w:before="62" w:after="62"/>
                    <w:rPr>
                      <w:rFonts w:hint="eastAsia"/>
                      <w:color w:val="auto"/>
                    </w:rPr>
                  </w:pPr>
                  <w:r>
                    <w:rPr>
                      <w:rFonts w:hint="eastAsia"/>
                      <w:color w:val="000000" w:themeColor="text1"/>
                      <w:sz w:val="18"/>
                      <w:szCs w:val="18"/>
                      <w:highlight w:val="none"/>
                      <w:lang w:val="en-US" w:eastAsia="zh-CN"/>
                      <w14:textFill>
                        <w14:solidFill>
                          <w14:schemeClr w14:val="tx1"/>
                        </w14:solidFill>
                      </w14:textFill>
                    </w:rPr>
                    <w:t>900-999-99</w:t>
                  </w:r>
                </w:p>
              </w:tc>
              <w:tc>
                <w:tcPr>
                  <w:tcW w:w="918" w:type="dxa"/>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1.8</w:t>
                  </w:r>
                </w:p>
              </w:tc>
              <w:tc>
                <w:tcPr>
                  <w:tcW w:w="1500" w:type="dxa"/>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预计年产生活垃圾1.8t，日清</w:t>
                  </w:r>
                </w:p>
              </w:tc>
              <w:tc>
                <w:tcPr>
                  <w:tcW w:w="1078" w:type="dxa"/>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环卫部门</w:t>
                  </w:r>
                </w:p>
              </w:tc>
            </w:tr>
          </w:tbl>
          <w:p>
            <w:pPr>
              <w:pStyle w:val="4"/>
              <w:spacing w:line="360" w:lineRule="auto"/>
              <w:jc w:val="center"/>
              <w:outlineLvl w:val="2"/>
              <w:rPr>
                <w:rFonts w:hint="eastAsia" w:ascii="Times New Roman" w:hAnsi="Times New Roman"/>
                <w:sz w:val="24"/>
                <w:szCs w:val="40"/>
                <w:highlight w:val="none"/>
                <w:lang w:val="en-US" w:eastAsia="zh-CN"/>
              </w:rPr>
            </w:pPr>
          </w:p>
          <w:p>
            <w:pPr>
              <w:pStyle w:val="4"/>
              <w:spacing w:line="240" w:lineRule="auto"/>
              <w:jc w:val="center"/>
              <w:outlineLvl w:val="2"/>
              <w:rPr>
                <w:rFonts w:hint="eastAsia" w:ascii="Times New Roman" w:hAnsi="Times New Roman" w:eastAsia="宋体"/>
                <w:sz w:val="24"/>
                <w:highlight w:val="green"/>
                <w:lang w:val="en-US" w:eastAsia="zh-CN"/>
              </w:rPr>
            </w:pPr>
          </w:p>
        </w:tc>
      </w:tr>
    </w:tbl>
    <w:p>
      <w:pPr>
        <w:keepNext/>
        <w:keepLines/>
        <w:widowControl/>
        <w:spacing w:line="360" w:lineRule="auto"/>
        <w:textAlignment w:val="baseline"/>
        <w:outlineLvl w:val="1"/>
        <w:rPr>
          <w:b/>
          <w:color w:val="000000"/>
          <w:sz w:val="24"/>
          <w:lang w:val="zh-CN"/>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bookmarkStart w:id="3" w:name="_Toc3318"/>
    </w:p>
    <w:p>
      <w:pPr>
        <w:keepNext/>
        <w:keepLines/>
        <w:widowControl/>
        <w:spacing w:line="360" w:lineRule="auto"/>
        <w:textAlignment w:val="baseline"/>
        <w:outlineLvl w:val="1"/>
        <w:rPr>
          <w:b/>
          <w:bCs/>
          <w:sz w:val="24"/>
        </w:rPr>
      </w:pPr>
      <w:r>
        <w:rPr>
          <w:b/>
          <w:color w:val="000000"/>
          <w:sz w:val="24"/>
          <w:lang w:val="zh-CN"/>
        </w:rPr>
        <w:t>表四、变动影响分析</w:t>
      </w:r>
      <w:bookmarkEnd w:id="3"/>
    </w:p>
    <w:tbl>
      <w:tblPr>
        <w:tblStyle w:val="27"/>
        <w:tblW w:w="525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5000" w:type="pct"/>
            <w:tcBorders>
              <w:tl2br w:val="nil"/>
              <w:tr2bl w:val="nil"/>
            </w:tcBorders>
            <w:vAlign w:val="top"/>
          </w:tcPr>
          <w:p>
            <w:pPr>
              <w:pStyle w:val="38"/>
              <w:spacing w:after="0" w:line="360" w:lineRule="auto"/>
              <w:ind w:left="0" w:right="363" w:firstLine="480" w:firstLineChars="200"/>
              <w:rPr>
                <w:rFonts w:hint="eastAsia"/>
                <w:color w:val="auto"/>
                <w:sz w:val="24"/>
                <w:szCs w:val="24"/>
                <w:highlight w:val="none"/>
              </w:rPr>
            </w:pPr>
            <w:r>
              <w:rPr>
                <w:rFonts w:hint="eastAsia"/>
                <w:color w:val="auto"/>
                <w:sz w:val="24"/>
                <w:szCs w:val="24"/>
                <w:highlight w:val="none"/>
              </w:rPr>
              <w:t>项目实际建设情况对照环评及批复要求，依据《污染影响类建设项目重大变动清单（试行）》的通知（环办环评涵[2020]688号），变动情况见下表4-1。</w:t>
            </w:r>
          </w:p>
          <w:p>
            <w:pPr>
              <w:pStyle w:val="38"/>
              <w:tabs>
                <w:tab w:val="left" w:pos="210"/>
              </w:tabs>
              <w:spacing w:after="0" w:line="240" w:lineRule="auto"/>
              <w:ind w:left="0" w:right="360"/>
              <w:jc w:val="center"/>
              <w:rPr>
                <w:rFonts w:eastAsiaTheme="minorEastAsia"/>
                <w:b/>
                <w:bCs/>
                <w:sz w:val="21"/>
                <w:szCs w:val="21"/>
                <w:highlight w:val="none"/>
              </w:rPr>
            </w:pPr>
            <w:r>
              <w:rPr>
                <w:rFonts w:eastAsiaTheme="minorEastAsia"/>
                <w:b/>
                <w:bCs/>
                <w:sz w:val="21"/>
                <w:szCs w:val="21"/>
                <w:highlight w:val="none"/>
              </w:rPr>
              <w:t>表4-1</w:t>
            </w:r>
            <w:r>
              <w:rPr>
                <w:rFonts w:hint="eastAsia" w:eastAsiaTheme="minorEastAsia"/>
                <w:b/>
                <w:bCs/>
                <w:sz w:val="21"/>
                <w:szCs w:val="21"/>
                <w:highlight w:val="none"/>
                <w:lang w:val="en-US" w:eastAsia="zh-CN"/>
              </w:rPr>
              <w:t xml:space="preserve"> </w:t>
            </w:r>
            <w:r>
              <w:rPr>
                <w:rFonts w:eastAsiaTheme="minorEastAsia"/>
                <w:b/>
                <w:bCs/>
                <w:sz w:val="21"/>
                <w:szCs w:val="21"/>
                <w:highlight w:val="none"/>
              </w:rPr>
              <w:t>建设项目变化内容情况说明对比表</w:t>
            </w:r>
          </w:p>
          <w:tbl>
            <w:tblPr>
              <w:tblStyle w:val="26"/>
              <w:tblW w:w="4654"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684"/>
              <w:gridCol w:w="5639"/>
              <w:gridCol w:w="1386"/>
              <w:gridCol w:w="122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2" w:hRule="atLeast"/>
                <w:tblHeader/>
                <w:jc w:val="center"/>
              </w:trPr>
              <w:tc>
                <w:tcPr>
                  <w:tcW w:w="6596" w:type="dxa"/>
                  <w:gridSpan w:val="2"/>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18"/>
                      <w:szCs w:val="18"/>
                      <w:highlight w:val="none"/>
                    </w:rPr>
                  </w:pPr>
                  <w:r>
                    <w:rPr>
                      <w:rFonts w:hint="default" w:ascii="Times New Roman" w:hAnsi="Times New Roman" w:eastAsia="宋体" w:cs="Times New Roman"/>
                      <w:b w:val="0"/>
                      <w:bCs w:val="0"/>
                      <w:sz w:val="18"/>
                      <w:szCs w:val="18"/>
                      <w:highlight w:val="none"/>
                    </w:rPr>
                    <w:t>环办环评涵[2020]688号的内容</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rPr>
                    <w:t>变动情况分析</w:t>
                  </w:r>
                </w:p>
              </w:tc>
              <w:tc>
                <w:tcPr>
                  <w:tcW w:w="1273"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是否属于重大变化</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性质</w:t>
                  </w:r>
                </w:p>
              </w:tc>
              <w:tc>
                <w:tcPr>
                  <w:tcW w:w="5897"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建设项目开发、使用功能发生变化的。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vMerge w:val="restart"/>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规模</w:t>
                  </w:r>
                </w:p>
              </w:tc>
              <w:tc>
                <w:tcPr>
                  <w:tcW w:w="5897"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生产、处置或储存能力增大30%及以上的。</w:t>
                  </w:r>
                </w:p>
              </w:tc>
              <w:tc>
                <w:tcPr>
                  <w:tcW w:w="142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生产、处置或储存能力增大，导致废水第一类污染物排放量增加的。</w:t>
                  </w:r>
                </w:p>
              </w:tc>
              <w:tc>
                <w:tcPr>
                  <w:tcW w:w="142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42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69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地点</w:t>
                  </w: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重新选址；在原厂址附近调整（包括总平面布置变化）导致环境防护距离范围变化且新增敏感点的。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699" w:type="dxa"/>
                  <w:vMerge w:val="restart"/>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生产工艺</w:t>
                  </w: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新增产品品种或生产工艺（含主要生产装置、设备及配套设施）、主要原辅材料、燃料变化，导致以下情形之一：</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（1）新增排放污染物种类的（毒性、挥发性降低的除外）；</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（2）位于环境质量不达标区的建设项目相应污染物排放量增加的；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（3）废水第一类污染物排放量增加的；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（4）其他污染物排放量增加10%及以上的。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物料运输、装卸、贮存方式变化，导致大气污染物无组织排放量增加10%及以上的。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28" w:hRule="atLeast"/>
                <w:jc w:val="center"/>
              </w:trPr>
              <w:tc>
                <w:tcPr>
                  <w:tcW w:w="699" w:type="dxa"/>
                  <w:vMerge w:val="restart"/>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环境保护措施</w:t>
                  </w: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废气、废水污染防治措施变化，导致第6条中所列情形之一（废气无组织排放改为有组织排放、污染防治措施强化或改进的除外）或大气污染物无组织排放量增加10%及以上的。新增废水直接排放口；废水由间接排放改为直接排放；废水直接排放口位置变化，导致不利环境影响加重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新增废气主要排放口（废气无组织排放改为有组织排放的除外）；主要排放口排气筒高度降低10%及以上的。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本项目搅拌工段和水泥筒仓产生的颗粒物收集处理后通过一根排气筒达标排放。</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噪声、土壤或地下水污染防治措施变化，导致不利环境影响加重的。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固体废物利用处置方式由委托外单位利用处置改为自行利用处置的（自行利用处置设施单独开展环境影响评价的除外）；固体废物自行处置方式变化，导致不利环境影响加重的。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91"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事故废水暂存能力或拦截设施变化，导致环境风险防范能力弱化或降低的。</w:t>
                  </w:r>
                </w:p>
              </w:tc>
              <w:tc>
                <w:tcPr>
                  <w:tcW w:w="142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p>
              </w:tc>
              <w:tc>
                <w:tcPr>
                  <w:tcW w:w="12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bl>
          <w:p>
            <w:pPr>
              <w:pStyle w:val="38"/>
              <w:spacing w:after="0" w:line="360" w:lineRule="auto"/>
              <w:ind w:left="0" w:right="360" w:firstLine="480" w:firstLineChars="200"/>
              <w:rPr>
                <w:rFonts w:hint="eastAsia"/>
                <w:sz w:val="24"/>
                <w:szCs w:val="24"/>
                <w:highlight w:val="none"/>
              </w:rPr>
            </w:pPr>
            <w:r>
              <w:rPr>
                <w:rFonts w:hint="eastAsia"/>
                <w:sz w:val="24"/>
                <w:szCs w:val="24"/>
                <w:highlight w:val="none"/>
              </w:rPr>
              <w:t>总结论：</w:t>
            </w:r>
          </w:p>
          <w:p>
            <w:pPr>
              <w:pStyle w:val="38"/>
              <w:spacing w:after="0" w:line="360" w:lineRule="auto"/>
              <w:ind w:left="0" w:right="360" w:firstLine="480" w:firstLineChars="200"/>
              <w:rPr>
                <w:rFonts w:hint="default"/>
                <w:sz w:val="24"/>
                <w:szCs w:val="24"/>
                <w:highlight w:val="none"/>
                <w:lang w:val="en-US"/>
              </w:rPr>
            </w:pPr>
            <w:r>
              <w:rPr>
                <w:rFonts w:hint="eastAsia"/>
                <w:sz w:val="24"/>
                <w:szCs w:val="24"/>
                <w:highlight w:val="none"/>
                <w:lang w:val="en-US" w:eastAsia="zh-CN"/>
              </w:rPr>
              <w:t>实际项目建设中，本项目搅拌工段和水泥筒仓产生的颗粒物收集处理后通过一根排气筒达标排放。该变化属于污染防治措施改进，不属于重大变动。</w:t>
            </w:r>
          </w:p>
          <w:p>
            <w:pPr>
              <w:pStyle w:val="38"/>
              <w:spacing w:after="0" w:line="360" w:lineRule="auto"/>
              <w:ind w:left="0" w:right="360" w:firstLine="480" w:firstLineChars="200"/>
              <w:rPr>
                <w:rFonts w:hint="default" w:eastAsia="宋体"/>
                <w:sz w:val="24"/>
                <w:szCs w:val="24"/>
                <w:lang w:val="en-US" w:eastAsia="zh-CN"/>
              </w:rPr>
            </w:pPr>
            <w:r>
              <w:rPr>
                <w:rFonts w:hint="eastAsia"/>
                <w:sz w:val="24"/>
                <w:szCs w:val="24"/>
                <w:highlight w:val="none"/>
              </w:rPr>
              <w:t>建设项目在实际建设过程中与环评设计</w:t>
            </w:r>
            <w:r>
              <w:rPr>
                <w:rFonts w:hint="eastAsia"/>
                <w:sz w:val="24"/>
                <w:szCs w:val="24"/>
                <w:highlight w:val="none"/>
                <w:lang w:val="en-US" w:eastAsia="zh-CN"/>
              </w:rPr>
              <w:t>基本</w:t>
            </w:r>
            <w:r>
              <w:rPr>
                <w:rFonts w:hint="eastAsia"/>
                <w:sz w:val="24"/>
                <w:szCs w:val="24"/>
                <w:highlight w:val="none"/>
              </w:rPr>
              <w:t>一致，结合“中华人民共和国生态环境部办公厅文件关于印发《污染影响类建设项目重大变动清单（试行）》的通知（环办环评涵[2020]688号），综合分析，本项目的性质、规模、地点、生产工艺和环境保护措施均未发生重大变动，可纳入竣工环境保护验收管理。</w:t>
            </w:r>
          </w:p>
        </w:tc>
      </w:tr>
    </w:tbl>
    <w:p>
      <w:pPr>
        <w:pStyle w:val="38"/>
        <w:spacing w:after="0" w:line="360" w:lineRule="auto"/>
        <w:ind w:left="0"/>
        <w:rPr>
          <w:b/>
          <w:bCs/>
          <w:color w:val="auto"/>
          <w:sz w:val="24"/>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lang w:val="zh-CN"/>
        </w:rPr>
      </w:pPr>
      <w:r>
        <w:rPr>
          <w:rFonts w:hint="eastAsia"/>
          <w:b/>
          <w:color w:val="000000"/>
          <w:sz w:val="24"/>
          <w:lang w:val="zh-CN"/>
        </w:rPr>
        <w:t>表五</w:t>
      </w:r>
      <w:r>
        <w:rPr>
          <w:rFonts w:hint="eastAsia"/>
          <w:b/>
          <w:color w:val="000000"/>
          <w:sz w:val="24"/>
          <w:lang w:val="zh-CN" w:eastAsia="zh-CN"/>
        </w:rPr>
        <w:t>、</w:t>
      </w:r>
      <w:r>
        <w:rPr>
          <w:rFonts w:hint="eastAsia"/>
          <w:b/>
          <w:color w:val="000000"/>
          <w:sz w:val="24"/>
          <w:lang w:val="zh-CN"/>
        </w:rPr>
        <w:t>建设项目环境影响报告表主要结论及审批部门审批决定</w:t>
      </w:r>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4" w:type="dxa"/>
            <w:tcBorders>
              <w:tl2br w:val="nil"/>
              <w:tr2bl w:val="nil"/>
            </w:tcBorders>
            <w:vAlign w:val="top"/>
          </w:tcPr>
          <w:p>
            <w:pPr>
              <w:pStyle w:val="38"/>
              <w:spacing w:after="0" w:line="360" w:lineRule="auto"/>
              <w:ind w:left="0"/>
              <w:rPr>
                <w:b/>
                <w:bCs/>
                <w:sz w:val="24"/>
                <w:szCs w:val="24"/>
              </w:rPr>
            </w:pPr>
            <w:r>
              <w:rPr>
                <w:b/>
                <w:bCs/>
                <w:sz w:val="24"/>
                <w:szCs w:val="24"/>
              </w:rPr>
              <w:t>1、建设项目环境影响报告表主要结论：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吴江华茂新型建材有限公司</w:t>
            </w:r>
            <w:r>
              <w:rPr>
                <w:rFonts w:hint="eastAsia" w:hAnsi="宋体" w:eastAsia="宋体"/>
                <w:sz w:val="24"/>
                <w:szCs w:val="24"/>
                <w:lang w:eastAsia="zh-CN"/>
              </w:rPr>
              <w:t>年产非承重普通混凝土空心砖6万平方米、混凝土实心砖3万平方米生产技术改造项目</w:t>
            </w:r>
            <w:r>
              <w:rPr>
                <w:rFonts w:hint="eastAsia"/>
                <w:sz w:val="24"/>
                <w:szCs w:val="24"/>
                <w:lang w:eastAsia="zh-CN"/>
              </w:rPr>
              <w:t>位于苏州市吴江区桃源镇青云大道588号。项目总投资</w:t>
            </w:r>
            <w:r>
              <w:rPr>
                <w:rFonts w:hint="eastAsia"/>
                <w:sz w:val="24"/>
                <w:szCs w:val="24"/>
                <w:lang w:val="en-US" w:eastAsia="zh-CN"/>
              </w:rPr>
              <w:t>300</w:t>
            </w:r>
            <w:r>
              <w:rPr>
                <w:rFonts w:hint="eastAsia"/>
                <w:sz w:val="24"/>
                <w:szCs w:val="24"/>
                <w:lang w:eastAsia="zh-CN"/>
              </w:rPr>
              <w:t>万元，新增员工</w:t>
            </w:r>
            <w:r>
              <w:rPr>
                <w:rFonts w:hint="eastAsia"/>
                <w:sz w:val="24"/>
                <w:szCs w:val="24"/>
                <w:lang w:val="en-US" w:eastAsia="zh-CN"/>
              </w:rPr>
              <w:t>6</w:t>
            </w:r>
            <w:r>
              <w:rPr>
                <w:rFonts w:hint="eastAsia"/>
                <w:sz w:val="24"/>
                <w:szCs w:val="24"/>
                <w:lang w:eastAsia="zh-CN"/>
              </w:rPr>
              <w:t>人，宿舍食堂依托现有项目，年工作300天，每天</w:t>
            </w:r>
            <w:r>
              <w:rPr>
                <w:rFonts w:hint="eastAsia"/>
                <w:sz w:val="24"/>
                <w:szCs w:val="24"/>
                <w:lang w:val="en-US" w:eastAsia="zh-CN"/>
              </w:rPr>
              <w:t>8</w:t>
            </w:r>
            <w:r>
              <w:rPr>
                <w:rFonts w:hint="eastAsia"/>
                <w:sz w:val="24"/>
                <w:szCs w:val="24"/>
                <w:lang w:eastAsia="zh-CN"/>
              </w:rPr>
              <w:t>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）产业政策相符性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本项目为生产</w:t>
            </w:r>
            <w:r>
              <w:rPr>
                <w:rFonts w:hint="eastAsia"/>
                <w:sz w:val="24"/>
                <w:szCs w:val="24"/>
                <w:lang w:val="en-US" w:eastAsia="zh-CN"/>
              </w:rPr>
              <w:t>水泥</w:t>
            </w:r>
            <w:r>
              <w:rPr>
                <w:rFonts w:hint="eastAsia"/>
                <w:sz w:val="24"/>
                <w:szCs w:val="24"/>
                <w:lang w:eastAsia="zh-CN"/>
              </w:rPr>
              <w:t>制品项目，经查阅《产业结构调整指导目录（2019年本）》、《江苏省工业和信息产业结构调整》（2012年本）（2013年修订）和《苏州市产业发展导向目录（2007 年本）》（苏府[2007]129号）。本项目不属于淘汰、禁止和限制之列。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综上所述，本项目符合国家和地方的产业政策中相关规定。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）规划相容性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位于苏州市吴江区桃源镇青云大道588号，利用现有厂房进行生产，根据建设项目选址规划意见表，项目所在地块属于区镇土地利用总体规划的存量建设用地，符合平望镇总体规划，选址合理；项目位于太湖流域三级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①对照《太湖流域管理条例》和《江苏省太湖水污染防治条例》，本项目不属于其中规定的禁止行为，符合条例中的相关规定。对照《江苏省生态红线区域保护规划》，本项目不在其划定的生态红线管控区范围内，符合规划的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②对照《苏州市吴江区建设项目环境影响评价特别管理措施（试行）》（吴政办[2019]32），本项目符合表一区域发展限制性规定亦不属于表二确定的禁止类和表三确定的限制类，不属于表四中平望镇限制类、禁止类项目。因此，本项目符合《苏州市吴江区建设项目环境影响评价特别管理措施（试行）》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）达标排放及可行性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①</w:t>
            </w:r>
            <w:r>
              <w:rPr>
                <w:rFonts w:hint="eastAsia"/>
                <w:sz w:val="24"/>
                <w:szCs w:val="24"/>
                <w:lang w:eastAsia="zh-CN"/>
              </w:rPr>
              <w:t>废水：本项目生活污水经市政污水管网排至苏州市吴江桃源生活污水处理有限公司处理，尾水达标排放</w:t>
            </w:r>
            <w:r>
              <w:rPr>
                <w:rFonts w:hint="eastAsia"/>
                <w:sz w:val="24"/>
                <w:szCs w:val="24"/>
                <w:lang w:val="en-US" w:eastAsia="zh-CN"/>
              </w:rPr>
              <w:t>张钓桥河</w:t>
            </w:r>
            <w:r>
              <w:rPr>
                <w:rFonts w:hint="eastAsia"/>
                <w:sz w:val="24"/>
                <w:szCs w:val="24"/>
                <w:lang w:eastAsia="zh-CN"/>
              </w:rPr>
              <w:t>。在此基础上，项目废水对周围水体及纳污河流影响较小，本项目地表水环境影响可以接受。</w:t>
            </w:r>
          </w:p>
          <w:p>
            <w:pPr>
              <w:spacing w:line="360" w:lineRule="auto"/>
              <w:ind w:firstLine="480" w:firstLineChars="200"/>
              <w:rPr>
                <w:rFonts w:hint="eastAsia"/>
                <w:sz w:val="24"/>
              </w:rPr>
            </w:pPr>
            <w:r>
              <w:rPr>
                <w:rFonts w:hint="eastAsia"/>
                <w:color w:val="auto"/>
                <w:sz w:val="24"/>
                <w:szCs w:val="24"/>
                <w:lang w:val="en-US" w:eastAsia="zh-CN"/>
              </w:rPr>
              <w:t>②</w:t>
            </w:r>
            <w:r>
              <w:rPr>
                <w:rFonts w:hint="eastAsia"/>
                <w:color w:val="auto"/>
                <w:sz w:val="24"/>
                <w:szCs w:val="24"/>
                <w:lang w:eastAsia="zh-CN"/>
              </w:rPr>
              <w:t>废气：</w:t>
            </w:r>
            <w:r>
              <w:rPr>
                <w:rFonts w:hint="eastAsia"/>
                <w:color w:val="auto"/>
                <w:sz w:val="24"/>
              </w:rPr>
              <w:t>本项</w:t>
            </w:r>
            <w:r>
              <w:rPr>
                <w:rFonts w:hint="eastAsia"/>
                <w:sz w:val="24"/>
              </w:rPr>
              <w:t>目</w:t>
            </w:r>
            <w:r>
              <w:rPr>
                <w:rFonts w:hint="eastAsia"/>
                <w:sz w:val="24"/>
                <w:lang w:val="en-US" w:eastAsia="zh-CN"/>
              </w:rPr>
              <w:t>的尾气主要为水泥筒仓、搅拌</w:t>
            </w:r>
            <w:r>
              <w:rPr>
                <w:rFonts w:hint="eastAsia"/>
                <w:sz w:val="24"/>
              </w:rPr>
              <w:t>过程</w:t>
            </w:r>
            <w:r>
              <w:rPr>
                <w:rFonts w:hint="eastAsia"/>
                <w:sz w:val="24"/>
                <w:lang w:val="en-US" w:eastAsia="zh-CN"/>
              </w:rPr>
              <w:t>中产生的粉尘（以颗粒物计）</w:t>
            </w:r>
            <w:r>
              <w:rPr>
                <w:rFonts w:hint="eastAsia"/>
                <w:sz w:val="24"/>
                <w:lang w:eastAsia="zh-CN"/>
              </w:rPr>
              <w:t>。</w:t>
            </w:r>
            <w:r>
              <w:rPr>
                <w:rFonts w:hint="eastAsia"/>
                <w:sz w:val="24"/>
              </w:rPr>
              <w:t>水泥筒仓</w:t>
            </w:r>
            <w:r>
              <w:rPr>
                <w:rFonts w:hint="eastAsia"/>
                <w:sz w:val="24"/>
                <w:lang w:eastAsia="zh-CN"/>
              </w:rPr>
              <w:t>、</w:t>
            </w:r>
            <w:r>
              <w:rPr>
                <w:rFonts w:hint="eastAsia"/>
                <w:sz w:val="24"/>
              </w:rPr>
              <w:t>搅拌工段产生</w:t>
            </w:r>
            <w:r>
              <w:rPr>
                <w:rFonts w:hint="eastAsia"/>
                <w:sz w:val="24"/>
                <w:lang w:val="en-US" w:eastAsia="zh-CN"/>
              </w:rPr>
              <w:t>的</w:t>
            </w:r>
            <w:r>
              <w:rPr>
                <w:rFonts w:hint="eastAsia"/>
                <w:sz w:val="24"/>
              </w:rPr>
              <w:t>粉尘经筒仓顶部的布袋除尘装置处理后，废气经处理后通过15m高1#排气筒达标排放。未捕集的粉尘无组织排放，通过</w:t>
            </w:r>
            <w:r>
              <w:rPr>
                <w:rFonts w:hint="eastAsia"/>
                <w:bCs/>
                <w:snapToGrid w:val="0"/>
                <w:kern w:val="0"/>
                <w:sz w:val="24"/>
                <w:szCs w:val="21"/>
              </w:rPr>
              <w:t>定期洒水抑尘</w:t>
            </w:r>
            <w:r>
              <w:rPr>
                <w:rFonts w:hint="eastAsia"/>
                <w:bCs/>
                <w:snapToGrid w:val="0"/>
                <w:kern w:val="0"/>
                <w:sz w:val="24"/>
                <w:szCs w:val="21"/>
                <w:lang w:eastAsia="zh-CN"/>
              </w:rPr>
              <w:t>，</w:t>
            </w:r>
            <w:r>
              <w:rPr>
                <w:rFonts w:hint="eastAsia"/>
                <w:sz w:val="24"/>
              </w:rPr>
              <w:t>对周围空气影响很小。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③</w:t>
            </w:r>
            <w:r>
              <w:rPr>
                <w:rFonts w:hint="eastAsia"/>
                <w:sz w:val="24"/>
                <w:szCs w:val="24"/>
                <w:lang w:eastAsia="zh-CN"/>
              </w:rPr>
              <w:t>噪声：本项目噪声源强约 80dB(A)左右，通过低噪声环保设备、减振隔声、合理布局后厂界达到《工业企业厂界环境噪声排放标准》(GB12348-2008)2类标准。</w:t>
            </w:r>
          </w:p>
          <w:p>
            <w:pPr>
              <w:spacing w:line="360" w:lineRule="auto"/>
              <w:ind w:firstLine="480" w:firstLineChars="200"/>
              <w:rPr>
                <w:rFonts w:hint="eastAsia"/>
                <w:color w:val="auto"/>
                <w:sz w:val="24"/>
                <w:szCs w:val="24"/>
                <w:lang w:eastAsia="zh-CN"/>
              </w:rPr>
            </w:pPr>
            <w:r>
              <w:rPr>
                <w:rFonts w:hint="eastAsia"/>
                <w:sz w:val="24"/>
                <w:szCs w:val="24"/>
                <w:lang w:val="en-US" w:eastAsia="zh-CN"/>
              </w:rPr>
              <w:t>④</w:t>
            </w:r>
            <w:r>
              <w:rPr>
                <w:rFonts w:hint="eastAsia"/>
                <w:sz w:val="24"/>
                <w:szCs w:val="24"/>
                <w:lang w:eastAsia="zh-CN"/>
              </w:rPr>
              <w:t>固废：</w:t>
            </w:r>
            <w:r>
              <w:rPr>
                <w:rFonts w:hint="eastAsia"/>
                <w:sz w:val="24"/>
                <w:lang w:val="en-US" w:eastAsia="zh-CN"/>
              </w:rPr>
              <w:t>一般固废为</w:t>
            </w:r>
            <w:r>
              <w:rPr>
                <w:rFonts w:hint="eastAsia"/>
                <w:sz w:val="24"/>
              </w:rPr>
              <w:t>布袋除尘器收尘</w:t>
            </w:r>
            <w:bookmarkStart w:id="9" w:name="_GoBack"/>
            <w:bookmarkEnd w:id="9"/>
            <w:r>
              <w:rPr>
                <w:rFonts w:hint="eastAsia"/>
                <w:sz w:val="24"/>
                <w:lang w:val="en-US" w:eastAsia="zh-CN"/>
              </w:rPr>
              <w:t>，</w:t>
            </w:r>
            <w:r>
              <w:rPr>
                <w:rFonts w:hint="eastAsia"/>
                <w:sz w:val="24"/>
              </w:rPr>
              <w:t>布袋除尘器收尘重新回用到搅拌工段。</w:t>
            </w:r>
            <w:r>
              <w:rPr>
                <w:rFonts w:hint="eastAsia"/>
                <w:sz w:val="24"/>
                <w:lang w:val="en-US" w:eastAsia="zh-CN"/>
              </w:rPr>
              <w:t>生活垃圾委托环卫部门清运处置</w:t>
            </w:r>
            <w:r>
              <w:rPr>
                <w:rFonts w:hint="eastAsia"/>
                <w:color w:val="auto"/>
                <w:sz w:val="24"/>
                <w:lang w:val="en-US" w:eastAsia="zh-CN"/>
              </w:rPr>
              <w:t>。</w:t>
            </w:r>
            <w:r>
              <w:rPr>
                <w:rFonts w:hint="eastAsia"/>
                <w:color w:val="auto"/>
                <w:sz w:val="24"/>
                <w:szCs w:val="24"/>
                <w:lang w:eastAsia="zh-CN"/>
              </w:rPr>
              <w:t>固废实现“零”排放。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）区域环境质量不下降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根据20</w:t>
            </w:r>
            <w:r>
              <w:rPr>
                <w:rFonts w:hint="eastAsia"/>
                <w:sz w:val="24"/>
                <w:szCs w:val="24"/>
                <w:lang w:val="en-US" w:eastAsia="zh-CN"/>
              </w:rPr>
              <w:t>20</w:t>
            </w:r>
            <w:r>
              <w:rPr>
                <w:rFonts w:hint="eastAsia"/>
                <w:sz w:val="24"/>
                <w:szCs w:val="24"/>
                <w:lang w:eastAsia="zh-CN"/>
              </w:rPr>
              <w:t>年度苏州市环境状况公报项目所在地为环境空气质量不达标区，随着吴江区大气污染防治重点工作任务和吴江区改善空气质量强制污染减排强化工作方案的实施，大气环境质量将有所改善；全市地表水环境质量总体处于轻度污染状态。随着吴江区工业污水、生活污水、农业面源污水“三水同治”工作的实施，大力推进城镇雨污分流管网建设和污水处理设施建设，全面推进城镇污水处理设施建设，区域水环境质量将有所改善；声环境质量现状达到《声环境质量标准》（GB3096-2008）2 类区域要求。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color w:val="auto"/>
                <w:sz w:val="24"/>
              </w:rPr>
              <w:t>本项</w:t>
            </w:r>
            <w:r>
              <w:rPr>
                <w:rFonts w:hint="eastAsia"/>
                <w:sz w:val="24"/>
              </w:rPr>
              <w:t>目</w:t>
            </w:r>
            <w:r>
              <w:rPr>
                <w:rFonts w:hint="eastAsia"/>
                <w:sz w:val="24"/>
                <w:lang w:val="en-US" w:eastAsia="zh-CN"/>
              </w:rPr>
              <w:t>的尾气主要为水泥筒仓、搅拌</w:t>
            </w:r>
            <w:r>
              <w:rPr>
                <w:rFonts w:hint="eastAsia"/>
                <w:sz w:val="24"/>
              </w:rPr>
              <w:t>过程</w:t>
            </w:r>
            <w:r>
              <w:rPr>
                <w:rFonts w:hint="eastAsia"/>
                <w:sz w:val="24"/>
                <w:lang w:val="en-US" w:eastAsia="zh-CN"/>
              </w:rPr>
              <w:t>中产生的粉尘（以颗粒物计）</w:t>
            </w:r>
            <w:r>
              <w:rPr>
                <w:rFonts w:hint="eastAsia"/>
                <w:sz w:val="24"/>
                <w:lang w:eastAsia="zh-CN"/>
              </w:rPr>
              <w:t>。</w:t>
            </w:r>
            <w:r>
              <w:rPr>
                <w:rFonts w:hint="eastAsia"/>
                <w:sz w:val="24"/>
              </w:rPr>
              <w:t>水泥筒仓</w:t>
            </w:r>
            <w:r>
              <w:rPr>
                <w:rFonts w:hint="eastAsia"/>
                <w:sz w:val="24"/>
                <w:lang w:eastAsia="zh-CN"/>
              </w:rPr>
              <w:t>、</w:t>
            </w:r>
            <w:r>
              <w:rPr>
                <w:rFonts w:hint="eastAsia"/>
                <w:sz w:val="24"/>
              </w:rPr>
              <w:t>搅拌工段产生</w:t>
            </w:r>
            <w:r>
              <w:rPr>
                <w:rFonts w:hint="eastAsia"/>
                <w:sz w:val="24"/>
                <w:lang w:val="en-US" w:eastAsia="zh-CN"/>
              </w:rPr>
              <w:t>的</w:t>
            </w:r>
            <w:r>
              <w:rPr>
                <w:rFonts w:hint="eastAsia"/>
                <w:sz w:val="24"/>
              </w:rPr>
              <w:t>粉尘经筒仓顶部的布袋除尘装置处理后，废气经处理后通过15m高1#排气筒达标排放。</w:t>
            </w:r>
            <w:r>
              <w:rPr>
                <w:rFonts w:hint="eastAsia"/>
                <w:sz w:val="24"/>
                <w:szCs w:val="24"/>
                <w:lang w:eastAsia="zh-CN"/>
              </w:rPr>
              <w:t>对周围大气环境影响较小，不会影响大气环境功能现状。生活污水通过市政污水管网排至苏州市吴江桃源生活污水处理有限公司处理，对污水厂不会造成水力水质冲击，尾水达标排放后不会改变纳污水体现有水质类别；项目产生的生活垃圾由环卫部门统一收集处理，一般固废综合利用，不会造成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总体分析，本项目投入生产运营后，周围大气、水、声等环境质量不会下降，不会改变现有功能类别。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）清洁生产和循环经济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本项目采用较为先进的生产工艺，原料利用率较高，无固废排放；生产中使用清洁能源电能；因此，本项目贯彻了清洁生产原则。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）环境风险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通过采取本环评提出的风险防范措施，本项目所发生的环境风险可以控制在较低的水平，风险发生概率及危害将远远低于国内同类企业水平，本项目的事故风险处于可接收水平。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8</w:t>
            </w:r>
            <w:r>
              <w:rPr>
                <w:rFonts w:hint="eastAsia"/>
                <w:sz w:val="24"/>
                <w:szCs w:val="24"/>
                <w:lang w:eastAsia="zh-CN"/>
              </w:rPr>
              <w:t>）总量控制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本项目新增生活污水排入苏州市吴江桃源生活污水处理有限公司，其主要污染物排放总量指标不再需要审核区域平衡方案。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大气污染物在吴江区内平衡，申请</w:t>
            </w:r>
            <w:r>
              <w:rPr>
                <w:rFonts w:hint="eastAsia"/>
                <w:color w:val="000000" w:themeColor="text1"/>
                <w:sz w:val="24"/>
                <w:szCs w:val="24"/>
                <w:lang w:eastAsia="zh-CN"/>
                <w14:textFill>
                  <w14:solidFill>
                    <w14:schemeClr w14:val="tx1"/>
                  </w14:solidFill>
                </w14:textFill>
              </w:rPr>
              <w:t>量见表</w:t>
            </w:r>
            <w:r>
              <w:rPr>
                <w:rFonts w:hint="eastAsia"/>
                <w:color w:val="000000" w:themeColor="text1"/>
                <w:sz w:val="24"/>
                <w:szCs w:val="24"/>
                <w:lang w:val="en-US" w:eastAsia="zh-CN"/>
                <w14:textFill>
                  <w14:solidFill>
                    <w14:schemeClr w14:val="tx1"/>
                  </w14:solidFill>
                </w14:textFill>
              </w:rPr>
              <w:t>1-6</w:t>
            </w:r>
            <w:r>
              <w:rPr>
                <w:rFonts w:hint="eastAsia"/>
                <w:color w:val="000000" w:themeColor="text1"/>
                <w:sz w:val="24"/>
                <w:szCs w:val="24"/>
                <w:lang w:eastAsia="zh-CN"/>
                <w14:textFill>
                  <w14:solidFill>
                    <w14:schemeClr w14:val="tx1"/>
                  </w14:solidFill>
                </w14:textFill>
              </w:rPr>
              <w:t>；固废“零”排放。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综上所述，通过对项目所在地区的环境现状评价以及项目的环境影响分析，认为本项目完成本评价所提出的全部治理措施后，在运营期对周围环境的影响可控制在允许范围内，具有环境可行性。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本项目环境影响评价工作在建设单位提供有关 工程方 案等资料基础上开展的，并经与建设单位核实，建设单位在实际建设和运行中必须严格按照申报内容和环评中要求实施，若有异于申报和环评内容的活动须按照要求另行申报。</w:t>
            </w:r>
          </w:p>
          <w:p>
            <w:pPr>
              <w:pStyle w:val="38"/>
              <w:spacing w:after="0" w:line="360" w:lineRule="auto"/>
              <w:ind w:left="0"/>
              <w:rPr>
                <w:b/>
                <w:bCs/>
                <w:sz w:val="24"/>
                <w:szCs w:val="24"/>
              </w:rPr>
            </w:pPr>
            <w:r>
              <w:rPr>
                <w:b/>
                <w:bCs/>
                <w:sz w:val="24"/>
                <w:szCs w:val="24"/>
              </w:rPr>
              <w:t>2、审批部门审批决定：</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项目于20</w:t>
            </w:r>
            <w:r>
              <w:rPr>
                <w:rFonts w:hint="eastAsia"/>
                <w:color w:val="000000" w:themeColor="text1"/>
                <w:sz w:val="24"/>
                <w:lang w:val="en-US" w:eastAsia="zh-CN"/>
                <w14:textFill>
                  <w14:solidFill>
                    <w14:schemeClr w14:val="tx1"/>
                  </w14:solidFill>
                </w14:textFill>
              </w:rPr>
              <w:t>18</w:t>
            </w:r>
            <w:r>
              <w:rPr>
                <w:color w:val="000000" w:themeColor="text1"/>
                <w:sz w:val="24"/>
                <w14:textFill>
                  <w14:solidFill>
                    <w14:schemeClr w14:val="tx1"/>
                  </w14:solidFill>
                </w14:textFill>
              </w:rPr>
              <w:t>年0</w:t>
            </w: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日取得</w:t>
            </w:r>
            <w:r>
              <w:rPr>
                <w:rFonts w:hint="eastAsia"/>
                <w:color w:val="000000" w:themeColor="text1"/>
                <w:sz w:val="24"/>
                <w:lang w:eastAsia="zh-CN"/>
                <w14:textFill>
                  <w14:solidFill>
                    <w14:schemeClr w14:val="tx1"/>
                  </w14:solidFill>
                </w14:textFill>
              </w:rPr>
              <w:t>苏州市</w:t>
            </w:r>
            <w:r>
              <w:rPr>
                <w:rFonts w:hint="eastAsia"/>
                <w:color w:val="000000" w:themeColor="text1"/>
                <w:sz w:val="24"/>
                <w:lang w:val="en-US" w:eastAsia="zh-CN"/>
                <w14:textFill>
                  <w14:solidFill>
                    <w14:schemeClr w14:val="tx1"/>
                  </w14:solidFill>
                </w14:textFill>
              </w:rPr>
              <w:t>吴江区环境保护局批复</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吴环建2018【246】</w:t>
            </w:r>
            <w:r>
              <w:rPr>
                <w:rFonts w:hint="eastAsia" w:ascii="宋体" w:hAnsi="宋体" w:eastAsia="宋体" w:cs="宋体"/>
                <w:color w:val="000000" w:themeColor="text1"/>
                <w:sz w:val="24"/>
                <w:szCs w:val="24"/>
                <w:lang w:val="en-US" w:eastAsia="zh-CN"/>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环评批复及落实情况见下表5-1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表5-</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w:t>
            </w:r>
          </w:p>
          <w:p>
            <w:pPr>
              <w:jc w:val="center"/>
              <w:rPr>
                <w:b/>
                <w:szCs w:val="21"/>
              </w:rPr>
            </w:pPr>
            <w:r>
              <w:rPr>
                <w:b/>
                <w:szCs w:val="21"/>
              </w:rPr>
              <w:t>表5-1环评批复落实情况表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142"/>
              <w:gridCol w:w="4110"/>
              <w:gridCol w:w="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序号</w:t>
                  </w:r>
                </w:p>
              </w:tc>
              <w:tc>
                <w:tcPr>
                  <w:tcW w:w="4142" w:type="dxa"/>
                  <w:tcBorders>
                    <w:tl2br w:val="nil"/>
                    <w:tr2bl w:val="nil"/>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环评批复要求</w:t>
                  </w:r>
                </w:p>
              </w:tc>
              <w:tc>
                <w:tcPr>
                  <w:tcW w:w="4110" w:type="dxa"/>
                  <w:tcBorders>
                    <w:tl2br w:val="nil"/>
                    <w:tr2bl w:val="nil"/>
                  </w:tcBorders>
                  <w:vAlign w:val="center"/>
                </w:tcPr>
                <w:p>
                  <w:pPr>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实际建设情况</w:t>
                  </w:r>
                </w:p>
              </w:tc>
              <w:tc>
                <w:tcPr>
                  <w:tcW w:w="994" w:type="dxa"/>
                  <w:tcBorders>
                    <w:tl2br w:val="nil"/>
                    <w:tr2bl w:val="nil"/>
                  </w:tcBorders>
                  <w:vAlign w:val="center"/>
                </w:tcPr>
                <w:p>
                  <w:pPr>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eastAsia" w:cs="Times New Roman"/>
                      <w:sz w:val="18"/>
                      <w:szCs w:val="18"/>
                      <w:lang w:val="en-US" w:eastAsia="zh-CN"/>
                    </w:rPr>
                  </w:pPr>
                </w:p>
              </w:tc>
              <w:tc>
                <w:tcPr>
                  <w:tcW w:w="4142" w:type="dxa"/>
                  <w:tcBorders>
                    <w:tl2br w:val="nil"/>
                    <w:tr2bl w:val="nil"/>
                  </w:tcBorders>
                  <w:vAlign w:val="center"/>
                </w:tcPr>
                <w:p>
                  <w:pPr>
                    <w:jc w:val="left"/>
                    <w:rPr>
                      <w:rFonts w:hint="eastAsia" w:cs="Times New Roman"/>
                      <w:sz w:val="18"/>
                      <w:szCs w:val="18"/>
                      <w:lang w:val="en-US" w:eastAsia="zh-CN"/>
                    </w:rPr>
                  </w:pPr>
                  <w:r>
                    <w:rPr>
                      <w:rFonts w:hint="eastAsia" w:cs="Times New Roman"/>
                      <w:sz w:val="18"/>
                      <w:szCs w:val="18"/>
                      <w:lang w:val="en-US" w:eastAsia="zh-CN"/>
                    </w:rPr>
                    <w:t>吴江华茂新型建材有限公司：你公司报送的《年产非承重普通混凝土空心砖6万平方米、混凝土实心砖3万平方米生产技术改造项目环境影响报告表》已悉。经研究，批复如下：</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一</w:t>
                  </w:r>
                </w:p>
              </w:tc>
              <w:tc>
                <w:tcPr>
                  <w:tcW w:w="4142" w:type="dxa"/>
                  <w:tcBorders>
                    <w:tl2br w:val="nil"/>
                    <w:tr2bl w:val="nil"/>
                  </w:tcBorders>
                  <w:vAlign w:val="center"/>
                </w:tcPr>
                <w:p>
                  <w:pPr>
                    <w:jc w:val="left"/>
                    <w:rPr>
                      <w:rFonts w:hint="default" w:cs="Times New Roman"/>
                      <w:sz w:val="18"/>
                      <w:szCs w:val="18"/>
                      <w:lang w:val="en-US" w:eastAsia="zh-CN"/>
                    </w:rPr>
                  </w:pPr>
                  <w:r>
                    <w:rPr>
                      <w:rFonts w:hint="eastAsia" w:cs="Times New Roman"/>
                      <w:sz w:val="18"/>
                      <w:szCs w:val="18"/>
                      <w:lang w:val="en-US" w:eastAsia="zh-CN"/>
                    </w:rPr>
                    <w:t>根据《报告表》评价结论及专家技术评估意见，在落实《报告表》中提出各项污染防治措施的前提下，你公司在吴江区桃源镇青云大道588号建设年产非承重普通混凝土空心砖6万平方米、混凝土实心砖3万平方米生产技术改造项目具有环境可行性。</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二</w:t>
                  </w:r>
                </w:p>
              </w:tc>
              <w:tc>
                <w:tcPr>
                  <w:tcW w:w="4142" w:type="dxa"/>
                  <w:tcBorders>
                    <w:tl2br w:val="nil"/>
                    <w:tr2bl w:val="nil"/>
                  </w:tcBorders>
                  <w:vAlign w:val="center"/>
                </w:tcPr>
                <w:p>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在项目工程设计、建设和环境管理中，你公司须落实《报告表》中提出的各项环保要求，确保各类污染物达标排放</w:t>
                  </w:r>
                  <w:r>
                    <w:rPr>
                      <w:rFonts w:hint="default" w:ascii="Times New Roman" w:hAnsi="Times New Roman" w:eastAsia="宋体" w:cs="Times New Roman"/>
                      <w:sz w:val="18"/>
                      <w:szCs w:val="18"/>
                    </w:rPr>
                    <w:t>。</w:t>
                  </w:r>
                  <w:r>
                    <w:rPr>
                      <w:rFonts w:hint="eastAsia" w:cs="Times New Roman"/>
                      <w:sz w:val="18"/>
                      <w:szCs w:val="18"/>
                      <w:lang w:val="en-US" w:eastAsia="zh-CN"/>
                    </w:rPr>
                    <w:t>并须着重做好以下工作：</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全过程贯彻清洁生产原则和循环经济理念，选用先进的生产工艺及设备，加强生产管理和环境管理，落实节能、节水措施，减少污染物产生量和排放量，确保各项清洁生产指标达到国内外先进水平。</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项目实际生产全过程贯彻循环经济理念和清洁生产原则，选用先进的生产工艺、设备；生产工艺与环评一致。</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按“清污分流、雨污分流”原则设计、建设厂区给排水系统。生活污水达接管标准后经市政污水管网排至吴江生活污水处理有限公司处理，尾水达标排放；生产过程中清洗废水经自建沉淀池沉淀后回用于生产，不外排。</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按“清污分流、雨污分流”原则设计、建设厂区给排水系统。本项目生活污水接管至吴江生活污水处理有限公司处理，尾水达标排放；生产过程中清洗废水经自建沉淀池沉淀后回用于生产，不外排。</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本项目产生的废气须收集处理后排放，按环评要求设置高度，其中颗粒物排放执行《水泥工业大气污染物排放标准》（GB4915-2013）表2标准；加强对无组织排放源的管理，规范生产操作，减少废气无组织排放。</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颗粒物排放执行《水泥工业大气污染物排放标准》（GB4915-2013）表2标准；加强对无组织排放源的管理，规范生产操作，减少废气无组织排放。</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本项目须选用低噪声设备</w:t>
                  </w:r>
                  <w:r>
                    <w:rPr>
                      <w:rFonts w:hint="eastAsia" w:cs="Times New Roman"/>
                      <w:sz w:val="18"/>
                      <w:szCs w:val="18"/>
                      <w:lang w:eastAsia="zh-CN"/>
                    </w:rPr>
                    <w:t>，</w:t>
                  </w:r>
                  <w:r>
                    <w:rPr>
                      <w:rFonts w:hint="default" w:ascii="Times New Roman" w:hAnsi="Times New Roman" w:eastAsia="宋体" w:cs="Times New Roman"/>
                      <w:sz w:val="18"/>
                      <w:szCs w:val="18"/>
                    </w:rPr>
                    <w:t>对高噪声设备须采取有效的减振、隔声等降噪措施并合理布局，厂界噪声执行《工业企业厂界环境噪声排放标准》(GB12348-2008）中2类标准限值。</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default" w:cs="Times New Roman"/>
                      <w:sz w:val="18"/>
                      <w:szCs w:val="18"/>
                      <w:lang w:val="en-US" w:eastAsia="zh-CN"/>
                    </w:rPr>
                    <w:t>根据批复要求，本项目选用低噪声设备</w:t>
                  </w:r>
                  <w:r>
                    <w:rPr>
                      <w:rFonts w:hint="eastAsia" w:cs="Times New Roman"/>
                      <w:sz w:val="18"/>
                      <w:szCs w:val="18"/>
                      <w:lang w:val="en-US" w:eastAsia="zh-CN"/>
                    </w:rPr>
                    <w:t>，</w:t>
                  </w:r>
                  <w:r>
                    <w:rPr>
                      <w:rFonts w:hint="default" w:cs="Times New Roman"/>
                      <w:sz w:val="18"/>
                      <w:szCs w:val="18"/>
                      <w:lang w:val="en-US" w:eastAsia="zh-CN"/>
                    </w:rPr>
                    <w:t>对高噪声设备须采取有效的减振、隔声等降噪措施并合理布局，厂界噪声执行《工业企业厂界环境噪声排放标准》(GB12348-2008）中2类标准限值。</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按</w:t>
                  </w:r>
                  <w:r>
                    <w:rPr>
                      <w:rFonts w:hint="eastAsia" w:cs="Times New Roman"/>
                      <w:sz w:val="18"/>
                      <w:szCs w:val="18"/>
                      <w:lang w:eastAsia="zh-CN"/>
                    </w:rPr>
                    <w:t>“</w:t>
                  </w:r>
                  <w:r>
                    <w:rPr>
                      <w:rFonts w:hint="default" w:ascii="Times New Roman" w:hAnsi="Times New Roman" w:eastAsia="宋体" w:cs="Times New Roman"/>
                      <w:sz w:val="18"/>
                      <w:szCs w:val="18"/>
                    </w:rPr>
                    <w:t>减量化、资源化、无害化</w:t>
                  </w:r>
                  <w:r>
                    <w:rPr>
                      <w:rFonts w:hint="eastAsia" w:cs="Times New Roman"/>
                      <w:sz w:val="18"/>
                      <w:szCs w:val="18"/>
                      <w:lang w:eastAsia="zh-CN"/>
                    </w:rPr>
                    <w:t>”</w:t>
                  </w:r>
                  <w:r>
                    <w:rPr>
                      <w:rFonts w:hint="default" w:ascii="Times New Roman" w:hAnsi="Times New Roman" w:eastAsia="宋体" w:cs="Times New Roman"/>
                      <w:sz w:val="18"/>
                      <w:szCs w:val="18"/>
                    </w:rPr>
                    <w:t>的处置原则，落实各类固体废物特别是危险废物的收集、处置和综合利用措施，危险废物必须委托有资质单位安全处置。厂内危险废物暂存场所应符合《危险废物贮存污染控制标准》(GB18597- 2001）要求，确保不对周围环境和地下水造成影响。</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default" w:cs="Times New Roman"/>
                      <w:sz w:val="18"/>
                      <w:szCs w:val="18"/>
                      <w:lang w:val="en-US" w:eastAsia="zh-CN"/>
                    </w:rPr>
                    <w:t>根据批复要求，</w:t>
                  </w:r>
                  <w:r>
                    <w:rPr>
                      <w:rFonts w:hint="eastAsia" w:cs="Times New Roman"/>
                      <w:sz w:val="18"/>
                      <w:szCs w:val="18"/>
                      <w:lang w:val="en-US" w:eastAsia="zh-CN"/>
                    </w:rPr>
                    <w:t>本</w:t>
                  </w:r>
                  <w:r>
                    <w:rPr>
                      <w:rFonts w:hint="default" w:cs="Times New Roman"/>
                      <w:sz w:val="18"/>
                      <w:szCs w:val="18"/>
                      <w:lang w:val="en-US" w:eastAsia="zh-CN"/>
                    </w:rPr>
                    <w:t>项目在设计、施工建设和生产中总平面布局以及主要工艺设备、储运设施、公辅工程、污染防治设施安装、使用中涉及安全生产的</w:t>
                  </w:r>
                  <w:r>
                    <w:rPr>
                      <w:rFonts w:hint="eastAsia" w:cs="Times New Roman"/>
                      <w:sz w:val="18"/>
                      <w:szCs w:val="18"/>
                      <w:lang w:val="en-US" w:eastAsia="zh-CN"/>
                    </w:rPr>
                    <w:t>已</w:t>
                  </w:r>
                  <w:r>
                    <w:rPr>
                      <w:rFonts w:hint="default" w:cs="Times New Roman"/>
                      <w:sz w:val="18"/>
                      <w:szCs w:val="18"/>
                      <w:lang w:val="en-US" w:eastAsia="zh-CN"/>
                    </w:rPr>
                    <w:t>遵守设计使用规范和相关主管部门要求。</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6</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本项目须按环评要求以厂界为起算点设置50m卫生防护距离，卫生防护距离内不得有居民等环境敏感点。</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本项目按环评要求以厂界为起算点设置50m卫生防护距离，卫生防护距离内无居民等环境敏感点。</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7</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按《江苏省排污口设置及规范化整治管理办法》（苏环控</w:t>
                  </w:r>
                  <w:r>
                    <w:rPr>
                      <w:rFonts w:hint="eastAsia" w:cs="Times New Roman"/>
                      <w:sz w:val="18"/>
                      <w:szCs w:val="18"/>
                      <w:lang w:val="en-US" w:eastAsia="zh-CN"/>
                    </w:rPr>
                    <w:t>[</w:t>
                  </w:r>
                  <w:r>
                    <w:rPr>
                      <w:rFonts w:hint="default" w:ascii="Times New Roman" w:hAnsi="Times New Roman" w:eastAsia="宋体" w:cs="Times New Roman"/>
                      <w:sz w:val="18"/>
                      <w:szCs w:val="18"/>
                    </w:rPr>
                    <w:t>1997</w:t>
                  </w:r>
                  <w:r>
                    <w:rPr>
                      <w:rFonts w:hint="eastAsia" w:cs="Times New Roman"/>
                      <w:sz w:val="18"/>
                      <w:szCs w:val="18"/>
                      <w:lang w:val="en-US" w:eastAsia="zh-CN"/>
                    </w:rPr>
                    <w:t>]</w:t>
                  </w:r>
                  <w:r>
                    <w:rPr>
                      <w:rFonts w:hint="default" w:ascii="Times New Roman" w:hAnsi="Times New Roman" w:eastAsia="宋体" w:cs="Times New Roman"/>
                      <w:sz w:val="18"/>
                      <w:szCs w:val="18"/>
                    </w:rPr>
                    <w:t>122号）的规定规范设置各类排污口及标识。</w:t>
                  </w:r>
                </w:p>
              </w:tc>
              <w:tc>
                <w:tcPr>
                  <w:tcW w:w="4110" w:type="dxa"/>
                  <w:tcBorders>
                    <w:tl2br w:val="nil"/>
                    <w:tr2bl w:val="nil"/>
                  </w:tcBorders>
                  <w:vAlign w:val="center"/>
                </w:tcPr>
                <w:p>
                  <w:pPr>
                    <w:numPr>
                      <w:ilvl w:val="0"/>
                      <w:numId w:val="0"/>
                    </w:numPr>
                    <w:jc w:val="left"/>
                    <w:rPr>
                      <w:rFonts w:hint="eastAsia" w:cs="Times New Roman"/>
                      <w:sz w:val="18"/>
                      <w:szCs w:val="18"/>
                      <w:lang w:val="en-US" w:eastAsia="zh-CN"/>
                    </w:rPr>
                  </w:pPr>
                  <w:r>
                    <w:rPr>
                      <w:rFonts w:hint="eastAsia" w:cs="Times New Roman"/>
                      <w:sz w:val="18"/>
                      <w:szCs w:val="18"/>
                      <w:lang w:val="en-US" w:eastAsia="zh-CN"/>
                    </w:rPr>
                    <w:t xml:space="preserve">本项目已按《江苏省排污口设置及规范化整治管理办 </w:t>
                  </w:r>
                </w:p>
                <w:p>
                  <w:pPr>
                    <w:numPr>
                      <w:ilvl w:val="0"/>
                      <w:numId w:val="0"/>
                    </w:numPr>
                    <w:jc w:val="left"/>
                    <w:rPr>
                      <w:rFonts w:hint="eastAsia" w:cs="Times New Roman"/>
                      <w:sz w:val="18"/>
                      <w:szCs w:val="18"/>
                      <w:lang w:val="en-US" w:eastAsia="zh-CN"/>
                    </w:rPr>
                  </w:pPr>
                  <w:r>
                    <w:rPr>
                      <w:rFonts w:hint="eastAsia" w:cs="Times New Roman"/>
                      <w:sz w:val="18"/>
                      <w:szCs w:val="18"/>
                      <w:lang w:val="en-US" w:eastAsia="zh-CN"/>
                    </w:rPr>
                    <w:t>法》（苏环控</w:t>
                  </w:r>
                  <w:r>
                    <w:rPr>
                      <w:rFonts w:hint="default" w:cs="Times New Roman"/>
                      <w:sz w:val="18"/>
                      <w:szCs w:val="18"/>
                      <w:lang w:val="en-US" w:eastAsia="zh-CN"/>
                    </w:rPr>
                    <w:t xml:space="preserve">[1997]122 </w:t>
                  </w:r>
                  <w:r>
                    <w:rPr>
                      <w:rFonts w:hint="eastAsia" w:cs="Times New Roman"/>
                      <w:sz w:val="18"/>
                      <w:szCs w:val="18"/>
                      <w:lang w:val="en-US" w:eastAsia="zh-CN"/>
                    </w:rPr>
                    <w:t xml:space="preserve">号）的规定规范设置各类排 </w:t>
                  </w:r>
                </w:p>
                <w:p>
                  <w:pPr>
                    <w:numPr>
                      <w:ilvl w:val="0"/>
                      <w:numId w:val="0"/>
                    </w:numPr>
                    <w:jc w:val="left"/>
                    <w:rPr>
                      <w:rFonts w:hint="default" w:cs="Times New Roman"/>
                      <w:sz w:val="18"/>
                      <w:szCs w:val="18"/>
                      <w:lang w:val="en-US" w:eastAsia="zh-CN"/>
                    </w:rPr>
                  </w:pPr>
                  <w:r>
                    <w:rPr>
                      <w:rFonts w:hint="eastAsia" w:cs="Times New Roman"/>
                      <w:sz w:val="18"/>
                      <w:szCs w:val="18"/>
                      <w:lang w:val="en-US" w:eastAsia="zh-CN"/>
                    </w:rPr>
                    <w:t>污口及标识。</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cs="Times New Roman"/>
                      <w:sz w:val="18"/>
                      <w:szCs w:val="18"/>
                      <w:lang w:val="en-US" w:eastAsia="zh-CN"/>
                    </w:rPr>
                  </w:pPr>
                  <w:r>
                    <w:rPr>
                      <w:rFonts w:hint="eastAsia" w:cs="Times New Roman"/>
                      <w:sz w:val="18"/>
                      <w:szCs w:val="18"/>
                      <w:lang w:val="en-US" w:eastAsia="zh-CN"/>
                    </w:rPr>
                    <w:t>8</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做好绿化工作，在厂界四周建设一定宽度的绿化隔离带，以减轻废气、噪声等对周围环境的影响。</w:t>
                  </w:r>
                </w:p>
              </w:tc>
              <w:tc>
                <w:tcPr>
                  <w:tcW w:w="4110" w:type="dxa"/>
                  <w:tcBorders>
                    <w:tl2br w:val="nil"/>
                    <w:tr2bl w:val="nil"/>
                  </w:tcBorders>
                  <w:vAlign w:val="center"/>
                </w:tcPr>
                <w:p>
                  <w:pPr>
                    <w:numPr>
                      <w:ilvl w:val="0"/>
                      <w:numId w:val="0"/>
                    </w:numPr>
                    <w:jc w:val="left"/>
                    <w:rPr>
                      <w:rFonts w:hint="eastAsia" w:cs="Times New Roman"/>
                      <w:sz w:val="18"/>
                      <w:szCs w:val="18"/>
                      <w:lang w:val="en-US" w:eastAsia="zh-CN"/>
                    </w:rPr>
                  </w:pPr>
                  <w:r>
                    <w:rPr>
                      <w:rFonts w:hint="eastAsia" w:cs="Times New Roman"/>
                      <w:sz w:val="18"/>
                      <w:szCs w:val="18"/>
                      <w:lang w:val="en-US" w:eastAsia="zh-CN"/>
                    </w:rPr>
                    <w:t xml:space="preserve">本项目做好绿化工作，在厂区四周建设一定的绿化隔 </w:t>
                  </w:r>
                </w:p>
                <w:p>
                  <w:pPr>
                    <w:numPr>
                      <w:ilvl w:val="0"/>
                      <w:numId w:val="0"/>
                    </w:numPr>
                    <w:jc w:val="left"/>
                    <w:rPr>
                      <w:rFonts w:hint="eastAsia" w:cs="Times New Roman"/>
                      <w:sz w:val="18"/>
                      <w:szCs w:val="18"/>
                      <w:lang w:val="en-US" w:eastAsia="zh-CN"/>
                    </w:rPr>
                  </w:pPr>
                  <w:r>
                    <w:rPr>
                      <w:rFonts w:hint="eastAsia" w:cs="Times New Roman"/>
                      <w:sz w:val="18"/>
                      <w:szCs w:val="18"/>
                      <w:lang w:val="en-US" w:eastAsia="zh-CN"/>
                    </w:rPr>
                    <w:t>离带</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cs="Times New Roman"/>
                      <w:sz w:val="18"/>
                      <w:szCs w:val="18"/>
                      <w:lang w:val="en-US" w:eastAsia="zh-CN"/>
                    </w:rPr>
                  </w:pPr>
                  <w:r>
                    <w:rPr>
                      <w:rFonts w:hint="eastAsia" w:cs="Times New Roman"/>
                      <w:sz w:val="18"/>
                      <w:szCs w:val="18"/>
                      <w:lang w:val="en-US" w:eastAsia="zh-CN"/>
                    </w:rPr>
                    <w:t>9</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请做好其他有关污染防治工作。</w:t>
                  </w:r>
                </w:p>
              </w:tc>
              <w:tc>
                <w:tcPr>
                  <w:tcW w:w="4110" w:type="dxa"/>
                  <w:tcBorders>
                    <w:tl2br w:val="nil"/>
                    <w:tr2bl w:val="nil"/>
                  </w:tcBorders>
                  <w:vAlign w:val="center"/>
                </w:tcPr>
                <w:p>
                  <w:pPr>
                    <w:numPr>
                      <w:ilvl w:val="0"/>
                      <w:numId w:val="0"/>
                    </w:numPr>
                    <w:jc w:val="left"/>
                    <w:rPr>
                      <w:rFonts w:hint="eastAsia" w:cs="Times New Roman"/>
                      <w:sz w:val="18"/>
                      <w:szCs w:val="18"/>
                      <w:lang w:val="en-US" w:eastAsia="zh-CN"/>
                    </w:rPr>
                  </w:pPr>
                  <w:r>
                    <w:rPr>
                      <w:rFonts w:hint="eastAsia" w:cs="Times New Roman"/>
                      <w:sz w:val="18"/>
                      <w:szCs w:val="18"/>
                      <w:lang w:val="en-US" w:eastAsia="zh-CN"/>
                    </w:rPr>
                    <w:t>本项目做好其他有关污染防治工作。</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三</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项目的环保设施必须与主体工程同时设计、同时施工、同时运行。项目建成投用后，须按规定程序实施竣工环境保护验收。</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本次申请验收。</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四</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建设单位按规定接受苏州市吴江生态环境执法局的</w:t>
                  </w:r>
                  <w:r>
                    <w:rPr>
                      <w:rFonts w:hint="eastAsia" w:cs="Times New Roman"/>
                      <w:sz w:val="18"/>
                      <w:szCs w:val="18"/>
                      <w:lang w:eastAsia="zh-CN"/>
                    </w:rPr>
                    <w:t>“</w:t>
                  </w:r>
                  <w:r>
                    <w:rPr>
                      <w:rFonts w:hint="default" w:ascii="Times New Roman" w:hAnsi="Times New Roman" w:eastAsia="宋体" w:cs="Times New Roman"/>
                      <w:sz w:val="18"/>
                      <w:szCs w:val="18"/>
                    </w:rPr>
                    <w:t>三同时</w:t>
                  </w:r>
                  <w:r>
                    <w:rPr>
                      <w:rFonts w:hint="eastAsia" w:cs="Times New Roman"/>
                      <w:sz w:val="18"/>
                      <w:szCs w:val="18"/>
                      <w:lang w:eastAsia="zh-CN"/>
                    </w:rPr>
                    <w:t>”</w:t>
                  </w:r>
                  <w:r>
                    <w:rPr>
                      <w:rFonts w:hint="default" w:ascii="Times New Roman" w:hAnsi="Times New Roman" w:eastAsia="宋体" w:cs="Times New Roman"/>
                      <w:sz w:val="18"/>
                      <w:szCs w:val="18"/>
                    </w:rPr>
                    <w:t>监督检查和日常监督管理工作</w:t>
                  </w:r>
                  <w:r>
                    <w:rPr>
                      <w:rFonts w:hint="eastAsia" w:cs="Times New Roman"/>
                      <w:sz w:val="18"/>
                      <w:szCs w:val="18"/>
                      <w:lang w:eastAsia="zh-CN"/>
                    </w:rPr>
                    <w:t>，</w:t>
                  </w:r>
                  <w:r>
                    <w:rPr>
                      <w:rFonts w:hint="default" w:ascii="Times New Roman" w:hAnsi="Times New Roman" w:eastAsia="宋体" w:cs="Times New Roman"/>
                      <w:sz w:val="18"/>
                      <w:szCs w:val="18"/>
                    </w:rPr>
                    <w:t>苏州市生态环境执法局负责不定期抽查。</w:t>
                  </w:r>
                </w:p>
              </w:tc>
              <w:tc>
                <w:tcPr>
                  <w:tcW w:w="4110" w:type="dxa"/>
                  <w:tcBorders>
                    <w:tl2br w:val="nil"/>
                    <w:tr2bl w:val="nil"/>
                  </w:tcBorders>
                  <w:vAlign w:val="center"/>
                </w:tcPr>
                <w:p>
                  <w:pPr>
                    <w:numPr>
                      <w:ilvl w:val="0"/>
                      <w:numId w:val="0"/>
                    </w:numPr>
                    <w:jc w:val="left"/>
                    <w:rPr>
                      <w:rFonts w:hint="eastAsia" w:cs="Times New Roman"/>
                      <w:sz w:val="18"/>
                      <w:szCs w:val="18"/>
                      <w:lang w:val="en-US" w:eastAsia="zh-CN"/>
                    </w:rPr>
                  </w:pPr>
                  <w:r>
                    <w:rPr>
                      <w:rFonts w:hint="eastAsia" w:cs="Times New Roman"/>
                      <w:sz w:val="18"/>
                      <w:szCs w:val="18"/>
                      <w:lang w:val="en-US" w:eastAsia="zh-CN"/>
                    </w:rPr>
                    <w:t>项目建设期间的环境现场监督管理由吴江环境监察大队负责不定期抽查。</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五</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该项目在建设过程中若项目的性质、规模、地点、采用的生产工艺或者防治污染、防止生态破坏的措施、设施发生重大变动的</w:t>
                  </w:r>
                  <w:r>
                    <w:rPr>
                      <w:rFonts w:hint="eastAsia" w:cs="Times New Roman"/>
                      <w:sz w:val="18"/>
                      <w:szCs w:val="18"/>
                      <w:lang w:eastAsia="zh-CN"/>
                    </w:rPr>
                    <w:t>，</w:t>
                  </w:r>
                  <w:r>
                    <w:rPr>
                      <w:rFonts w:hint="default" w:ascii="Times New Roman" w:hAnsi="Times New Roman" w:eastAsia="宋体" w:cs="Times New Roman"/>
                      <w:sz w:val="18"/>
                      <w:szCs w:val="18"/>
                    </w:rPr>
                    <w:t>应当重新报批项目的环境影响评价文件。自批准之日起，如超过5年方决定工程开工建设的</w:t>
                  </w:r>
                  <w:r>
                    <w:rPr>
                      <w:rFonts w:hint="eastAsia" w:cs="Times New Roman"/>
                      <w:sz w:val="18"/>
                      <w:szCs w:val="18"/>
                      <w:lang w:eastAsia="zh-CN"/>
                    </w:rPr>
                    <w:t>，</w:t>
                  </w:r>
                  <w:r>
                    <w:rPr>
                      <w:rFonts w:hint="default" w:ascii="Times New Roman" w:hAnsi="Times New Roman" w:eastAsia="宋体" w:cs="Times New Roman"/>
                      <w:sz w:val="18"/>
                      <w:szCs w:val="18"/>
                    </w:rPr>
                    <w:t>环境影响评价文件须报重新审核。</w:t>
                  </w:r>
                </w:p>
              </w:tc>
              <w:tc>
                <w:tcPr>
                  <w:tcW w:w="4110" w:type="dxa"/>
                  <w:tcBorders>
                    <w:tl2br w:val="nil"/>
                    <w:tr2bl w:val="nil"/>
                  </w:tcBorders>
                  <w:vAlign w:val="center"/>
                </w:tcPr>
                <w:p>
                  <w:pPr>
                    <w:numPr>
                      <w:ilvl w:val="0"/>
                      <w:numId w:val="0"/>
                    </w:numPr>
                    <w:jc w:val="left"/>
                    <w:rPr>
                      <w:rFonts w:hint="default" w:cs="Times New Roman"/>
                      <w:sz w:val="18"/>
                      <w:szCs w:val="18"/>
                      <w:lang w:val="en-US" w:eastAsia="zh-CN"/>
                    </w:rPr>
                  </w:pPr>
                  <w:r>
                    <w:rPr>
                      <w:rFonts w:hint="eastAsia" w:cs="Times New Roman"/>
                      <w:sz w:val="18"/>
                      <w:szCs w:val="18"/>
                      <w:lang w:val="en-US" w:eastAsia="zh-CN"/>
                    </w:rPr>
                    <w:t xml:space="preserve">本项目在建设过程中项目的性质、规模、地点、采用的生产工艺或者防治污染、生态破坏的措施未发生重大变化。本项目在批准之日起 </w:t>
                  </w:r>
                  <w:r>
                    <w:rPr>
                      <w:rFonts w:hint="default" w:cs="Times New Roman"/>
                      <w:sz w:val="18"/>
                      <w:szCs w:val="18"/>
                      <w:lang w:val="en-US" w:eastAsia="zh-CN"/>
                    </w:rPr>
                    <w:t xml:space="preserve">5 </w:t>
                  </w:r>
                  <w:r>
                    <w:rPr>
                      <w:rFonts w:hint="eastAsia" w:cs="Times New Roman"/>
                      <w:sz w:val="18"/>
                      <w:szCs w:val="18"/>
                      <w:lang w:val="en-US" w:eastAsia="zh-CN"/>
                    </w:rPr>
                    <w:t>年内工程开工建设。</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bl>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default"/>
                <w:sz w:val="24"/>
                <w:lang w:val="en-US" w:eastAsia="zh-CN"/>
              </w:rPr>
            </w:pPr>
          </w:p>
        </w:tc>
      </w:tr>
    </w:tbl>
    <w:p>
      <w:pPr>
        <w:pStyle w:val="38"/>
        <w:spacing w:after="0" w:line="240" w:lineRule="auto"/>
        <w:ind w:left="0"/>
        <w:rPr>
          <w:b/>
          <w:bCs/>
          <w:color w:val="auto"/>
          <w:sz w:val="24"/>
          <w:highlight w:val="yellow"/>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highlight w:val="none"/>
          <w:lang w:val="zh-CN"/>
        </w:rPr>
      </w:pPr>
      <w:bookmarkStart w:id="4" w:name="_Toc3905045"/>
      <w:r>
        <w:rPr>
          <w:b/>
          <w:color w:val="000000"/>
          <w:sz w:val="24"/>
          <w:highlight w:val="none"/>
          <w:lang w:val="zh-CN"/>
        </w:rPr>
        <w:t>表</w:t>
      </w:r>
      <w:r>
        <w:rPr>
          <w:b/>
          <w:color w:val="000000"/>
          <w:sz w:val="24"/>
          <w:highlight w:val="none"/>
        </w:rPr>
        <w:t>六</w:t>
      </w:r>
      <w:r>
        <w:rPr>
          <w:b/>
          <w:color w:val="000000"/>
          <w:sz w:val="24"/>
          <w:highlight w:val="none"/>
          <w:lang w:val="zh-CN"/>
        </w:rPr>
        <w:t>、验收监测质量保证及质量控制</w:t>
      </w:r>
      <w:bookmarkEnd w:id="4"/>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widowControl/>
              <w:adjustRightInd w:val="0"/>
              <w:snapToGrid w:val="0"/>
              <w:spacing w:line="360" w:lineRule="auto"/>
              <w:jc w:val="left"/>
              <w:rPr>
                <w:b/>
                <w:bCs/>
                <w:sz w:val="24"/>
                <w:highlight w:val="none"/>
              </w:rPr>
            </w:pPr>
            <w:r>
              <w:rPr>
                <w:b/>
                <w:bCs/>
                <w:sz w:val="24"/>
                <w:highlight w:val="none"/>
              </w:rPr>
              <w:t>监测分析方法</w:t>
            </w:r>
          </w:p>
          <w:p>
            <w:pPr>
              <w:widowControl/>
              <w:adjustRightInd w:val="0"/>
              <w:snapToGrid w:val="0"/>
              <w:jc w:val="center"/>
              <w:rPr>
                <w:b/>
                <w:bCs/>
                <w:highlight w:val="none"/>
              </w:rPr>
            </w:pPr>
            <w:r>
              <w:rPr>
                <w:b/>
                <w:bCs/>
                <w:highlight w:val="none"/>
              </w:rPr>
              <w:t>表6-1</w:t>
            </w:r>
            <w:r>
              <w:rPr>
                <w:rFonts w:hint="eastAsia"/>
                <w:b/>
                <w:bCs/>
                <w:highlight w:val="none"/>
                <w:lang w:val="en-US" w:eastAsia="zh-CN"/>
              </w:rPr>
              <w:t xml:space="preserve"> </w:t>
            </w:r>
            <w:r>
              <w:rPr>
                <w:b/>
                <w:bCs/>
                <w:highlight w:val="none"/>
              </w:rPr>
              <w:t>监测分析方法</w:t>
            </w:r>
          </w:p>
          <w:tbl>
            <w:tblPr>
              <w:tblStyle w:val="88"/>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390"/>
              <w:gridCol w:w="1545"/>
              <w:gridCol w:w="4995"/>
              <w:gridCol w:w="205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类型</w:t>
                  </w: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监测因子</w:t>
                  </w:r>
                </w:p>
              </w:tc>
              <w:tc>
                <w:tcPr>
                  <w:tcW w:w="499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分析方法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标准编号</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vMerge w:val="restart"/>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废水</w:t>
                  </w: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r>
                    <w:rPr>
                      <w:rFonts w:hint="default" w:ascii="Times New Roman" w:hAnsi="Times New Roman" w:eastAsia="宋体" w:cs="Times New Roman"/>
                      <w:sz w:val="21"/>
                      <w:szCs w:val="21"/>
                      <w:highlight w:val="none"/>
                      <w:lang w:eastAsia="en-US"/>
                    </w:rPr>
                    <w:t>pH值</w:t>
                  </w:r>
                </w:p>
              </w:tc>
              <w:tc>
                <w:tcPr>
                  <w:tcW w:w="4995" w:type="dxa"/>
                  <w:tcBorders>
                    <w:tl2br w:val="nil"/>
                    <w:tr2bl w:val="nil"/>
                  </w:tcBorders>
                  <w:vAlign w:val="center"/>
                </w:tcPr>
                <w:p>
                  <w:pPr>
                    <w:pStyle w:val="89"/>
                    <w:adjustRightInd w:val="0"/>
                    <w:snapToGrid w:val="0"/>
                    <w:spacing w:before="100" w:beforeAutospacing="1"/>
                    <w:ind w:left="11" w:hanging="12"/>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eastAsia="宋体" w:cs="Times New Roman"/>
                      <w:kern w:val="2"/>
                      <w:sz w:val="21"/>
                      <w:szCs w:val="21"/>
                      <w:highlight w:val="none"/>
                      <w:lang w:eastAsia="zh-CN"/>
                    </w:rPr>
                    <w:t>水质 pH 值的测定 玻璃电极法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r>
                    <w:rPr>
                      <w:rFonts w:hint="default" w:ascii="Times New Roman" w:hAnsi="Times New Roman" w:eastAsia="宋体" w:cs="Times New Roman"/>
                      <w:sz w:val="21"/>
                      <w:szCs w:val="21"/>
                      <w:highlight w:val="none"/>
                      <w:lang w:eastAsia="en-US"/>
                    </w:rPr>
                    <w:t xml:space="preserve"> GB/T 6920-1986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vMerge w:val="continue"/>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悬浮物</w:t>
                  </w:r>
                </w:p>
              </w:tc>
              <w:tc>
                <w:tcPr>
                  <w:tcW w:w="4995" w:type="dxa"/>
                  <w:tcBorders>
                    <w:tl2br w:val="nil"/>
                    <w:tr2bl w:val="nil"/>
                  </w:tcBorders>
                  <w:vAlign w:val="center"/>
                </w:tcPr>
                <w:p>
                  <w:pPr>
                    <w:pStyle w:val="89"/>
                    <w:adjustRightInd w:val="0"/>
                    <w:snapToGrid w:val="0"/>
                    <w:spacing w:before="100" w:beforeAutospacing="1"/>
                    <w:ind w:left="11" w:leftChars="0" w:hanging="12"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eastAsia="zh-CN"/>
                    </w:rPr>
                    <w:t>水质 悬浮物的测定 重量法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GB/T 11901-1989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vMerge w:val="continue"/>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r>
                    <w:rPr>
                      <w:rFonts w:hint="default" w:ascii="Times New Roman" w:hAnsi="Times New Roman" w:eastAsia="宋体" w:cs="Times New Roman"/>
                      <w:sz w:val="21"/>
                      <w:szCs w:val="21"/>
                      <w:highlight w:val="none"/>
                      <w:lang w:eastAsia="en-US"/>
                    </w:rPr>
                    <w:t>化学需氧量</w:t>
                  </w:r>
                </w:p>
              </w:tc>
              <w:tc>
                <w:tcPr>
                  <w:tcW w:w="4995" w:type="dxa"/>
                  <w:tcBorders>
                    <w:tl2br w:val="nil"/>
                    <w:tr2bl w:val="nil"/>
                  </w:tcBorders>
                  <w:vAlign w:val="center"/>
                </w:tcPr>
                <w:p>
                  <w:pPr>
                    <w:pStyle w:val="89"/>
                    <w:adjustRightInd w:val="0"/>
                    <w:snapToGrid w:val="0"/>
                    <w:spacing w:before="100" w:beforeAutospacing="1"/>
                    <w:ind w:left="11" w:hanging="12"/>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eastAsia="zh-CN"/>
                    </w:rPr>
                    <w:t>水质 化学需氧量的测定 重铬酸盐</w:t>
                  </w:r>
                  <w:r>
                    <w:rPr>
                      <w:rFonts w:hint="default" w:ascii="Times New Roman" w:hAnsi="Times New Roman" w:eastAsia="宋体" w:cs="Times New Roman"/>
                      <w:kern w:val="2"/>
                      <w:sz w:val="21"/>
                      <w:szCs w:val="21"/>
                      <w:highlight w:val="none"/>
                      <w:lang w:val="en-US" w:eastAsia="zh-CN"/>
                    </w:rPr>
                    <w:t>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r>
                    <w:rPr>
                      <w:rFonts w:hint="default" w:ascii="Times New Roman" w:hAnsi="Times New Roman" w:eastAsia="宋体" w:cs="Times New Roman"/>
                      <w:sz w:val="21"/>
                      <w:szCs w:val="21"/>
                      <w:highlight w:val="none"/>
                      <w:lang w:eastAsia="en-US"/>
                    </w:rPr>
                    <w:t xml:space="preserve"> HJ 828—2017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vMerge w:val="continue"/>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氨氮</w:t>
                  </w:r>
                </w:p>
              </w:tc>
              <w:tc>
                <w:tcPr>
                  <w:tcW w:w="4995" w:type="dxa"/>
                  <w:tcBorders>
                    <w:tl2br w:val="nil"/>
                    <w:tr2bl w:val="nil"/>
                  </w:tcBorders>
                  <w:vAlign w:val="center"/>
                </w:tcPr>
                <w:p>
                  <w:pPr>
                    <w:pStyle w:val="89"/>
                    <w:adjustRightInd w:val="0"/>
                    <w:snapToGrid w:val="0"/>
                    <w:spacing w:before="100" w:beforeAutospacing="1"/>
                    <w:ind w:left="11" w:leftChars="0" w:hanging="12"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eastAsia="zh-CN"/>
                    </w:rPr>
                    <w:t>水质 氨氮的测定 纳氏试剂分光光度法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HJ 535-2009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vMerge w:val="continue"/>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总磷</w:t>
                  </w:r>
                </w:p>
              </w:tc>
              <w:tc>
                <w:tcPr>
                  <w:tcW w:w="4995" w:type="dxa"/>
                  <w:tcBorders>
                    <w:tl2br w:val="nil"/>
                    <w:tr2bl w:val="nil"/>
                  </w:tcBorders>
                  <w:vAlign w:val="center"/>
                </w:tcPr>
                <w:p>
                  <w:pPr>
                    <w:pStyle w:val="89"/>
                    <w:adjustRightInd w:val="0"/>
                    <w:snapToGrid w:val="0"/>
                    <w:spacing w:before="100" w:beforeAutospacing="1"/>
                    <w:ind w:left="11" w:leftChars="0" w:hanging="12"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eastAsia="zh-CN"/>
                    </w:rPr>
                    <w:t>水质 总磷的测定 钼酸铵分光光度法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GB/T 11893-1989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vMerge w:val="continue"/>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总氮</w:t>
                  </w:r>
                </w:p>
              </w:tc>
              <w:tc>
                <w:tcPr>
                  <w:tcW w:w="4995" w:type="dxa"/>
                  <w:tcBorders>
                    <w:tl2br w:val="nil"/>
                    <w:tr2bl w:val="nil"/>
                  </w:tcBorders>
                  <w:vAlign w:val="center"/>
                </w:tcPr>
                <w:p>
                  <w:pPr>
                    <w:pStyle w:val="89"/>
                    <w:adjustRightInd w:val="0"/>
                    <w:snapToGrid w:val="0"/>
                    <w:spacing w:before="100" w:beforeAutospacing="1"/>
                    <w:ind w:left="11" w:leftChars="0" w:hanging="12"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eastAsia="zh-CN"/>
                    </w:rPr>
                    <w:t>水质 总氮的测定 碱性过硫酸钾消解紫外分光光度法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kern w:val="2"/>
                      <w:sz w:val="21"/>
                      <w:szCs w:val="21"/>
                      <w:highlight w:val="none"/>
                      <w:lang w:val="en-US" w:eastAsia="en-US" w:bidi="ar-SA"/>
                    </w:rPr>
                  </w:pPr>
                  <w:r>
                    <w:rPr>
                      <w:rFonts w:hint="default" w:ascii="Times New Roman" w:hAnsi="Times New Roman" w:eastAsia="宋体" w:cs="Times New Roman"/>
                      <w:sz w:val="21"/>
                      <w:szCs w:val="21"/>
                      <w:highlight w:val="none"/>
                      <w:lang w:eastAsia="en-US"/>
                    </w:rPr>
                    <w:t xml:space="preserve"> HJ 636-2012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有组织废气</w:t>
                  </w:r>
                </w:p>
              </w:tc>
              <w:tc>
                <w:tcPr>
                  <w:tcW w:w="1545" w:type="dxa"/>
                  <w:tcBorders>
                    <w:tl2br w:val="nil"/>
                    <w:tr2bl w:val="nil"/>
                  </w:tcBorders>
                  <w:vAlign w:val="center"/>
                </w:tcPr>
                <w:p>
                  <w:pPr>
                    <w:adjustRightInd w:val="0"/>
                    <w:snapToGrid w:val="0"/>
                    <w:spacing w:before="100" w:beforeAutospacing="1"/>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颗粒物</w:t>
                  </w:r>
                </w:p>
              </w:tc>
              <w:tc>
                <w:tcPr>
                  <w:tcW w:w="4995" w:type="dxa"/>
                  <w:tcBorders>
                    <w:tl2br w:val="nil"/>
                    <w:tr2bl w:val="nil"/>
                  </w:tcBorders>
                  <w:vAlign w:val="center"/>
                </w:tcPr>
                <w:p>
                  <w:pPr>
                    <w:pStyle w:val="89"/>
                    <w:adjustRightInd w:val="0"/>
                    <w:snapToGrid w:val="0"/>
                    <w:spacing w:before="100" w:beforeAutospacing="1"/>
                    <w:ind w:left="11" w:leftChars="0" w:hanging="12"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 xml:space="preserve">固定污染源排气中颗粒物测定与气态污染物采样方法 </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kern w:val="2"/>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GB/T 16157-1996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51" w:hRule="atLeas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组织废气</w:t>
                  </w:r>
                </w:p>
              </w:tc>
              <w:tc>
                <w:tcPr>
                  <w:tcW w:w="1545" w:type="dxa"/>
                  <w:tcBorders>
                    <w:tl2br w:val="nil"/>
                    <w:tr2bl w:val="nil"/>
                  </w:tcBorders>
                  <w:vAlign w:val="center"/>
                </w:tcPr>
                <w:p>
                  <w:pPr>
                    <w:adjustRightInd w:val="0"/>
                    <w:snapToGrid w:val="0"/>
                    <w:spacing w:before="100" w:beforeAutospacing="1"/>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颗粒物</w:t>
                  </w:r>
                </w:p>
              </w:tc>
              <w:tc>
                <w:tcPr>
                  <w:tcW w:w="4995" w:type="dxa"/>
                  <w:tcBorders>
                    <w:tl2br w:val="nil"/>
                    <w:tr2bl w:val="nil"/>
                  </w:tcBorders>
                  <w:vAlign w:val="center"/>
                </w:tcPr>
                <w:p>
                  <w:pPr>
                    <w:pStyle w:val="89"/>
                    <w:adjustRightInd w:val="0"/>
                    <w:snapToGrid w:val="0"/>
                    <w:spacing w:before="100" w:beforeAutospacing="1"/>
                    <w:ind w:left="11" w:hanging="12"/>
                    <w:jc w:val="cente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固定污染源废气 低浓度颗粒物的测定 重量法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 xml:space="preserve"> HJ 836-2017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r>
                    <w:rPr>
                      <w:rFonts w:hint="default" w:ascii="Times New Roman" w:hAnsi="Times New Roman" w:eastAsia="宋体" w:cs="Times New Roman"/>
                      <w:sz w:val="21"/>
                      <w:szCs w:val="21"/>
                      <w:highlight w:val="none"/>
                      <w:lang w:eastAsia="en-US"/>
                    </w:rPr>
                    <w:t>噪声</w:t>
                  </w: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r>
                    <w:rPr>
                      <w:rFonts w:hint="default" w:ascii="Times New Roman" w:hAnsi="Times New Roman" w:eastAsia="宋体" w:cs="Times New Roman"/>
                      <w:sz w:val="21"/>
                      <w:szCs w:val="21"/>
                      <w:highlight w:val="none"/>
                      <w:lang w:eastAsia="en-US"/>
                    </w:rPr>
                    <w:t>厂界噪声</w:t>
                  </w:r>
                </w:p>
              </w:tc>
              <w:tc>
                <w:tcPr>
                  <w:tcW w:w="4995" w:type="dxa"/>
                  <w:tcBorders>
                    <w:tl2br w:val="nil"/>
                    <w:tr2bl w:val="nil"/>
                  </w:tcBorders>
                  <w:vAlign w:val="center"/>
                </w:tcPr>
                <w:p>
                  <w:pPr>
                    <w:pStyle w:val="89"/>
                    <w:adjustRightInd w:val="0"/>
                    <w:snapToGrid w:val="0"/>
                    <w:spacing w:before="100" w:beforeAutospacing="1"/>
                    <w:ind w:left="11" w:hanging="12"/>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eastAsia="宋体" w:cs="Times New Roman"/>
                      <w:kern w:val="2"/>
                      <w:sz w:val="21"/>
                      <w:szCs w:val="21"/>
                      <w:highlight w:val="none"/>
                      <w:lang w:eastAsia="zh-CN"/>
                    </w:rPr>
                    <w:t>工业企业厂界环境噪声排放标准</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sz w:val="21"/>
                      <w:szCs w:val="21"/>
                      <w:highlight w:val="none"/>
                      <w:lang w:eastAsia="en-US"/>
                    </w:rPr>
                  </w:pPr>
                  <w:r>
                    <w:rPr>
                      <w:rFonts w:hint="default" w:ascii="Times New Roman" w:hAnsi="Times New Roman" w:eastAsia="宋体" w:cs="Times New Roman"/>
                      <w:sz w:val="21"/>
                      <w:szCs w:val="21"/>
                      <w:highlight w:val="none"/>
                      <w:lang w:eastAsia="en-US"/>
                    </w:rPr>
                    <w:t>GB 12348-2008</w:t>
                  </w:r>
                </w:p>
              </w:tc>
            </w:tr>
          </w:tbl>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widowControl/>
              <w:adjustRightInd w:val="0"/>
              <w:snapToGrid w:val="0"/>
              <w:spacing w:line="360" w:lineRule="auto"/>
              <w:jc w:val="left"/>
              <w:rPr>
                <w:b/>
                <w:bCs/>
                <w:sz w:val="24"/>
                <w:highlight w:val="none"/>
              </w:rPr>
            </w:pPr>
            <w:r>
              <w:rPr>
                <w:b/>
                <w:bCs/>
                <w:sz w:val="24"/>
                <w:highlight w:val="none"/>
              </w:rPr>
              <w:t>气体监测过程中的质量保证和质量控制：</w:t>
            </w:r>
          </w:p>
          <w:p>
            <w:pPr>
              <w:pStyle w:val="4"/>
              <w:ind w:firstLine="480" w:firstLineChars="200"/>
              <w:outlineLvl w:val="2"/>
              <w:rPr>
                <w:highlight w:val="none"/>
              </w:rPr>
            </w:pPr>
            <w:r>
              <w:rPr>
                <w:rFonts w:ascii="Times New Roman" w:hAnsi="Times New Roman"/>
                <w:b w:val="0"/>
                <w:bCs w:val="0"/>
                <w:sz w:val="24"/>
                <w:highlight w:val="none"/>
              </w:rPr>
              <w:t>无组织废气按照《大气污染物无组织排放监测技术导则》(HJ/T55-2000)方法采样。本次验收废气监测严格执行国家环保局颁发的《环境监测技术规范》和《环境监测质量保证管理规定》（暂行），实施全程序的质量保证。废气监测仪器符合国家有关标准或技术要求，测试前用标准流量计对测量仪器进行校准，监测仪器进行现场捡漏。采样、保存、分析全过程严格按照国家标准分析方法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widowControl/>
              <w:adjustRightInd w:val="0"/>
              <w:snapToGrid w:val="0"/>
              <w:spacing w:line="360" w:lineRule="auto"/>
              <w:jc w:val="left"/>
              <w:rPr>
                <w:b/>
                <w:bCs/>
                <w:sz w:val="24"/>
                <w:highlight w:val="none"/>
              </w:rPr>
            </w:pPr>
            <w:r>
              <w:rPr>
                <w:b/>
                <w:bCs/>
                <w:sz w:val="24"/>
                <w:highlight w:val="none"/>
              </w:rPr>
              <w:t>噪声监测过程中的质量保证和质量控制：</w:t>
            </w:r>
          </w:p>
          <w:p>
            <w:pPr>
              <w:spacing w:line="360" w:lineRule="auto"/>
              <w:ind w:firstLine="480" w:firstLineChars="200"/>
              <w:rPr>
                <w:b/>
                <w:bCs/>
                <w:highlight w:val="none"/>
              </w:rPr>
            </w:pPr>
            <w:r>
              <w:rPr>
                <w:sz w:val="24"/>
                <w:szCs w:val="32"/>
                <w:highlight w:val="none"/>
              </w:rPr>
              <w:t>为保证厂界噪声监测过程的质量，噪声监测布点、测量方法及频次按照《工业企业厂界环境噪声排放标准》（GB12348-2008）执行。监测时使用经计量部门检定、并在有效使用期内的声级计；声级计在测试前后用标准发生源进行校准，测量前后仪器的灵敏度相差不大于0.5dB。声级计校准结果见表6-2</w:t>
            </w:r>
            <w:r>
              <w:rPr>
                <w:rFonts w:hint="eastAsia"/>
                <w:sz w:val="24"/>
                <w:szCs w:val="32"/>
                <w:highlight w:val="none"/>
              </w:rPr>
              <w:t>。</w:t>
            </w:r>
          </w:p>
          <w:p>
            <w:pPr>
              <w:widowControl/>
              <w:adjustRightInd w:val="0"/>
              <w:snapToGrid w:val="0"/>
              <w:jc w:val="center"/>
              <w:rPr>
                <w:b/>
                <w:bCs/>
                <w:highlight w:val="none"/>
              </w:rPr>
            </w:pPr>
            <w:r>
              <w:rPr>
                <w:b/>
                <w:bCs/>
                <w:highlight w:val="none"/>
              </w:rPr>
              <w:t>表6-2声级计校准结果</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11"/>
              <w:gridCol w:w="1533"/>
              <w:gridCol w:w="1436"/>
              <w:gridCol w:w="2087"/>
              <w:gridCol w:w="1861"/>
              <w:gridCol w:w="186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0" w:type="dxa"/>
                  <w:gridSpan w:val="3"/>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w:t>
                  </w:r>
                </w:p>
              </w:tc>
              <w:tc>
                <w:tcPr>
                  <w:tcW w:w="2087"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校准仪器及编号</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监测前校准值dB（A）</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监测后校准值dB（A）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restart"/>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厂界噪声</w:t>
                  </w:r>
                </w:p>
              </w:tc>
              <w:tc>
                <w:tcPr>
                  <w:tcW w:w="1533" w:type="dxa"/>
                  <w:vMerge w:val="restart"/>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202</w:t>
                  </w:r>
                  <w:r>
                    <w:rPr>
                      <w:rFonts w:hint="eastAsia" w:cs="Times New Roman"/>
                      <w:sz w:val="18"/>
                      <w:szCs w:val="18"/>
                      <w:highlight w:val="none"/>
                      <w:lang w:val="en-US" w:eastAsia="zh-CN"/>
                    </w:rPr>
                    <w:t>2</w:t>
                  </w: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0</w:t>
                  </w:r>
                  <w:r>
                    <w:rPr>
                      <w:rFonts w:hint="eastAsia" w:cs="Times New Roman"/>
                      <w:sz w:val="18"/>
                      <w:szCs w:val="18"/>
                      <w:highlight w:val="none"/>
                      <w:lang w:val="en-US" w:eastAsia="zh-CN"/>
                    </w:rPr>
                    <w:t>1</w:t>
                  </w:r>
                  <w:r>
                    <w:rPr>
                      <w:rFonts w:hint="default" w:ascii="Times New Roman" w:hAnsi="Times New Roman" w:eastAsia="宋体" w:cs="Times New Roman"/>
                      <w:sz w:val="18"/>
                      <w:szCs w:val="18"/>
                      <w:highlight w:val="none"/>
                    </w:rPr>
                    <w:t>-</w:t>
                  </w:r>
                  <w:r>
                    <w:rPr>
                      <w:rFonts w:hint="eastAsia" w:cs="Times New Roman"/>
                      <w:sz w:val="18"/>
                      <w:szCs w:val="18"/>
                      <w:highlight w:val="none"/>
                      <w:lang w:val="en-US" w:eastAsia="zh-CN"/>
                    </w:rPr>
                    <w:t>13</w:t>
                  </w:r>
                </w:p>
              </w:tc>
              <w:tc>
                <w:tcPr>
                  <w:tcW w:w="1436"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昼</w:t>
                  </w:r>
                  <w:r>
                    <w:rPr>
                      <w:rFonts w:hint="eastAsia" w:cs="Times New Roman"/>
                      <w:sz w:val="18"/>
                      <w:szCs w:val="18"/>
                      <w:highlight w:val="none"/>
                      <w:lang w:val="en-US" w:eastAsia="zh-CN"/>
                    </w:rPr>
                    <w:t>间</w:t>
                  </w:r>
                </w:p>
              </w:tc>
              <w:tc>
                <w:tcPr>
                  <w:tcW w:w="2087" w:type="dxa"/>
                  <w:vMerge w:val="restart"/>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多功能声级计SZKHJC-081-01</w:t>
                  </w: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8</w:t>
                  </w: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533"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436"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夜间</w:t>
                  </w:r>
                </w:p>
              </w:tc>
              <w:tc>
                <w:tcPr>
                  <w:tcW w:w="2087" w:type="dxa"/>
                  <w:vMerge w:val="continue"/>
                  <w:tcBorders>
                    <w:tl2br w:val="nil"/>
                    <w:tr2bl w:val="nil"/>
                  </w:tcBorders>
                  <w:vAlign w:val="center"/>
                </w:tcPr>
                <w:p>
                  <w:pPr>
                    <w:jc w:val="center"/>
                    <w:rPr>
                      <w:rFonts w:hint="default" w:ascii="Times New Roman" w:hAnsi="Times New Roman" w:eastAsia="宋体" w:cs="Times New Roman"/>
                      <w:sz w:val="18"/>
                      <w:szCs w:val="18"/>
                      <w:highlight w:val="none"/>
                    </w:rPr>
                  </w:pP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93.8</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93.8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533" w:type="dxa"/>
                  <w:vMerge w:val="restart"/>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rPr>
                    <w:t>202</w:t>
                  </w:r>
                  <w:r>
                    <w:rPr>
                      <w:rFonts w:hint="eastAsia" w:cs="Times New Roman"/>
                      <w:sz w:val="18"/>
                      <w:szCs w:val="18"/>
                      <w:highlight w:val="none"/>
                      <w:lang w:val="en-US" w:eastAsia="zh-CN"/>
                    </w:rPr>
                    <w:t>2</w:t>
                  </w: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0</w:t>
                  </w:r>
                  <w:r>
                    <w:rPr>
                      <w:rFonts w:hint="eastAsia" w:cs="Times New Roman"/>
                      <w:sz w:val="18"/>
                      <w:szCs w:val="18"/>
                      <w:highlight w:val="none"/>
                      <w:lang w:val="en-US" w:eastAsia="zh-CN"/>
                    </w:rPr>
                    <w:t>1</w:t>
                  </w:r>
                  <w:r>
                    <w:rPr>
                      <w:rFonts w:hint="default" w:ascii="Times New Roman" w:hAnsi="Times New Roman" w:eastAsia="宋体" w:cs="Times New Roman"/>
                      <w:sz w:val="18"/>
                      <w:szCs w:val="18"/>
                      <w:highlight w:val="none"/>
                    </w:rPr>
                    <w:t>-</w:t>
                  </w:r>
                  <w:r>
                    <w:rPr>
                      <w:rFonts w:hint="eastAsia" w:cs="Times New Roman"/>
                      <w:sz w:val="18"/>
                      <w:szCs w:val="18"/>
                      <w:highlight w:val="none"/>
                      <w:lang w:val="en-US" w:eastAsia="zh-CN"/>
                    </w:rPr>
                    <w:t>14</w:t>
                  </w:r>
                </w:p>
              </w:tc>
              <w:tc>
                <w:tcPr>
                  <w:tcW w:w="1436"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昼</w:t>
                  </w:r>
                  <w:r>
                    <w:rPr>
                      <w:rFonts w:hint="eastAsia" w:cs="Times New Roman"/>
                      <w:sz w:val="18"/>
                      <w:szCs w:val="18"/>
                      <w:highlight w:val="none"/>
                      <w:lang w:val="en-US" w:eastAsia="zh-CN"/>
                    </w:rPr>
                    <w:t>间</w:t>
                  </w:r>
                </w:p>
              </w:tc>
              <w:tc>
                <w:tcPr>
                  <w:tcW w:w="2087" w:type="dxa"/>
                  <w:vMerge w:val="continue"/>
                  <w:tcBorders>
                    <w:tl2br w:val="nil"/>
                    <w:tr2bl w:val="nil"/>
                  </w:tcBorders>
                  <w:vAlign w:val="center"/>
                </w:tcPr>
                <w:p>
                  <w:pPr>
                    <w:jc w:val="center"/>
                    <w:rPr>
                      <w:rFonts w:hint="default" w:ascii="Times New Roman" w:hAnsi="Times New Roman" w:eastAsia="宋体" w:cs="Times New Roman"/>
                      <w:sz w:val="18"/>
                      <w:szCs w:val="18"/>
                      <w:highlight w:val="none"/>
                    </w:rPr>
                  </w:pP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93.8</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93.8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533"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p>
              </w:tc>
              <w:tc>
                <w:tcPr>
                  <w:tcW w:w="1436"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eastAsia" w:cs="Times New Roman"/>
                      <w:sz w:val="18"/>
                      <w:szCs w:val="18"/>
                      <w:highlight w:val="none"/>
                      <w:lang w:val="en-US" w:eastAsia="zh-CN"/>
                    </w:rPr>
                    <w:t>夜间</w:t>
                  </w:r>
                </w:p>
              </w:tc>
              <w:tc>
                <w:tcPr>
                  <w:tcW w:w="2087" w:type="dxa"/>
                  <w:vMerge w:val="continue"/>
                  <w:tcBorders>
                    <w:tl2br w:val="nil"/>
                    <w:tr2bl w:val="nil"/>
                  </w:tcBorders>
                  <w:vAlign w:val="center"/>
                </w:tcPr>
                <w:p>
                  <w:pPr>
                    <w:jc w:val="center"/>
                    <w:rPr>
                      <w:rFonts w:hint="default" w:ascii="Times New Roman" w:hAnsi="Times New Roman" w:eastAsia="宋体" w:cs="Times New Roman"/>
                      <w:sz w:val="18"/>
                      <w:szCs w:val="18"/>
                      <w:highlight w:val="none"/>
                    </w:rPr>
                  </w:pP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8</w:t>
                  </w: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8</w:t>
                  </w:r>
                </w:p>
              </w:tc>
            </w:tr>
          </w:tbl>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widowControl/>
              <w:adjustRightInd w:val="0"/>
              <w:snapToGrid w:val="0"/>
              <w:spacing w:line="360" w:lineRule="auto"/>
              <w:jc w:val="left"/>
              <w:rPr>
                <w:b/>
                <w:bCs/>
                <w:sz w:val="24"/>
                <w:highlight w:val="none"/>
              </w:rPr>
            </w:pPr>
            <w:r>
              <w:rPr>
                <w:rFonts w:hint="eastAsia"/>
                <w:b/>
                <w:bCs/>
                <w:sz w:val="24"/>
                <w:highlight w:val="none"/>
              </w:rPr>
              <w:t>水体监测过程中的质量保证和质量控制：</w:t>
            </w:r>
          </w:p>
          <w:p>
            <w:pPr>
              <w:spacing w:line="360" w:lineRule="auto"/>
              <w:ind w:firstLine="480" w:firstLineChars="200"/>
              <w:rPr>
                <w:rFonts w:hint="eastAsia"/>
                <w:sz w:val="24"/>
                <w:szCs w:val="32"/>
                <w:highlight w:val="none"/>
              </w:rPr>
            </w:pPr>
            <w:r>
              <w:rPr>
                <w:rFonts w:hint="eastAsia"/>
                <w:sz w:val="24"/>
                <w:szCs w:val="32"/>
                <w:highlight w:val="none"/>
              </w:rPr>
              <w:t>水样的采集、运输、保存、实验室分析和数据计算的全过程均按《环境水质监测质量保证手册》（第四版）的要求进行。采集过程中每批样品除色度、臭、浊度、pH、透明度、悬浮物、电导率、溶解氧、溶解性总固体外，其余项目均需加采全程序空白样；每批样品除悬浮物、溶解性总固体，其余每个项目加采不少于10%的现场平行样；污染事故、污染纠纷样品加采 100%现场平行样或+频次分时段连续采样；当每批采集样品数只有1个时，加采100%现场平行样。</w:t>
            </w: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lang w:val="en-US" w:eastAsia="zh-CN"/>
              </w:rPr>
            </w:pPr>
          </w:p>
          <w:p>
            <w:pPr>
              <w:spacing w:line="360" w:lineRule="auto"/>
              <w:ind w:firstLine="480" w:firstLineChars="200"/>
              <w:rPr>
                <w:rFonts w:hint="eastAsia"/>
                <w:sz w:val="24"/>
                <w:szCs w:val="32"/>
                <w:highlight w:val="none"/>
                <w:lang w:val="en-US" w:eastAsia="zh-CN"/>
              </w:rPr>
            </w:pPr>
          </w:p>
          <w:p>
            <w:pPr>
              <w:spacing w:line="360" w:lineRule="auto"/>
              <w:ind w:firstLine="480" w:firstLineChars="200"/>
              <w:rPr>
                <w:rFonts w:hint="eastAsia"/>
                <w:sz w:val="24"/>
                <w:szCs w:val="32"/>
                <w:highlight w:val="none"/>
                <w:lang w:val="en-US" w:eastAsia="zh-CN"/>
              </w:rPr>
            </w:pPr>
          </w:p>
          <w:p>
            <w:pPr>
              <w:spacing w:line="360" w:lineRule="auto"/>
              <w:ind w:firstLine="480" w:firstLineChars="200"/>
              <w:rPr>
                <w:rFonts w:hint="eastAsia"/>
                <w:sz w:val="24"/>
                <w:szCs w:val="32"/>
                <w:highlight w:val="none"/>
                <w:lang w:val="en-US" w:eastAsia="zh-CN"/>
              </w:rPr>
            </w:pPr>
          </w:p>
          <w:p>
            <w:pPr>
              <w:spacing w:line="360" w:lineRule="auto"/>
              <w:ind w:firstLine="480" w:firstLineChars="200"/>
              <w:rPr>
                <w:rFonts w:hint="eastAsia"/>
                <w:sz w:val="24"/>
                <w:szCs w:val="32"/>
                <w:highlight w:val="none"/>
                <w:lang w:val="en-US" w:eastAsia="zh-CN"/>
              </w:rPr>
            </w:pPr>
          </w:p>
          <w:p>
            <w:pPr>
              <w:spacing w:line="360" w:lineRule="auto"/>
              <w:ind w:firstLine="480" w:firstLineChars="200"/>
              <w:rPr>
                <w:rFonts w:hint="eastAsia"/>
                <w:sz w:val="24"/>
                <w:szCs w:val="32"/>
                <w:highlight w:val="none"/>
                <w:lang w:val="en-US" w:eastAsia="zh-CN"/>
              </w:rPr>
            </w:pPr>
          </w:p>
          <w:p>
            <w:pPr>
              <w:spacing w:line="360" w:lineRule="auto"/>
              <w:ind w:firstLine="480" w:firstLineChars="200"/>
              <w:rPr>
                <w:rFonts w:hint="eastAsia"/>
                <w:sz w:val="24"/>
                <w:szCs w:val="32"/>
                <w:highlight w:val="none"/>
                <w:lang w:val="en-US" w:eastAsia="zh-CN"/>
              </w:rPr>
            </w:pPr>
          </w:p>
          <w:p>
            <w:pPr>
              <w:spacing w:line="360" w:lineRule="auto"/>
              <w:ind w:firstLine="480" w:firstLineChars="200"/>
              <w:rPr>
                <w:rFonts w:hint="default" w:eastAsia="宋体"/>
                <w:sz w:val="24"/>
                <w:szCs w:val="32"/>
                <w:highlight w:val="none"/>
                <w:lang w:val="en-US" w:eastAsia="zh-CN"/>
              </w:rPr>
            </w:pPr>
          </w:p>
          <w:p>
            <w:pPr>
              <w:rPr>
                <w:highlight w:val="none"/>
              </w:rPr>
            </w:pPr>
          </w:p>
        </w:tc>
      </w:tr>
    </w:tbl>
    <w:p>
      <w:pPr>
        <w:pStyle w:val="38"/>
        <w:spacing w:after="0" w:line="240" w:lineRule="auto"/>
        <w:ind w:left="0"/>
        <w:rPr>
          <w:b/>
          <w:bCs/>
          <w:color w:val="auto"/>
          <w:sz w:val="24"/>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lang w:val="zh-CN"/>
        </w:rPr>
      </w:pPr>
      <w:bookmarkStart w:id="5" w:name="_Toc3905047"/>
      <w:r>
        <w:rPr>
          <w:b/>
          <w:color w:val="000000"/>
          <w:sz w:val="24"/>
          <w:lang w:val="zh-CN"/>
        </w:rPr>
        <w:t>表</w:t>
      </w:r>
      <w:r>
        <w:rPr>
          <w:b/>
          <w:color w:val="000000"/>
          <w:sz w:val="24"/>
        </w:rPr>
        <w:t>七</w:t>
      </w:r>
      <w:r>
        <w:rPr>
          <w:b/>
          <w:color w:val="000000"/>
          <w:sz w:val="24"/>
          <w:lang w:val="zh-CN"/>
        </w:rPr>
        <w:t>、验收监测内容</w:t>
      </w:r>
      <w:bookmarkEnd w:id="5"/>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9" w:hRule="atLeast"/>
          <w:jc w:val="center"/>
        </w:trPr>
        <w:tc>
          <w:tcPr>
            <w:tcW w:w="8929" w:type="dxa"/>
            <w:tcBorders>
              <w:tl2br w:val="nil"/>
              <w:tr2bl w:val="nil"/>
            </w:tcBorders>
            <w:vAlign w:val="top"/>
          </w:tcPr>
          <w:p>
            <w:pPr>
              <w:widowControl/>
              <w:adjustRightInd w:val="0"/>
              <w:snapToGrid w:val="0"/>
              <w:spacing w:line="360" w:lineRule="auto"/>
              <w:ind w:firstLine="480" w:firstLineChars="200"/>
              <w:jc w:val="left"/>
              <w:rPr>
                <w:b w:val="0"/>
                <w:bCs w:val="0"/>
                <w:color w:val="auto"/>
                <w:sz w:val="24"/>
              </w:rPr>
            </w:pPr>
            <w:r>
              <w:rPr>
                <w:rFonts w:hint="eastAsia"/>
                <w:b w:val="0"/>
                <w:bCs w:val="0"/>
                <w:color w:val="auto"/>
                <w:sz w:val="24"/>
              </w:rPr>
              <w:t>本次验收是对</w:t>
            </w:r>
            <w:r>
              <w:rPr>
                <w:rFonts w:hint="eastAsia"/>
                <w:b w:val="0"/>
                <w:bCs w:val="0"/>
                <w:color w:val="auto"/>
                <w:sz w:val="24"/>
                <w:lang w:eastAsia="zh-CN"/>
              </w:rPr>
              <w:t>吴江华茂新型建材有限公司“2018-320509-41-03-577948年产非承重普通混凝土空心砖6万平方米、混凝土实心砖3万平方米生产技术改造项目”</w:t>
            </w:r>
            <w:r>
              <w:rPr>
                <w:rFonts w:hint="eastAsia"/>
                <w:b w:val="0"/>
                <w:bCs w:val="0"/>
                <w:color w:val="auto"/>
                <w:sz w:val="24"/>
              </w:rPr>
              <w:t>进行验收，该项目位于</w:t>
            </w:r>
            <w:r>
              <w:rPr>
                <w:rFonts w:hint="eastAsia"/>
                <w:b w:val="0"/>
                <w:bCs w:val="0"/>
                <w:color w:val="auto"/>
                <w:sz w:val="24"/>
                <w:lang w:eastAsia="zh-CN"/>
              </w:rPr>
              <w:t>苏州市吴江区桃源镇青云大道588号</w:t>
            </w:r>
            <w:r>
              <w:rPr>
                <w:rFonts w:hint="eastAsia"/>
                <w:b w:val="0"/>
                <w:bCs w:val="0"/>
                <w:color w:val="auto"/>
                <w:sz w:val="24"/>
              </w:rPr>
              <w:t>。厂区雨污分离，本项目</w:t>
            </w:r>
            <w:r>
              <w:rPr>
                <w:rFonts w:hint="eastAsia"/>
                <w:b w:val="0"/>
                <w:bCs w:val="0"/>
                <w:color w:val="auto"/>
                <w:sz w:val="24"/>
                <w:lang w:val="en-US" w:eastAsia="zh-CN"/>
              </w:rPr>
              <w:t>仅</w:t>
            </w:r>
            <w:r>
              <w:rPr>
                <w:rFonts w:hint="eastAsia"/>
                <w:b w:val="0"/>
                <w:bCs w:val="0"/>
                <w:color w:val="auto"/>
                <w:sz w:val="24"/>
              </w:rPr>
              <w:t>有生活污水产生，经市政管网排入</w:t>
            </w:r>
            <w:r>
              <w:rPr>
                <w:rFonts w:hint="eastAsia"/>
                <w:b w:val="0"/>
                <w:bCs w:val="0"/>
                <w:color w:val="auto"/>
                <w:sz w:val="24"/>
                <w:lang w:val="en-US" w:eastAsia="zh-CN"/>
              </w:rPr>
              <w:t>苏州市吴江桃源生活污水处理有限公司</w:t>
            </w:r>
            <w:r>
              <w:rPr>
                <w:rFonts w:hint="eastAsia"/>
                <w:b w:val="0"/>
                <w:bCs w:val="0"/>
                <w:color w:val="auto"/>
                <w:sz w:val="24"/>
              </w:rPr>
              <w:t>处理。本次验收监测主要为有组织废气、无组织废气、厂界噪声</w:t>
            </w:r>
            <w:r>
              <w:rPr>
                <w:rFonts w:hint="eastAsia"/>
                <w:b w:val="0"/>
                <w:bCs w:val="0"/>
                <w:color w:val="auto"/>
                <w:sz w:val="24"/>
                <w:lang w:val="en-US" w:eastAsia="zh-CN"/>
              </w:rPr>
              <w:t>及废水</w:t>
            </w:r>
            <w:r>
              <w:rPr>
                <w:rFonts w:hint="eastAsia"/>
                <w:b w:val="0"/>
                <w:bCs w:val="0"/>
                <w:color w:val="auto"/>
                <w:sz w:val="24"/>
              </w:rPr>
              <w:t>。本项目验收监测内容见表7-1。</w:t>
            </w:r>
          </w:p>
          <w:p>
            <w:pPr>
              <w:widowControl/>
              <w:adjustRightInd w:val="0"/>
              <w:snapToGrid w:val="0"/>
              <w:ind w:firstLine="422" w:firstLineChars="200"/>
              <w:jc w:val="center"/>
              <w:rPr>
                <w:b/>
                <w:szCs w:val="21"/>
              </w:rPr>
            </w:pPr>
            <w:r>
              <w:rPr>
                <w:b/>
                <w:szCs w:val="21"/>
              </w:rPr>
              <w:t>表7-1验收监测内容表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04"/>
              <w:gridCol w:w="877"/>
              <w:gridCol w:w="2795"/>
              <w:gridCol w:w="1435"/>
              <w:gridCol w:w="2480"/>
              <w:gridCol w:w="199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1281" w:type="dxa"/>
                  <w:gridSpan w:val="2"/>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类别</w:t>
                  </w:r>
                </w:p>
              </w:tc>
              <w:tc>
                <w:tcPr>
                  <w:tcW w:w="2795"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监测点位</w:t>
                  </w:r>
                </w:p>
              </w:tc>
              <w:tc>
                <w:tcPr>
                  <w:tcW w:w="1435"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监测编号</w:t>
                  </w:r>
                </w:p>
              </w:tc>
              <w:tc>
                <w:tcPr>
                  <w:tcW w:w="2480"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监测项目</w:t>
                  </w:r>
                </w:p>
              </w:tc>
              <w:tc>
                <w:tcPr>
                  <w:tcW w:w="1998"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监测频次</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1281" w:type="dxa"/>
                  <w:gridSpan w:val="2"/>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lang w:val="en-US" w:eastAsia="zh-CN"/>
                    </w:rPr>
                    <w:t>废水</w:t>
                  </w:r>
                </w:p>
              </w:tc>
              <w:tc>
                <w:tcPr>
                  <w:tcW w:w="2795" w:type="dxa"/>
                  <w:tcBorders>
                    <w:tl2br w:val="nil"/>
                    <w:tr2bl w:val="nil"/>
                  </w:tcBorders>
                  <w:vAlign w:val="center"/>
                </w:tcPr>
                <w:p>
                  <w:pPr>
                    <w:widowControl/>
                    <w:adjustRightInd w:val="0"/>
                    <w:snapToGrid w:val="0"/>
                    <w:spacing w:line="240" w:lineRule="auto"/>
                    <w:jc w:val="center"/>
                    <w:rPr>
                      <w:rFonts w:hint="default" w:eastAsia="宋体"/>
                      <w:b w:val="0"/>
                      <w:bCs/>
                      <w:sz w:val="18"/>
                      <w:szCs w:val="18"/>
                      <w:lang w:val="en-US" w:eastAsia="zh-CN"/>
                    </w:rPr>
                  </w:pPr>
                  <w:r>
                    <w:rPr>
                      <w:rFonts w:hint="eastAsia"/>
                      <w:b w:val="0"/>
                      <w:bCs/>
                      <w:sz w:val="18"/>
                      <w:szCs w:val="18"/>
                      <w:lang w:val="en-US" w:eastAsia="zh-CN"/>
                    </w:rPr>
                    <w:t>污水总排口S1</w:t>
                  </w:r>
                </w:p>
              </w:tc>
              <w:tc>
                <w:tcPr>
                  <w:tcW w:w="1435" w:type="dxa"/>
                  <w:tcBorders>
                    <w:tl2br w:val="nil"/>
                    <w:tr2bl w:val="nil"/>
                  </w:tcBorders>
                  <w:vAlign w:val="center"/>
                </w:tcPr>
                <w:p>
                  <w:pPr>
                    <w:widowControl/>
                    <w:adjustRightInd w:val="0"/>
                    <w:snapToGrid w:val="0"/>
                    <w:spacing w:line="240" w:lineRule="auto"/>
                    <w:jc w:val="center"/>
                    <w:rPr>
                      <w:rFonts w:hint="default" w:eastAsia="宋体"/>
                      <w:b w:val="0"/>
                      <w:bCs/>
                      <w:sz w:val="18"/>
                      <w:szCs w:val="18"/>
                      <w:lang w:val="en-US" w:eastAsia="zh-CN"/>
                    </w:rPr>
                  </w:pPr>
                  <w:r>
                    <w:rPr>
                      <w:rFonts w:hint="eastAsia"/>
                      <w:b w:val="0"/>
                      <w:bCs/>
                      <w:sz w:val="18"/>
                      <w:szCs w:val="18"/>
                      <w:lang w:val="en-US" w:eastAsia="zh-CN"/>
                    </w:rPr>
                    <w:t>/</w:t>
                  </w:r>
                </w:p>
              </w:tc>
              <w:tc>
                <w:tcPr>
                  <w:tcW w:w="2480" w:type="dxa"/>
                  <w:tcBorders>
                    <w:tl2br w:val="nil"/>
                    <w:tr2bl w:val="nil"/>
                  </w:tcBorders>
                  <w:vAlign w:val="center"/>
                </w:tcPr>
                <w:p>
                  <w:pPr>
                    <w:widowControl/>
                    <w:adjustRightInd w:val="0"/>
                    <w:snapToGrid w:val="0"/>
                    <w:spacing w:line="240" w:lineRule="auto"/>
                    <w:jc w:val="center"/>
                    <w:rPr>
                      <w:rFonts w:hint="eastAsia"/>
                      <w:b w:val="0"/>
                      <w:bCs/>
                      <w:sz w:val="18"/>
                      <w:szCs w:val="18"/>
                      <w:lang w:val="en-US" w:eastAsia="zh-CN"/>
                    </w:rPr>
                  </w:pPr>
                  <w:r>
                    <w:rPr>
                      <w:rFonts w:hint="eastAsia"/>
                      <w:b w:val="0"/>
                      <w:bCs/>
                      <w:sz w:val="18"/>
                      <w:szCs w:val="18"/>
                      <w:lang w:val="en-US" w:eastAsia="zh-CN"/>
                    </w:rPr>
                    <w:t>pH值、悬浮物、化学需氧量、氨氮、总磷、总氮</w:t>
                  </w:r>
                </w:p>
              </w:tc>
              <w:tc>
                <w:tcPr>
                  <w:tcW w:w="1998"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rPr>
                    <w:t>2个周期，4次/周期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404" w:type="dxa"/>
                  <w:vMerge w:val="restart"/>
                  <w:tcBorders>
                    <w:tl2br w:val="nil"/>
                    <w:tr2bl w:val="nil"/>
                  </w:tcBorders>
                  <w:vAlign w:val="center"/>
                </w:tcPr>
                <w:p>
                  <w:pPr>
                    <w:widowControl/>
                    <w:adjustRightInd w:val="0"/>
                    <w:snapToGrid w:val="0"/>
                    <w:spacing w:line="240" w:lineRule="auto"/>
                    <w:jc w:val="center"/>
                    <w:rPr>
                      <w:rFonts w:hint="eastAsia" w:eastAsia="宋体"/>
                      <w:b w:val="0"/>
                      <w:bCs/>
                      <w:sz w:val="18"/>
                      <w:szCs w:val="18"/>
                      <w:lang w:val="en-US" w:eastAsia="zh-CN"/>
                    </w:rPr>
                  </w:pPr>
                  <w:r>
                    <w:rPr>
                      <w:rFonts w:hint="eastAsia"/>
                      <w:b w:val="0"/>
                      <w:bCs/>
                      <w:sz w:val="18"/>
                      <w:szCs w:val="18"/>
                      <w:lang w:val="en-US" w:eastAsia="zh-CN"/>
                    </w:rPr>
                    <w:t>废气</w:t>
                  </w:r>
                </w:p>
              </w:tc>
              <w:tc>
                <w:tcPr>
                  <w:tcW w:w="877" w:type="dxa"/>
                  <w:tcBorders>
                    <w:tl2br w:val="nil"/>
                    <w:tr2bl w:val="nil"/>
                  </w:tcBorders>
                  <w:vAlign w:val="center"/>
                </w:tcPr>
                <w:p>
                  <w:pPr>
                    <w:widowControl/>
                    <w:adjustRightInd w:val="0"/>
                    <w:snapToGrid w:val="0"/>
                    <w:spacing w:line="240" w:lineRule="auto"/>
                    <w:jc w:val="center"/>
                    <w:rPr>
                      <w:rFonts w:hint="default" w:eastAsia="宋体"/>
                      <w:b w:val="0"/>
                      <w:bCs/>
                      <w:sz w:val="18"/>
                      <w:szCs w:val="18"/>
                      <w:lang w:val="en-US" w:eastAsia="zh-CN"/>
                    </w:rPr>
                  </w:pPr>
                  <w:r>
                    <w:rPr>
                      <w:rFonts w:hint="eastAsia"/>
                      <w:b w:val="0"/>
                      <w:bCs/>
                      <w:sz w:val="18"/>
                      <w:szCs w:val="18"/>
                      <w:lang w:val="en-US" w:eastAsia="zh-CN"/>
                    </w:rPr>
                    <w:t>有组织废气</w:t>
                  </w:r>
                </w:p>
              </w:tc>
              <w:tc>
                <w:tcPr>
                  <w:tcW w:w="2795" w:type="dxa"/>
                  <w:tcBorders>
                    <w:tl2br w:val="nil"/>
                    <w:tr2bl w:val="nil"/>
                  </w:tcBorders>
                  <w:vAlign w:val="center"/>
                </w:tcPr>
                <w:p>
                  <w:pPr>
                    <w:widowControl/>
                    <w:adjustRightInd w:val="0"/>
                    <w:snapToGrid w:val="0"/>
                    <w:spacing w:line="240" w:lineRule="auto"/>
                    <w:jc w:val="center"/>
                    <w:rPr>
                      <w:rFonts w:hint="default"/>
                      <w:b w:val="0"/>
                      <w:bCs/>
                      <w:sz w:val="18"/>
                      <w:szCs w:val="18"/>
                      <w:lang w:val="en-US"/>
                    </w:rPr>
                  </w:pPr>
                  <w:r>
                    <w:rPr>
                      <w:rFonts w:hint="eastAsia"/>
                      <w:b w:val="0"/>
                      <w:bCs/>
                      <w:sz w:val="18"/>
                      <w:szCs w:val="18"/>
                      <w:lang w:val="en-US" w:eastAsia="zh-CN"/>
                    </w:rPr>
                    <w:t>排气筒1#</w:t>
                  </w:r>
                </w:p>
              </w:tc>
              <w:tc>
                <w:tcPr>
                  <w:tcW w:w="1435"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lang w:val="en-US" w:eastAsia="zh-CN"/>
                    </w:rPr>
                    <w:t>/</w:t>
                  </w:r>
                </w:p>
              </w:tc>
              <w:tc>
                <w:tcPr>
                  <w:tcW w:w="2480" w:type="dxa"/>
                  <w:tcBorders>
                    <w:tl2br w:val="nil"/>
                    <w:tr2bl w:val="nil"/>
                  </w:tcBorders>
                  <w:vAlign w:val="center"/>
                </w:tcPr>
                <w:p>
                  <w:pPr>
                    <w:widowControl/>
                    <w:adjustRightInd w:val="0"/>
                    <w:snapToGrid w:val="0"/>
                    <w:spacing w:line="240" w:lineRule="auto"/>
                    <w:jc w:val="center"/>
                    <w:rPr>
                      <w:rFonts w:hint="eastAsia"/>
                      <w:b w:val="0"/>
                      <w:bCs/>
                      <w:sz w:val="18"/>
                      <w:szCs w:val="18"/>
                      <w:lang w:val="en-US" w:eastAsia="zh-CN"/>
                    </w:rPr>
                  </w:pPr>
                  <w:r>
                    <w:rPr>
                      <w:rFonts w:hint="eastAsia"/>
                      <w:b w:val="0"/>
                      <w:bCs/>
                      <w:sz w:val="18"/>
                      <w:szCs w:val="18"/>
                      <w:lang w:val="en-US" w:eastAsia="zh-CN"/>
                    </w:rPr>
                    <w:t>颗粒物</w:t>
                  </w:r>
                </w:p>
              </w:tc>
              <w:tc>
                <w:tcPr>
                  <w:tcW w:w="1998"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rPr>
                    <w:t>2个周期，3次/周期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404" w:type="dxa"/>
                  <w:vMerge w:val="continue"/>
                  <w:tcBorders>
                    <w:tl2br w:val="nil"/>
                    <w:tr2bl w:val="nil"/>
                  </w:tcBorders>
                  <w:vAlign w:val="center"/>
                </w:tcPr>
                <w:p>
                  <w:pPr>
                    <w:widowControl/>
                    <w:adjustRightInd w:val="0"/>
                    <w:snapToGrid w:val="0"/>
                    <w:spacing w:line="240" w:lineRule="auto"/>
                    <w:jc w:val="center"/>
                    <w:rPr>
                      <w:rFonts w:hint="eastAsia"/>
                      <w:b w:val="0"/>
                      <w:bCs/>
                      <w:sz w:val="18"/>
                      <w:szCs w:val="18"/>
                    </w:rPr>
                  </w:pPr>
                </w:p>
              </w:tc>
              <w:tc>
                <w:tcPr>
                  <w:tcW w:w="877"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b w:val="0"/>
                      <w:bCs/>
                      <w:sz w:val="18"/>
                      <w:szCs w:val="18"/>
                    </w:rPr>
                    <w:t>无组织</w:t>
                  </w:r>
                  <w:r>
                    <w:rPr>
                      <w:rFonts w:hint="eastAsia"/>
                      <w:b w:val="0"/>
                      <w:bCs/>
                      <w:sz w:val="18"/>
                      <w:szCs w:val="18"/>
                    </w:rPr>
                    <w:t>废气</w:t>
                  </w:r>
                </w:p>
              </w:tc>
              <w:tc>
                <w:tcPr>
                  <w:tcW w:w="2795"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b w:val="0"/>
                      <w:bCs/>
                      <w:sz w:val="18"/>
                      <w:szCs w:val="18"/>
                    </w:rPr>
                    <w:t>上风向1个点，下风向3个点</w:t>
                  </w:r>
                </w:p>
              </w:tc>
              <w:tc>
                <w:tcPr>
                  <w:tcW w:w="1435" w:type="dxa"/>
                  <w:tcBorders>
                    <w:tl2br w:val="nil"/>
                    <w:tr2bl w:val="nil"/>
                  </w:tcBorders>
                  <w:vAlign w:val="center"/>
                </w:tcPr>
                <w:p>
                  <w:pPr>
                    <w:widowControl/>
                    <w:adjustRightInd w:val="0"/>
                    <w:snapToGrid w:val="0"/>
                    <w:spacing w:line="240" w:lineRule="auto"/>
                    <w:jc w:val="center"/>
                    <w:rPr>
                      <w:rFonts w:hint="eastAsia" w:eastAsia="宋体"/>
                      <w:b w:val="0"/>
                      <w:bCs/>
                      <w:sz w:val="18"/>
                      <w:szCs w:val="18"/>
                      <w:lang w:val="en-US" w:eastAsia="zh-CN"/>
                    </w:rPr>
                  </w:pPr>
                  <w:r>
                    <w:rPr>
                      <w:rFonts w:hint="eastAsia"/>
                      <w:b w:val="0"/>
                      <w:bCs/>
                      <w:sz w:val="18"/>
                      <w:szCs w:val="18"/>
                      <w:lang w:val="en-US" w:eastAsia="zh-CN"/>
                    </w:rPr>
                    <w:t>/</w:t>
                  </w:r>
                </w:p>
              </w:tc>
              <w:tc>
                <w:tcPr>
                  <w:tcW w:w="2480" w:type="dxa"/>
                  <w:tcBorders>
                    <w:tl2br w:val="nil"/>
                    <w:tr2bl w:val="nil"/>
                  </w:tcBorders>
                  <w:vAlign w:val="center"/>
                </w:tcPr>
                <w:p>
                  <w:pPr>
                    <w:widowControl/>
                    <w:adjustRightInd w:val="0"/>
                    <w:snapToGrid w:val="0"/>
                    <w:spacing w:line="240" w:lineRule="auto"/>
                    <w:jc w:val="center"/>
                    <w:rPr>
                      <w:rFonts w:hint="eastAsia"/>
                      <w:b w:val="0"/>
                      <w:bCs/>
                      <w:sz w:val="18"/>
                      <w:szCs w:val="18"/>
                      <w:lang w:val="en-US" w:eastAsia="zh-CN"/>
                    </w:rPr>
                  </w:pPr>
                  <w:r>
                    <w:rPr>
                      <w:rFonts w:hint="eastAsia"/>
                      <w:b w:val="0"/>
                      <w:bCs/>
                      <w:sz w:val="18"/>
                      <w:szCs w:val="18"/>
                      <w:lang w:val="en-US" w:eastAsia="zh-CN"/>
                    </w:rPr>
                    <w:t>颗粒物</w:t>
                  </w:r>
                </w:p>
              </w:tc>
              <w:tc>
                <w:tcPr>
                  <w:tcW w:w="1998"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rPr>
                    <w:t>2个周期，</w:t>
                  </w:r>
                  <w:r>
                    <w:rPr>
                      <w:rFonts w:hint="eastAsia"/>
                      <w:b w:val="0"/>
                      <w:bCs/>
                      <w:sz w:val="18"/>
                      <w:szCs w:val="18"/>
                      <w:lang w:val="en-US" w:eastAsia="zh-CN"/>
                    </w:rPr>
                    <w:t>4</w:t>
                  </w:r>
                  <w:r>
                    <w:rPr>
                      <w:rFonts w:hint="eastAsia"/>
                      <w:b w:val="0"/>
                      <w:bCs/>
                      <w:sz w:val="18"/>
                      <w:szCs w:val="18"/>
                    </w:rPr>
                    <w:t>次/周期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1281" w:type="dxa"/>
                  <w:gridSpan w:val="2"/>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厂界噪声</w:t>
                  </w:r>
                </w:p>
              </w:tc>
              <w:tc>
                <w:tcPr>
                  <w:tcW w:w="2795"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各厂界四周外各1米</w:t>
                  </w:r>
                </w:p>
              </w:tc>
              <w:tc>
                <w:tcPr>
                  <w:tcW w:w="1435" w:type="dxa"/>
                  <w:tcBorders>
                    <w:tl2br w:val="nil"/>
                    <w:tr2bl w:val="nil"/>
                  </w:tcBorders>
                  <w:vAlign w:val="center"/>
                </w:tcPr>
                <w:p>
                  <w:pPr>
                    <w:widowControl/>
                    <w:adjustRightInd w:val="0"/>
                    <w:snapToGrid w:val="0"/>
                    <w:spacing w:line="240" w:lineRule="auto"/>
                    <w:jc w:val="center"/>
                    <w:rPr>
                      <w:b w:val="0"/>
                      <w:bCs/>
                      <w:sz w:val="18"/>
                      <w:szCs w:val="18"/>
                    </w:rPr>
                  </w:pPr>
                  <w:r>
                    <w:rPr>
                      <w:rFonts w:hint="eastAsia"/>
                      <w:b w:val="0"/>
                      <w:bCs/>
                      <w:sz w:val="18"/>
                      <w:szCs w:val="18"/>
                      <w:lang w:val="en-US" w:eastAsia="zh-CN"/>
                    </w:rPr>
                    <w:t>N</w:t>
                  </w:r>
                  <w:r>
                    <w:rPr>
                      <w:b w:val="0"/>
                      <w:bCs/>
                      <w:sz w:val="18"/>
                      <w:szCs w:val="18"/>
                    </w:rPr>
                    <w:t>1~</w:t>
                  </w:r>
                  <w:r>
                    <w:rPr>
                      <w:rFonts w:hint="eastAsia"/>
                      <w:b w:val="0"/>
                      <w:bCs/>
                      <w:sz w:val="18"/>
                      <w:szCs w:val="18"/>
                      <w:lang w:val="en-US" w:eastAsia="zh-CN"/>
                    </w:rPr>
                    <w:t>N</w:t>
                  </w:r>
                  <w:r>
                    <w:rPr>
                      <w:b w:val="0"/>
                      <w:bCs/>
                      <w:sz w:val="18"/>
                      <w:szCs w:val="18"/>
                    </w:rPr>
                    <w:t>4</w:t>
                  </w:r>
                </w:p>
              </w:tc>
              <w:tc>
                <w:tcPr>
                  <w:tcW w:w="2480"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等效声级</w:t>
                  </w:r>
                </w:p>
              </w:tc>
              <w:tc>
                <w:tcPr>
                  <w:tcW w:w="1998"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2个周期，</w:t>
                  </w:r>
                  <w:r>
                    <w:rPr>
                      <w:rFonts w:hint="eastAsia"/>
                      <w:b w:val="0"/>
                      <w:bCs/>
                      <w:sz w:val="18"/>
                      <w:szCs w:val="18"/>
                      <w:lang w:val="en-US" w:eastAsia="zh-CN"/>
                    </w:rPr>
                    <w:t>昼夜各</w:t>
                  </w:r>
                  <w:r>
                    <w:rPr>
                      <w:b w:val="0"/>
                      <w:bCs/>
                      <w:sz w:val="18"/>
                      <w:szCs w:val="18"/>
                    </w:rPr>
                    <w:t>1次/周期</w:t>
                  </w:r>
                </w:p>
              </w:tc>
            </w:tr>
          </w:tbl>
          <w:p>
            <w:pPr>
              <w:widowControl/>
              <w:adjustRightInd w:val="0"/>
              <w:snapToGrid w:val="0"/>
              <w:spacing w:line="360" w:lineRule="auto"/>
              <w:jc w:val="left"/>
              <w:rPr>
                <w:sz w:val="24"/>
              </w:rPr>
            </w:pPr>
            <w:r>
              <w:rPr>
                <w:sz w:val="24"/>
              </w:rPr>
              <w:t>监测点位见下图：</w:t>
            </w:r>
          </w:p>
          <w:p>
            <w:pPr>
              <w:pStyle w:val="4"/>
              <w:jc w:val="center"/>
              <w:outlineLvl w:val="2"/>
              <w:rPr>
                <w:rFonts w:ascii="Times New Roman" w:hAnsi="Times New Roman"/>
                <w:b w:val="0"/>
                <w:sz w:val="24"/>
                <w:szCs w:val="24"/>
              </w:rPr>
            </w:pPr>
            <w:r>
              <w:drawing>
                <wp:inline distT="0" distB="0" distL="114300" distR="114300">
                  <wp:extent cx="6332855" cy="370395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6332855" cy="3703955"/>
                          </a:xfrm>
                          <a:prstGeom prst="rect">
                            <a:avLst/>
                          </a:prstGeom>
                          <a:noFill/>
                          <a:ln>
                            <a:noFill/>
                          </a:ln>
                        </pic:spPr>
                      </pic:pic>
                    </a:graphicData>
                  </a:graphic>
                </wp:inline>
              </w:drawing>
            </w:r>
          </w:p>
          <w:p>
            <w:pPr>
              <w:adjustRightInd w:val="0"/>
              <w:snapToGrid w:val="0"/>
              <w:spacing w:line="360" w:lineRule="auto"/>
              <w:jc w:val="center"/>
              <w:rPr>
                <w:rFonts w:hint="eastAsia" w:eastAsia="宋体"/>
                <w:b/>
                <w:color w:val="000000"/>
                <w:szCs w:val="21"/>
                <w:lang w:val="en-US" w:eastAsia="zh-CN"/>
              </w:rPr>
            </w:pPr>
            <w:r>
              <w:rPr>
                <w:b/>
                <w:bCs/>
                <w:color w:val="000000"/>
                <w:szCs w:val="21"/>
              </w:rPr>
              <w:t>图7-1</w:t>
            </w:r>
            <w:r>
              <w:rPr>
                <w:rFonts w:hint="eastAsia" w:ascii="宋体" w:hAnsi="宋体" w:cs="宋体"/>
                <w:b/>
                <w:bCs/>
                <w:szCs w:val="21"/>
              </w:rPr>
              <w:t>监测点位示意图</w:t>
            </w:r>
          </w:p>
        </w:tc>
      </w:tr>
    </w:tbl>
    <w:p>
      <w:pPr>
        <w:keepNext/>
        <w:keepLines/>
        <w:widowControl/>
        <w:spacing w:line="360" w:lineRule="auto"/>
        <w:textAlignment w:val="baseline"/>
        <w:outlineLvl w:val="1"/>
        <w:rPr>
          <w:b/>
          <w:sz w:val="24"/>
          <w:highlight w:val="none"/>
        </w:rPr>
      </w:pPr>
      <w:r>
        <w:rPr>
          <w:b/>
          <w:bCs/>
          <w:sz w:val="24"/>
        </w:rPr>
        <w:br w:type="page"/>
      </w:r>
      <w:bookmarkStart w:id="6" w:name="_Toc3905051"/>
      <w:r>
        <w:rPr>
          <w:b/>
          <w:color w:val="000000"/>
          <w:sz w:val="24"/>
          <w:highlight w:val="none"/>
          <w:lang w:val="zh-CN"/>
        </w:rPr>
        <w:t>表</w:t>
      </w:r>
      <w:r>
        <w:rPr>
          <w:b/>
          <w:color w:val="000000"/>
          <w:sz w:val="24"/>
          <w:highlight w:val="none"/>
        </w:rPr>
        <w:t>八</w:t>
      </w:r>
      <w:r>
        <w:rPr>
          <w:b/>
          <w:color w:val="000000"/>
          <w:sz w:val="24"/>
          <w:highlight w:val="none"/>
          <w:lang w:val="zh-CN"/>
        </w:rPr>
        <w:t>、验收监测工况及监测结果</w:t>
      </w:r>
      <w:bookmarkEnd w:id="6"/>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10205" w:type="dxa"/>
            <w:tcBorders>
              <w:tl2br w:val="nil"/>
              <w:tr2bl w:val="nil"/>
            </w:tcBorders>
            <w:vAlign w:val="top"/>
          </w:tcPr>
          <w:p>
            <w:pPr>
              <w:spacing w:line="360" w:lineRule="auto"/>
              <w:rPr>
                <w:b/>
                <w:sz w:val="24"/>
              </w:rPr>
            </w:pPr>
            <w:r>
              <w:rPr>
                <w:b/>
                <w:sz w:val="24"/>
              </w:rPr>
              <w:t>验收监测期间生产工况记录：</w:t>
            </w:r>
          </w:p>
          <w:p>
            <w:pPr>
              <w:spacing w:line="360" w:lineRule="auto"/>
              <w:ind w:firstLine="480" w:firstLineChars="200"/>
              <w:rPr>
                <w:sz w:val="24"/>
              </w:rPr>
            </w:pPr>
            <w:r>
              <w:rPr>
                <w:rFonts w:hint="eastAsia"/>
                <w:sz w:val="24"/>
              </w:rPr>
              <w:t>20</w:t>
            </w:r>
            <w:r>
              <w:rPr>
                <w:rFonts w:hint="eastAsia"/>
                <w:sz w:val="24"/>
                <w:lang w:val="en-US" w:eastAsia="zh-CN"/>
              </w:rPr>
              <w:t>22</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13</w:t>
            </w:r>
            <w:r>
              <w:rPr>
                <w:rFonts w:hint="eastAsia"/>
                <w:sz w:val="24"/>
              </w:rPr>
              <w:t>日～</w:t>
            </w:r>
            <w:r>
              <w:rPr>
                <w:rFonts w:hint="eastAsia"/>
                <w:sz w:val="24"/>
                <w:lang w:val="en-US" w:eastAsia="zh-CN"/>
              </w:rPr>
              <w:t>1</w:t>
            </w:r>
            <w:r>
              <w:rPr>
                <w:rFonts w:hint="eastAsia"/>
                <w:sz w:val="24"/>
              </w:rPr>
              <w:t>月</w:t>
            </w:r>
            <w:r>
              <w:rPr>
                <w:rFonts w:hint="eastAsia"/>
                <w:sz w:val="24"/>
                <w:lang w:val="en-US" w:eastAsia="zh-CN"/>
              </w:rPr>
              <w:t>14</w:t>
            </w:r>
            <w:r>
              <w:rPr>
                <w:rFonts w:hint="eastAsia"/>
                <w:sz w:val="24"/>
              </w:rPr>
              <w:t>日</w:t>
            </w:r>
            <w:r>
              <w:rPr>
                <w:rFonts w:hint="eastAsia"/>
                <w:sz w:val="24"/>
                <w:lang w:eastAsia="zh-CN"/>
              </w:rPr>
              <w:t>、</w:t>
            </w:r>
            <w:r>
              <w:rPr>
                <w:rFonts w:hint="eastAsia"/>
                <w:sz w:val="24"/>
              </w:rPr>
              <w:t>20</w:t>
            </w:r>
            <w:r>
              <w:rPr>
                <w:rFonts w:hint="eastAsia"/>
                <w:sz w:val="24"/>
                <w:lang w:val="en-US" w:eastAsia="zh-CN"/>
              </w:rPr>
              <w:t>22</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21</w:t>
            </w:r>
            <w:r>
              <w:rPr>
                <w:rFonts w:hint="eastAsia"/>
                <w:sz w:val="24"/>
              </w:rPr>
              <w:t>日～</w:t>
            </w:r>
            <w:r>
              <w:rPr>
                <w:rFonts w:hint="eastAsia"/>
                <w:sz w:val="24"/>
                <w:lang w:val="en-US" w:eastAsia="zh-CN"/>
              </w:rPr>
              <w:t>2</w:t>
            </w:r>
            <w:r>
              <w:rPr>
                <w:rFonts w:hint="eastAsia"/>
                <w:sz w:val="24"/>
              </w:rPr>
              <w:t>月</w:t>
            </w:r>
            <w:r>
              <w:rPr>
                <w:rFonts w:hint="eastAsia"/>
                <w:sz w:val="24"/>
                <w:lang w:val="en-US" w:eastAsia="zh-CN"/>
              </w:rPr>
              <w:t>22</w:t>
            </w:r>
            <w:r>
              <w:rPr>
                <w:rFonts w:hint="eastAsia"/>
                <w:sz w:val="24"/>
              </w:rPr>
              <w:t>日</w:t>
            </w:r>
            <w:r>
              <w:rPr>
                <w:rFonts w:hint="eastAsia"/>
                <w:sz w:val="24"/>
                <w:lang w:eastAsia="zh-CN"/>
              </w:rPr>
              <w:t>苏州华瑞环境检测有限公司</w:t>
            </w:r>
            <w:r>
              <w:rPr>
                <w:rFonts w:hint="eastAsia"/>
                <w:sz w:val="24"/>
              </w:rPr>
              <w:t>对</w:t>
            </w:r>
            <w:r>
              <w:rPr>
                <w:rFonts w:hint="eastAsia"/>
                <w:sz w:val="24"/>
                <w:lang w:eastAsia="zh-CN"/>
              </w:rPr>
              <w:t>吴江华茂新型建材有限公司2018-320509-41-03-577948年产非承重普通混凝土空心砖6万平方米、混凝土实心砖3万平方米生产技术改造项目</w:t>
            </w:r>
            <w:r>
              <w:rPr>
                <w:rFonts w:hint="eastAsia"/>
                <w:sz w:val="24"/>
              </w:rPr>
              <w:t>进行验收监测。验收监测期间，各项设备及环保治理设施均处于正常运行。</w:t>
            </w:r>
          </w:p>
          <w:p>
            <w:pPr>
              <w:jc w:val="center"/>
            </w:pPr>
            <w:r>
              <w:rPr>
                <w:b/>
                <w:bCs/>
                <w:szCs w:val="21"/>
              </w:rPr>
              <w:t>表8-1</w:t>
            </w:r>
            <w:r>
              <w:rPr>
                <w:rFonts w:hint="eastAsia"/>
                <w:b/>
                <w:bCs/>
                <w:szCs w:val="21"/>
                <w:lang w:val="en-US" w:eastAsia="zh-CN"/>
              </w:rPr>
              <w:t xml:space="preserve"> </w:t>
            </w:r>
            <w:r>
              <w:rPr>
                <w:rFonts w:hint="eastAsia"/>
                <w:b/>
                <w:bCs/>
                <w:szCs w:val="21"/>
              </w:rPr>
              <w:t>验收监测期间工况/负荷/生产能力表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17"/>
              <w:gridCol w:w="1695"/>
              <w:gridCol w:w="1733"/>
              <w:gridCol w:w="1425"/>
              <w:gridCol w:w="2671"/>
              <w:gridCol w:w="124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监测日期</w:t>
                  </w:r>
                </w:p>
              </w:tc>
              <w:tc>
                <w:tcPr>
                  <w:tcW w:w="1695"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产品名称规格</w:t>
                  </w:r>
                </w:p>
              </w:tc>
              <w:tc>
                <w:tcPr>
                  <w:tcW w:w="1733"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环评</w:t>
                  </w:r>
                  <w:r>
                    <w:rPr>
                      <w:rFonts w:hint="default" w:ascii="Times New Roman" w:hAnsi="Times New Roman" w:cs="Times New Roman"/>
                      <w:sz w:val="18"/>
                      <w:szCs w:val="18"/>
                    </w:rPr>
                    <w:t>年设计能力</w:t>
                  </w:r>
                </w:p>
              </w:tc>
              <w:tc>
                <w:tcPr>
                  <w:tcW w:w="1425"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生产天数（天）</w:t>
                  </w:r>
                </w:p>
              </w:tc>
              <w:tc>
                <w:tcPr>
                  <w:tcW w:w="2671"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验收监测期间生产能力</w:t>
                  </w:r>
                </w:p>
              </w:tc>
              <w:tc>
                <w:tcPr>
                  <w:tcW w:w="1248"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生产</w:t>
                  </w:r>
                  <w:r>
                    <w:rPr>
                      <w:rFonts w:hint="default" w:ascii="Times New Roman" w:hAnsi="Times New Roman" w:cs="Times New Roman"/>
                      <w:sz w:val="18"/>
                      <w:szCs w:val="18"/>
                    </w:rPr>
                    <w:t>负荷</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restart"/>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bookmarkStart w:id="7" w:name="_Hlk33381865"/>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3</w:t>
                  </w: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非承重普通混凝土空心砖</w:t>
                  </w:r>
                </w:p>
              </w:tc>
              <w:tc>
                <w:tcPr>
                  <w:tcW w:w="1733"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6万平方米</w:t>
                  </w:r>
                </w:p>
              </w:tc>
              <w:tc>
                <w:tcPr>
                  <w:tcW w:w="142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300</w:t>
                  </w:r>
                </w:p>
              </w:tc>
              <w:tc>
                <w:tcPr>
                  <w:tcW w:w="2671"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195</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97.5</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continue"/>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混凝土实心砖</w:t>
                  </w:r>
                </w:p>
              </w:tc>
              <w:tc>
                <w:tcPr>
                  <w:tcW w:w="1733"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3万平方米</w:t>
                  </w:r>
                </w:p>
              </w:tc>
              <w:tc>
                <w:tcPr>
                  <w:tcW w:w="1425" w:type="dxa"/>
                  <w:tcBorders>
                    <w:tl2br w:val="nil"/>
                    <w:tr2bl w:val="nil"/>
                  </w:tcBorders>
                  <w:vAlign w:val="center"/>
                </w:tcPr>
                <w:p>
                  <w:pPr>
                    <w:pStyle w:val="12"/>
                    <w:jc w:val="center"/>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auto"/>
                      <w:sz w:val="18"/>
                      <w:szCs w:val="18"/>
                      <w:lang w:val="en-US" w:eastAsia="zh-CN"/>
                    </w:rPr>
                    <w:t>300</w:t>
                  </w:r>
                </w:p>
              </w:tc>
              <w:tc>
                <w:tcPr>
                  <w:tcW w:w="2671"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91</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9</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restart"/>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2.1</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4</w:t>
                  </w: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非承重普通混凝土空心砖</w:t>
                  </w:r>
                </w:p>
              </w:tc>
              <w:tc>
                <w:tcPr>
                  <w:tcW w:w="1733" w:type="dxa"/>
                  <w:tcBorders>
                    <w:tl2br w:val="nil"/>
                    <w:tr2bl w:val="nil"/>
                  </w:tcBorders>
                  <w:vAlign w:val="center"/>
                </w:tcPr>
                <w:p>
                  <w:pPr>
                    <w:pStyle w:val="12"/>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6万平方米</w:t>
                  </w:r>
                </w:p>
              </w:tc>
              <w:tc>
                <w:tcPr>
                  <w:tcW w:w="142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300</w:t>
                  </w:r>
                </w:p>
              </w:tc>
              <w:tc>
                <w:tcPr>
                  <w:tcW w:w="2671" w:type="dxa"/>
                  <w:tcBorders>
                    <w:tl2br w:val="nil"/>
                    <w:tr2bl w:val="nil"/>
                  </w:tcBorders>
                  <w:vAlign w:val="center"/>
                </w:tcPr>
                <w:p>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180</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90</w:t>
                  </w:r>
                  <w:r>
                    <w:rPr>
                      <w:rFonts w:hint="default" w:ascii="Times New Roman" w:hAnsi="Times New Roman" w:cs="Times New Roman"/>
                      <w:sz w:val="18"/>
                      <w:szCs w:val="18"/>
                      <w:lang w:val="en-US" w:eastAsia="zh-CN"/>
                    </w:rPr>
                    <w:t>%</w:t>
                  </w:r>
                </w:p>
              </w:tc>
            </w:tr>
            <w:bookmarkEnd w:id="7"/>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continue"/>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混凝土实心砖</w:t>
                  </w:r>
                </w:p>
              </w:tc>
              <w:tc>
                <w:tcPr>
                  <w:tcW w:w="1733" w:type="dxa"/>
                  <w:tcBorders>
                    <w:tl2br w:val="nil"/>
                    <w:tr2bl w:val="nil"/>
                  </w:tcBorders>
                  <w:vAlign w:val="center"/>
                </w:tcPr>
                <w:p>
                  <w:pPr>
                    <w:pStyle w:val="12"/>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3万平方米</w:t>
                  </w:r>
                </w:p>
              </w:tc>
              <w:tc>
                <w:tcPr>
                  <w:tcW w:w="1425" w:type="dxa"/>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300</w:t>
                  </w:r>
                </w:p>
              </w:tc>
              <w:tc>
                <w:tcPr>
                  <w:tcW w:w="2671" w:type="dxa"/>
                  <w:tcBorders>
                    <w:tl2br w:val="nil"/>
                    <w:tr2bl w:val="nil"/>
                  </w:tcBorders>
                  <w:vAlign w:val="center"/>
                </w:tcPr>
                <w:p>
                  <w:pPr>
                    <w:jc w:val="center"/>
                    <w:rPr>
                      <w:rFonts w:hint="default" w:ascii="Times New Roman" w:hAnsi="Times New Roman" w:cs="Times New Roman"/>
                      <w:sz w:val="18"/>
                      <w:szCs w:val="18"/>
                    </w:rPr>
                  </w:pPr>
                  <w:r>
                    <w:rPr>
                      <w:rFonts w:hint="eastAsia" w:cs="Times New Roman"/>
                      <w:sz w:val="18"/>
                      <w:szCs w:val="18"/>
                      <w:lang w:val="en-US" w:eastAsia="zh-CN"/>
                    </w:rPr>
                    <w:t>87</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87</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restart"/>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2.2</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21</w:t>
                  </w: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非承重普通混凝土空心砖</w:t>
                  </w:r>
                </w:p>
              </w:tc>
              <w:tc>
                <w:tcPr>
                  <w:tcW w:w="1733"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6万平方米</w:t>
                  </w:r>
                </w:p>
              </w:tc>
              <w:tc>
                <w:tcPr>
                  <w:tcW w:w="142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300</w:t>
                  </w:r>
                </w:p>
              </w:tc>
              <w:tc>
                <w:tcPr>
                  <w:tcW w:w="2671" w:type="dxa"/>
                  <w:tcBorders>
                    <w:tl2br w:val="nil"/>
                    <w:tr2bl w:val="nil"/>
                  </w:tcBorders>
                  <w:vAlign w:val="center"/>
                </w:tcPr>
                <w:p>
                  <w:pPr>
                    <w:pStyle w:val="12"/>
                    <w:jc w:val="center"/>
                    <w:rPr>
                      <w:rFonts w:hint="eastAsia" w:cs="Times New Roman"/>
                      <w:sz w:val="18"/>
                      <w:szCs w:val="18"/>
                      <w:lang w:val="en-US" w:eastAsia="zh-CN"/>
                    </w:rPr>
                  </w:pPr>
                  <w:r>
                    <w:rPr>
                      <w:rFonts w:hint="eastAsia" w:ascii="Times New Roman" w:hAnsi="Times New Roman" w:cs="Times New Roman"/>
                      <w:sz w:val="18"/>
                      <w:szCs w:val="18"/>
                      <w:lang w:val="en-US" w:eastAsia="zh-CN"/>
                    </w:rPr>
                    <w:t>176</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88</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continue"/>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混凝土实心砖</w:t>
                  </w:r>
                </w:p>
              </w:tc>
              <w:tc>
                <w:tcPr>
                  <w:tcW w:w="1733"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3万平方米</w:t>
                  </w:r>
                </w:p>
              </w:tc>
              <w:tc>
                <w:tcPr>
                  <w:tcW w:w="142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color w:val="auto"/>
                      <w:sz w:val="18"/>
                      <w:szCs w:val="18"/>
                      <w:lang w:val="en-US" w:eastAsia="zh-CN"/>
                    </w:rPr>
                    <w:t>300</w:t>
                  </w:r>
                </w:p>
              </w:tc>
              <w:tc>
                <w:tcPr>
                  <w:tcW w:w="2671" w:type="dxa"/>
                  <w:tcBorders>
                    <w:tl2br w:val="nil"/>
                    <w:tr2bl w:val="nil"/>
                  </w:tcBorders>
                  <w:vAlign w:val="center"/>
                </w:tcPr>
                <w:p>
                  <w:pPr>
                    <w:jc w:val="center"/>
                    <w:rPr>
                      <w:rFonts w:hint="eastAsia" w:cs="Times New Roman"/>
                      <w:sz w:val="18"/>
                      <w:szCs w:val="18"/>
                      <w:lang w:val="en-US" w:eastAsia="zh-CN"/>
                    </w:rPr>
                  </w:pPr>
                  <w:r>
                    <w:rPr>
                      <w:rFonts w:hint="eastAsia" w:cs="Times New Roman"/>
                      <w:sz w:val="18"/>
                      <w:szCs w:val="18"/>
                      <w:lang w:val="en-US" w:eastAsia="zh-CN"/>
                    </w:rPr>
                    <w:t>93</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default" w:ascii="Times New Roman" w:hAnsi="Times New Roman" w:cs="Times New Roman"/>
                      <w:sz w:val="18"/>
                      <w:szCs w:val="18"/>
                      <w:lang w:val="en-US" w:eastAsia="zh-CN"/>
                    </w:rPr>
                    <w:t>9</w:t>
                  </w: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restart"/>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2.2</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22</w:t>
                  </w: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非承重普通混凝土空心砖</w:t>
                  </w:r>
                </w:p>
              </w:tc>
              <w:tc>
                <w:tcPr>
                  <w:tcW w:w="1733"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6万平方米</w:t>
                  </w:r>
                </w:p>
              </w:tc>
              <w:tc>
                <w:tcPr>
                  <w:tcW w:w="142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300</w:t>
                  </w:r>
                </w:p>
              </w:tc>
              <w:tc>
                <w:tcPr>
                  <w:tcW w:w="2671" w:type="dxa"/>
                  <w:tcBorders>
                    <w:tl2br w:val="nil"/>
                    <w:tr2bl w:val="nil"/>
                  </w:tcBorders>
                  <w:vAlign w:val="center"/>
                </w:tcPr>
                <w:p>
                  <w:pPr>
                    <w:jc w:val="center"/>
                    <w:rPr>
                      <w:rFonts w:hint="eastAsia" w:cs="Times New Roman"/>
                      <w:sz w:val="18"/>
                      <w:szCs w:val="18"/>
                      <w:lang w:val="en-US" w:eastAsia="zh-CN"/>
                    </w:rPr>
                  </w:pPr>
                  <w:r>
                    <w:rPr>
                      <w:rFonts w:hint="eastAsia" w:cs="Times New Roman"/>
                      <w:sz w:val="18"/>
                      <w:szCs w:val="18"/>
                      <w:lang w:val="en-US" w:eastAsia="zh-CN"/>
                    </w:rPr>
                    <w:t>170</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85</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continue"/>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p>
              </w:tc>
              <w:tc>
                <w:tcPr>
                  <w:tcW w:w="1695" w:type="dxa"/>
                  <w:tcBorders>
                    <w:tl2br w:val="nil"/>
                    <w:tr2bl w:val="nil"/>
                  </w:tcBorders>
                  <w:vAlign w:val="center"/>
                </w:tcPr>
                <w:p>
                  <w:pPr>
                    <w:spacing w:before="36" w:beforeLines="15"/>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混凝土实心砖</w:t>
                  </w:r>
                </w:p>
              </w:tc>
              <w:tc>
                <w:tcPr>
                  <w:tcW w:w="1733"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3万平方米</w:t>
                  </w:r>
                </w:p>
              </w:tc>
              <w:tc>
                <w:tcPr>
                  <w:tcW w:w="142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300</w:t>
                  </w:r>
                </w:p>
              </w:tc>
              <w:tc>
                <w:tcPr>
                  <w:tcW w:w="2671" w:type="dxa"/>
                  <w:tcBorders>
                    <w:tl2br w:val="nil"/>
                    <w:tr2bl w:val="nil"/>
                  </w:tcBorders>
                  <w:vAlign w:val="center"/>
                </w:tcPr>
                <w:p>
                  <w:pPr>
                    <w:jc w:val="center"/>
                    <w:rPr>
                      <w:rFonts w:hint="eastAsia" w:cs="Times New Roman"/>
                      <w:sz w:val="18"/>
                      <w:szCs w:val="18"/>
                      <w:lang w:val="en-US" w:eastAsia="zh-CN"/>
                    </w:rPr>
                  </w:pPr>
                  <w:r>
                    <w:rPr>
                      <w:rFonts w:hint="eastAsia" w:cs="Times New Roman"/>
                      <w:sz w:val="18"/>
                      <w:szCs w:val="18"/>
                      <w:lang w:val="en-US" w:eastAsia="zh-CN"/>
                    </w:rPr>
                    <w:t>80</w:t>
                  </w:r>
                  <w:r>
                    <w:rPr>
                      <w:rFonts w:hint="default" w:ascii="Times New Roman" w:hAnsi="Times New Roman" w:cs="Times New Roman"/>
                      <w:sz w:val="18"/>
                      <w:szCs w:val="18"/>
                      <w:lang w:val="en-US" w:eastAsia="zh-CN"/>
                    </w:rPr>
                    <w:t>平方米/天</w:t>
                  </w:r>
                </w:p>
              </w:tc>
              <w:tc>
                <w:tcPr>
                  <w:tcW w:w="1248" w:type="dxa"/>
                  <w:tcBorders>
                    <w:tl2br w:val="nil"/>
                    <w:tr2bl w:val="nil"/>
                  </w:tcBorders>
                  <w:vAlign w:val="center"/>
                </w:tcPr>
                <w:p>
                  <w:pPr>
                    <w:pStyle w:val="12"/>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80</w:t>
                  </w:r>
                  <w:r>
                    <w:rPr>
                      <w:rFonts w:hint="default" w:ascii="Times New Roman" w:hAnsi="Times New Roman" w:cs="Times New Roman"/>
                      <w:sz w:val="18"/>
                      <w:szCs w:val="18"/>
                      <w:lang w:val="en-US" w:eastAsia="zh-CN"/>
                    </w:rPr>
                    <w:t>%</w:t>
                  </w:r>
                </w:p>
              </w:tc>
            </w:tr>
          </w:tbl>
          <w:p>
            <w:pPr>
              <w:pStyle w:val="1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0205" w:type="dxa"/>
            <w:tcBorders>
              <w:tl2br w:val="nil"/>
              <w:tr2bl w:val="nil"/>
            </w:tcBorders>
            <w:vAlign w:val="top"/>
          </w:tcPr>
          <w:p>
            <w:pPr>
              <w:spacing w:line="360" w:lineRule="auto"/>
              <w:rPr>
                <w:b/>
                <w:sz w:val="24"/>
                <w:szCs w:val="24"/>
              </w:rPr>
            </w:pPr>
            <w:r>
              <w:rPr>
                <w:b/>
                <w:sz w:val="24"/>
                <w:szCs w:val="24"/>
              </w:rPr>
              <w:t>验收监测结果：</w:t>
            </w:r>
          </w:p>
          <w:p>
            <w:pPr>
              <w:pStyle w:val="4"/>
              <w:spacing w:line="360" w:lineRule="auto"/>
              <w:jc w:val="both"/>
              <w:outlineLvl w:val="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1、废气</w:t>
            </w:r>
          </w:p>
          <w:p>
            <w:pPr>
              <w:pStyle w:val="4"/>
              <w:spacing w:line="240" w:lineRule="auto"/>
              <w:jc w:val="center"/>
              <w:outlineLvl w:val="2"/>
              <w:rPr>
                <w:rFonts w:ascii="Times New Roman" w:hAnsi="Times New Roman"/>
                <w:sz w:val="21"/>
                <w:szCs w:val="21"/>
              </w:rPr>
            </w:pPr>
            <w:r>
              <w:rPr>
                <w:rFonts w:ascii="Times New Roman" w:hAnsi="Times New Roman"/>
                <w:sz w:val="21"/>
                <w:szCs w:val="21"/>
              </w:rPr>
              <w:t>表8-2</w:t>
            </w:r>
            <w:r>
              <w:rPr>
                <w:rFonts w:hint="eastAsia" w:ascii="Times New Roman" w:hAnsi="Times New Roman"/>
                <w:sz w:val="21"/>
                <w:szCs w:val="21"/>
                <w:lang w:val="en-US" w:eastAsia="zh-CN"/>
              </w:rPr>
              <w:t xml:space="preserve"> </w:t>
            </w:r>
            <w:r>
              <w:rPr>
                <w:rFonts w:hint="eastAsia" w:ascii="Times New Roman" w:hAnsi="Times New Roman"/>
                <w:sz w:val="21"/>
                <w:szCs w:val="21"/>
              </w:rPr>
              <w:t>有</w:t>
            </w:r>
            <w:r>
              <w:rPr>
                <w:rFonts w:ascii="Times New Roman" w:hAnsi="Times New Roman"/>
                <w:sz w:val="21"/>
                <w:szCs w:val="21"/>
              </w:rPr>
              <w:t>组织废气监测结果（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2</w:t>
            </w:r>
            <w:r>
              <w:rPr>
                <w:rFonts w:hint="eastAsia" w:ascii="Times New Roman" w:hAnsi="Times New Roman"/>
                <w:sz w:val="21"/>
                <w:szCs w:val="21"/>
              </w:rPr>
              <w:t>月</w:t>
            </w:r>
            <w:r>
              <w:rPr>
                <w:rFonts w:hint="eastAsia" w:ascii="Times New Roman" w:hAnsi="Times New Roman"/>
                <w:sz w:val="21"/>
                <w:szCs w:val="21"/>
                <w:lang w:val="en-US" w:eastAsia="zh-CN"/>
              </w:rPr>
              <w:t>21</w:t>
            </w:r>
            <w:r>
              <w:rPr>
                <w:rFonts w:hint="eastAsia" w:ascii="Times New Roman" w:hAnsi="Times New Roman"/>
                <w:sz w:val="21"/>
                <w:szCs w:val="21"/>
              </w:rPr>
              <w:t>日</w:t>
            </w:r>
            <w:r>
              <w:rPr>
                <w:rFonts w:hint="eastAsia" w:ascii="Times New Roman" w:hAnsi="Times New Roman"/>
                <w:sz w:val="21"/>
                <w:szCs w:val="21"/>
                <w:lang w:val="en-US" w:eastAsia="zh-CN"/>
              </w:rPr>
              <w:t>~22日</w:t>
            </w:r>
            <w:r>
              <w:rPr>
                <w:rFonts w:ascii="Times New Roman" w:hAnsi="Times New Roman"/>
                <w:sz w:val="21"/>
                <w:szCs w:val="21"/>
              </w:rPr>
              <w:t>）</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121"/>
              <w:gridCol w:w="904"/>
              <w:gridCol w:w="780"/>
              <w:gridCol w:w="1438"/>
              <w:gridCol w:w="32"/>
              <w:gridCol w:w="772"/>
              <w:gridCol w:w="113"/>
              <w:gridCol w:w="521"/>
              <w:gridCol w:w="139"/>
              <w:gridCol w:w="1300"/>
              <w:gridCol w:w="1550"/>
              <w:gridCol w:w="131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监测点位</w:t>
                  </w:r>
                </w:p>
              </w:tc>
              <w:tc>
                <w:tcPr>
                  <w:tcW w:w="3135"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b w:val="0"/>
                      <w:bCs/>
                      <w:sz w:val="18"/>
                      <w:szCs w:val="18"/>
                      <w:lang w:val="en-US" w:eastAsia="zh-CN"/>
                    </w:rPr>
                    <w:t>1</w:t>
                  </w:r>
                  <w:r>
                    <w:rPr>
                      <w:rFonts w:hint="eastAsia"/>
                      <w:b w:val="0"/>
                      <w:bCs/>
                      <w:sz w:val="18"/>
                      <w:szCs w:val="18"/>
                    </w:rPr>
                    <w:t>#</w:t>
                  </w:r>
                  <w:r>
                    <w:rPr>
                      <w:rFonts w:hint="eastAsia"/>
                      <w:b w:val="0"/>
                      <w:bCs/>
                      <w:sz w:val="18"/>
                      <w:szCs w:val="18"/>
                      <w:lang w:val="en-US" w:eastAsia="zh-CN"/>
                    </w:rPr>
                    <w:t>排气筒进口</w:t>
                  </w:r>
                </w:p>
              </w:tc>
              <w:tc>
                <w:tcPr>
                  <w:tcW w:w="1960"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排气筒高度</w:t>
                  </w:r>
                </w:p>
              </w:tc>
              <w:tc>
                <w:tcPr>
                  <w:tcW w:w="2869"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处理设施</w:t>
                  </w:r>
                </w:p>
              </w:tc>
              <w:tc>
                <w:tcPr>
                  <w:tcW w:w="3135"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960"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2869"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21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第一次</w:t>
                  </w:r>
                </w:p>
              </w:tc>
              <w:tc>
                <w:tcPr>
                  <w:tcW w:w="1545" w:type="dxa"/>
                  <w:gridSpan w:val="4"/>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第二次</w:t>
                  </w:r>
                </w:p>
              </w:tc>
              <w:tc>
                <w:tcPr>
                  <w:tcW w:w="1300"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第三次</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均值</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烟道截面积</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2</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color w:val="auto"/>
                      <w:sz w:val="18"/>
                      <w:szCs w:val="18"/>
                      <w:lang w:val="en-US" w:eastAsia="zh-CN"/>
                    </w:rPr>
                  </w:pPr>
                  <w:r>
                    <w:rPr>
                      <w:rFonts w:hint="eastAsia" w:ascii="Times New Roman" w:hAnsi="Times New Roman" w:eastAsia="宋体" w:cs="宋体"/>
                      <w:color w:val="auto"/>
                      <w:sz w:val="18"/>
                      <w:szCs w:val="18"/>
                      <w:lang w:val="en-US" w:eastAsia="zh-CN"/>
                    </w:rPr>
                    <w:t>0.1963</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大气压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kPa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103.46</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烟温</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sz w:val="18"/>
                      <w:szCs w:val="18"/>
                      <w:lang w:val="en-US" w:eastAsia="zh-CN"/>
                    </w:rPr>
                    <w:t>9.0</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动压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sz w:val="18"/>
                      <w:szCs w:val="18"/>
                      <w:lang w:val="en-US" w:eastAsia="zh-CN"/>
                    </w:rPr>
                    <w:t>133</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静压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k</w:t>
                  </w:r>
                  <w:r>
                    <w:rPr>
                      <w:rFonts w:hint="eastAsia" w:ascii="Times New Roman" w:hAnsi="Times New Roman" w:eastAsia="宋体"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sz w:val="18"/>
                      <w:szCs w:val="18"/>
                      <w:lang w:val="en-US" w:eastAsia="zh-CN"/>
                    </w:rPr>
                    <w:t>-1.25</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含湿量</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sz w:val="18"/>
                      <w:szCs w:val="18"/>
                      <w:lang w:val="en-US" w:eastAsia="zh-CN"/>
                    </w:rPr>
                    <w:t>2.4</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流速</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m/s</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sz w:val="18"/>
                      <w:szCs w:val="18"/>
                      <w:lang w:val="en-US" w:eastAsia="zh-CN"/>
                    </w:rPr>
                    <w:t>12.0</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烟气流量（标况）</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3</w:t>
                  </w:r>
                  <w:r>
                    <w:rPr>
                      <w:rFonts w:hint="eastAsia" w:ascii="Times New Roman" w:hAnsi="Times New Roman" w:eastAsia="宋体" w:cs="宋体"/>
                      <w:sz w:val="18"/>
                      <w:szCs w:val="18"/>
                    </w:rPr>
                    <w:t>/h</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sz w:val="18"/>
                      <w:szCs w:val="18"/>
                      <w:lang w:val="en-US" w:eastAsia="zh-CN"/>
                    </w:rPr>
                    <w:t>8051</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restart"/>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颗粒物</w:t>
                  </w: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排放</w:t>
                  </w:r>
                  <w:r>
                    <w:rPr>
                      <w:rFonts w:hint="eastAsia" w:ascii="Times New Roman" w:hAnsi="Times New Roman" w:eastAsia="宋体" w:cs="宋体"/>
                      <w:sz w:val="18"/>
                      <w:szCs w:val="18"/>
                    </w:rPr>
                    <w:t>浓度</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mg/m</w:t>
                  </w:r>
                  <w:r>
                    <w:rPr>
                      <w:rFonts w:hint="eastAsia" w:ascii="Times New Roman" w:hAnsi="Times New Roman" w:eastAsia="宋体" w:cs="宋体"/>
                      <w:kern w:val="0"/>
                      <w:sz w:val="18"/>
                      <w:szCs w:val="18"/>
                      <w:vertAlign w:val="superscript"/>
                      <w:lang w:val="en-US" w:eastAsia="zh-CN" w:bidi="ar-SA"/>
                    </w:rPr>
                    <w:t>3</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545" w:type="dxa"/>
                  <w:gridSpan w:val="4"/>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300"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排放速率</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kg/h</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545" w:type="dxa"/>
                  <w:gridSpan w:val="4"/>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c>
                <w:tcPr>
                  <w:tcW w:w="1300"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en-US"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监测点位</w:t>
                  </w:r>
                </w:p>
              </w:tc>
              <w:tc>
                <w:tcPr>
                  <w:tcW w:w="3135"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b w:val="0"/>
                      <w:bCs/>
                      <w:sz w:val="18"/>
                      <w:szCs w:val="18"/>
                      <w:lang w:val="en-US" w:eastAsia="zh-CN"/>
                    </w:rPr>
                    <w:t>1</w:t>
                  </w:r>
                  <w:r>
                    <w:rPr>
                      <w:rFonts w:hint="eastAsia"/>
                      <w:b w:val="0"/>
                      <w:bCs/>
                      <w:sz w:val="18"/>
                      <w:szCs w:val="18"/>
                    </w:rPr>
                    <w:t>#</w:t>
                  </w:r>
                  <w:r>
                    <w:rPr>
                      <w:rFonts w:hint="eastAsia"/>
                      <w:b w:val="0"/>
                      <w:bCs/>
                      <w:sz w:val="18"/>
                      <w:szCs w:val="18"/>
                      <w:lang w:val="en-US" w:eastAsia="zh-CN"/>
                    </w:rPr>
                    <w:t>排气筒出口</w:t>
                  </w:r>
                </w:p>
              </w:tc>
              <w:tc>
                <w:tcPr>
                  <w:tcW w:w="1960" w:type="dxa"/>
                  <w:gridSpan w:val="3"/>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排气筒高度</w:t>
                  </w:r>
                </w:p>
              </w:tc>
              <w:tc>
                <w:tcPr>
                  <w:tcW w:w="2869" w:type="dxa"/>
                  <w:gridSpan w:val="2"/>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15m</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处理设施</w:t>
                  </w:r>
                </w:p>
              </w:tc>
              <w:tc>
                <w:tcPr>
                  <w:tcW w:w="3135"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布袋除尘</w:t>
                  </w:r>
                </w:p>
              </w:tc>
              <w:tc>
                <w:tcPr>
                  <w:tcW w:w="1960" w:type="dxa"/>
                  <w:gridSpan w:val="3"/>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采样日期</w:t>
                  </w:r>
                </w:p>
              </w:tc>
              <w:tc>
                <w:tcPr>
                  <w:tcW w:w="2869" w:type="dxa"/>
                  <w:gridSpan w:val="2"/>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21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检测项目</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单位</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rPr>
                    <w:t>第一次</w:t>
                  </w:r>
                </w:p>
              </w:tc>
              <w:tc>
                <w:tcPr>
                  <w:tcW w:w="1545" w:type="dxa"/>
                  <w:gridSpan w:val="4"/>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第二次</w:t>
                  </w:r>
                </w:p>
              </w:tc>
              <w:tc>
                <w:tcPr>
                  <w:tcW w:w="1300"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第三次</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均值</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宋体"/>
                      <w:sz w:val="18"/>
                      <w:szCs w:val="18"/>
                      <w:lang w:val="en-US" w:eastAsia="zh-CN"/>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烟道截面积</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w:t>
                  </w:r>
                  <w:r>
                    <w:rPr>
                      <w:rFonts w:hint="eastAsia" w:ascii="Times New Roman" w:hAnsi="Times New Roman" w:cs="宋体"/>
                      <w:sz w:val="18"/>
                      <w:szCs w:val="18"/>
                      <w:vertAlign w:val="superscript"/>
                    </w:rPr>
                    <w:t>2</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0.1963</w:t>
                  </w:r>
                </w:p>
              </w:tc>
              <w:tc>
                <w:tcPr>
                  <w:tcW w:w="1550"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eastAsia="zh-CN"/>
                    </w:rPr>
                    <w:t>/</w:t>
                  </w:r>
                </w:p>
              </w:tc>
              <w:tc>
                <w:tcPr>
                  <w:tcW w:w="1319" w:type="dxa"/>
                  <w:tcBorders>
                    <w:tl2br w:val="nil"/>
                    <w:tr2bl w:val="nil"/>
                  </w:tcBorders>
                  <w:vAlign w:val="center"/>
                </w:tcPr>
                <w:p>
                  <w:pPr>
                    <w:pStyle w:val="89"/>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cs="宋体"/>
                      <w:sz w:val="18"/>
                      <w:szCs w:val="18"/>
                      <w:lang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大气压</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kPa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103.58</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pStyle w:val="89"/>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cs="宋体"/>
                      <w:sz w:val="18"/>
                      <w:szCs w:val="18"/>
                      <w:lang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烟温</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14.2</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动压</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117</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静压</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k</w:t>
                  </w:r>
                  <w:r>
                    <w:rPr>
                      <w:rFonts w:hint="eastAsia" w:ascii="Times New Roman" w:hAnsi="Times New Roman"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0.01</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含湿量</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3.5</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流速</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m/s</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11.3</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烟气流量（标况）</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w:t>
                  </w:r>
                  <w:r>
                    <w:rPr>
                      <w:rFonts w:hint="eastAsia" w:ascii="Times New Roman" w:hAnsi="Times New Roman" w:cs="宋体"/>
                      <w:sz w:val="18"/>
                      <w:szCs w:val="18"/>
                      <w:vertAlign w:val="superscript"/>
                    </w:rPr>
                    <w:t>3</w:t>
                  </w:r>
                  <w:r>
                    <w:rPr>
                      <w:rFonts w:hint="eastAsia" w:ascii="Times New Roman" w:hAnsi="Times New Roman" w:cs="宋体"/>
                      <w:sz w:val="18"/>
                      <w:szCs w:val="18"/>
                    </w:rPr>
                    <w:t>/h</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auto"/>
                      <w:kern w:val="0"/>
                      <w:sz w:val="18"/>
                      <w:szCs w:val="18"/>
                      <w:lang w:val="en-US" w:eastAsia="zh-CN" w:bidi="ar-SA"/>
                    </w:rPr>
                  </w:pPr>
                  <w:r>
                    <w:rPr>
                      <w:rFonts w:hint="eastAsia" w:ascii="Times New Roman" w:hAnsi="Times New Roman" w:eastAsia="宋体" w:cs="宋体"/>
                      <w:color w:val="auto"/>
                      <w:kern w:val="0"/>
                      <w:sz w:val="18"/>
                      <w:szCs w:val="18"/>
                      <w:lang w:val="en-US" w:eastAsia="zh-CN" w:bidi="ar-SA"/>
                    </w:rPr>
                    <w:t>7457</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05" w:hRule="atLeast"/>
                <w:jc w:val="center"/>
              </w:trPr>
              <w:tc>
                <w:tcPr>
                  <w:tcW w:w="1121" w:type="dxa"/>
                  <w:vMerge w:val="restart"/>
                  <w:tcBorders>
                    <w:righ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颗粒物</w:t>
                  </w:r>
                </w:p>
              </w:tc>
              <w:tc>
                <w:tcPr>
                  <w:tcW w:w="904"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排放</w:t>
                  </w:r>
                  <w:r>
                    <w:rPr>
                      <w:rFonts w:hint="eastAsia" w:ascii="Times New Roman" w:hAnsi="Times New Roman" w:cs="宋体"/>
                      <w:sz w:val="18"/>
                      <w:szCs w:val="18"/>
                    </w:rPr>
                    <w:t>浓度</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mg/m</w:t>
                  </w:r>
                  <w:r>
                    <w:rPr>
                      <w:rFonts w:hint="eastAsia" w:ascii="Times New Roman" w:hAnsi="Times New Roman" w:cs="宋体"/>
                      <w:sz w:val="18"/>
                      <w:szCs w:val="18"/>
                      <w:vertAlign w:val="superscript"/>
                    </w:rPr>
                    <w:t>3</w:t>
                  </w:r>
                </w:p>
              </w:tc>
              <w:tc>
                <w:tcPr>
                  <w:tcW w:w="1438"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7.4</w:t>
                  </w:r>
                </w:p>
              </w:tc>
              <w:tc>
                <w:tcPr>
                  <w:tcW w:w="1438" w:type="dxa"/>
                  <w:gridSpan w:val="4"/>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8.0</w:t>
                  </w:r>
                </w:p>
              </w:tc>
              <w:tc>
                <w:tcPr>
                  <w:tcW w:w="1439"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8.8</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8.1</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color w:val="000000" w:themeColor="text1"/>
                      <w:kern w:val="0"/>
                      <w:sz w:val="18"/>
                      <w:szCs w:val="18"/>
                      <w:lang w:val="en-US" w:eastAsia="zh-CN" w:bidi="ar-SA"/>
                      <w14:textFill>
                        <w14:solidFill>
                          <w14:schemeClr w14:val="tx1"/>
                        </w14:solidFill>
                      </w14:textFill>
                    </w:rPr>
                    <w:t>10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rPr>
                  </w:pPr>
                </w:p>
              </w:tc>
              <w:tc>
                <w:tcPr>
                  <w:tcW w:w="904"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排放速率</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kg/h</w:t>
                  </w:r>
                </w:p>
              </w:tc>
              <w:tc>
                <w:tcPr>
                  <w:tcW w:w="1438"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6.04×10</w:t>
                  </w:r>
                  <w:r>
                    <w:rPr>
                      <w:rFonts w:hint="eastAsia" w:ascii="Times New Roman" w:hAnsi="Times New Roman" w:eastAsia="宋体" w:cs="宋体"/>
                      <w:kern w:val="0"/>
                      <w:sz w:val="18"/>
                      <w:szCs w:val="18"/>
                      <w:vertAlign w:val="superscript"/>
                      <w:lang w:val="en-US" w:eastAsia="zh-CN" w:bidi="ar-SA"/>
                    </w:rPr>
                    <w:t>-2</w:t>
                  </w:r>
                </w:p>
              </w:tc>
              <w:tc>
                <w:tcPr>
                  <w:tcW w:w="1438" w:type="dxa"/>
                  <w:gridSpan w:val="4"/>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6.04×10</w:t>
                  </w:r>
                  <w:r>
                    <w:rPr>
                      <w:rFonts w:hint="eastAsia" w:ascii="Times New Roman" w:hAnsi="Times New Roman" w:eastAsia="宋体" w:cs="宋体"/>
                      <w:kern w:val="0"/>
                      <w:sz w:val="18"/>
                      <w:szCs w:val="18"/>
                      <w:vertAlign w:val="superscript"/>
                      <w:lang w:val="en-US" w:eastAsia="zh-CN" w:bidi="ar-SA"/>
                    </w:rPr>
                    <w:t>-2</w:t>
                  </w:r>
                </w:p>
              </w:tc>
              <w:tc>
                <w:tcPr>
                  <w:tcW w:w="1439" w:type="dxa"/>
                  <w:gridSpan w:val="2"/>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6.04×10</w:t>
                  </w:r>
                  <w:r>
                    <w:rPr>
                      <w:rFonts w:hint="eastAsia" w:ascii="Times New Roman" w:hAnsi="Times New Roman" w:eastAsia="宋体" w:cs="宋体"/>
                      <w:kern w:val="0"/>
                      <w:sz w:val="18"/>
                      <w:szCs w:val="18"/>
                      <w:vertAlign w:val="superscript"/>
                      <w:lang w:val="en-US" w:eastAsia="zh-CN" w:bidi="ar-SA"/>
                    </w:rPr>
                    <w:t>-2</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kern w:val="0"/>
                      <w:sz w:val="18"/>
                      <w:szCs w:val="18"/>
                      <w:lang w:val="en-US" w:eastAsia="zh-CN" w:bidi="ar-SA"/>
                    </w:rPr>
                    <w:t>6.04×10</w:t>
                  </w:r>
                  <w:r>
                    <w:rPr>
                      <w:rFonts w:hint="eastAsia" w:ascii="Times New Roman" w:hAnsi="Times New Roman" w:eastAsia="宋体" w:cs="宋体"/>
                      <w:kern w:val="0"/>
                      <w:sz w:val="18"/>
                      <w:szCs w:val="18"/>
                      <w:vertAlign w:val="superscript"/>
                      <w:lang w:val="en-US" w:eastAsia="zh-CN" w:bidi="ar-SA"/>
                    </w:rPr>
                    <w:t>-2</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监测点位</w:t>
                  </w:r>
                </w:p>
              </w:tc>
              <w:tc>
                <w:tcPr>
                  <w:tcW w:w="3135"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cs="宋体" w:eastAsiaTheme="minorEastAsia"/>
                      <w:kern w:val="0"/>
                      <w:sz w:val="18"/>
                      <w:szCs w:val="18"/>
                      <w:lang w:val="en-US" w:eastAsia="zh-CN" w:bidi="ar-SA"/>
                    </w:rPr>
                  </w:pPr>
                  <w:r>
                    <w:rPr>
                      <w:rFonts w:hint="eastAsia"/>
                      <w:b w:val="0"/>
                      <w:bCs/>
                      <w:sz w:val="18"/>
                      <w:szCs w:val="18"/>
                      <w:lang w:val="en-US" w:eastAsia="zh-CN"/>
                    </w:rPr>
                    <w:t>1</w:t>
                  </w:r>
                  <w:r>
                    <w:rPr>
                      <w:rFonts w:hint="eastAsia"/>
                      <w:b w:val="0"/>
                      <w:bCs/>
                      <w:sz w:val="18"/>
                      <w:szCs w:val="18"/>
                    </w:rPr>
                    <w:t>#</w:t>
                  </w:r>
                  <w:r>
                    <w:rPr>
                      <w:rFonts w:hint="eastAsia"/>
                      <w:b w:val="0"/>
                      <w:bCs/>
                      <w:sz w:val="18"/>
                      <w:szCs w:val="18"/>
                      <w:lang w:val="en-US" w:eastAsia="zh-CN"/>
                    </w:rPr>
                    <w:t>排气筒进</w:t>
                  </w:r>
                  <w:r>
                    <w:rPr>
                      <w:rFonts w:hint="eastAsia"/>
                      <w:b w:val="0"/>
                      <w:bCs/>
                      <w:sz w:val="18"/>
                      <w:szCs w:val="18"/>
                    </w:rPr>
                    <w:t>口</w:t>
                  </w:r>
                </w:p>
              </w:tc>
              <w:tc>
                <w:tcPr>
                  <w:tcW w:w="1960"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排气筒高度</w:t>
                  </w:r>
                </w:p>
              </w:tc>
              <w:tc>
                <w:tcPr>
                  <w:tcW w:w="2869"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处理设施</w:t>
                  </w:r>
                </w:p>
              </w:tc>
              <w:tc>
                <w:tcPr>
                  <w:tcW w:w="3135"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w:t>
                  </w:r>
                </w:p>
              </w:tc>
              <w:tc>
                <w:tcPr>
                  <w:tcW w:w="1960"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2869"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20</w:t>
                  </w:r>
                  <w:r>
                    <w:rPr>
                      <w:rFonts w:hint="eastAsia" w:ascii="Times New Roman" w:hAnsi="Times New Roman" w:eastAsia="宋体" w:cs="宋体"/>
                      <w:sz w:val="18"/>
                      <w:szCs w:val="18"/>
                      <w:lang w:val="en-US" w:eastAsia="zh-CN"/>
                    </w:rPr>
                    <w:t>22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22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第一次</w:t>
                  </w:r>
                </w:p>
              </w:tc>
              <w:tc>
                <w:tcPr>
                  <w:tcW w:w="1545" w:type="dxa"/>
                  <w:gridSpan w:val="4"/>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第二次</w:t>
                  </w:r>
                </w:p>
              </w:tc>
              <w:tc>
                <w:tcPr>
                  <w:tcW w:w="1300"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第三次</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均值</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烟道截面积</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2</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0.1963</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大气压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kPa</w:t>
                  </w:r>
                </w:p>
              </w:tc>
              <w:tc>
                <w:tcPr>
                  <w:tcW w:w="4315" w:type="dxa"/>
                  <w:gridSpan w:val="7"/>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103.31</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烟温</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10.9</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动压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132</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静压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k</w:t>
                  </w:r>
                  <w:r>
                    <w:rPr>
                      <w:rFonts w:hint="eastAsia" w:ascii="Times New Roman" w:hAnsi="Times New Roman" w:eastAsia="宋体"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-1.27</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含湿量</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2.4</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流速</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m/s</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12</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烟气流量（标况）</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3</w:t>
                  </w:r>
                  <w:r>
                    <w:rPr>
                      <w:rFonts w:hint="eastAsia" w:ascii="Times New Roman" w:hAnsi="Times New Roman" w:eastAsia="宋体" w:cs="宋体"/>
                      <w:sz w:val="18"/>
                      <w:szCs w:val="18"/>
                    </w:rPr>
                    <w:t>/h</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8012</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restart"/>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颗粒物</w:t>
                  </w: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排放</w:t>
                  </w:r>
                  <w:r>
                    <w:rPr>
                      <w:rFonts w:hint="eastAsia" w:ascii="Times New Roman" w:hAnsi="Times New Roman" w:eastAsia="宋体" w:cs="宋体"/>
                      <w:sz w:val="18"/>
                      <w:szCs w:val="18"/>
                    </w:rPr>
                    <w:t>浓度</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mg/m</w:t>
                  </w:r>
                  <w:r>
                    <w:rPr>
                      <w:rFonts w:hint="eastAsia" w:ascii="Times New Roman" w:hAnsi="Times New Roman" w:eastAsia="宋体" w:cs="宋体"/>
                      <w:sz w:val="18"/>
                      <w:szCs w:val="18"/>
                      <w:vertAlign w:val="superscript"/>
                    </w:rPr>
                    <w:t>3</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545" w:type="dxa"/>
                  <w:gridSpan w:val="4"/>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300"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w:t>
                  </w:r>
                </w:p>
              </w:tc>
              <w:tc>
                <w:tcPr>
                  <w:tcW w:w="1319" w:type="dxa"/>
                  <w:tcBorders>
                    <w:tl2br w:val="nil"/>
                    <w:tr2bl w:val="nil"/>
                  </w:tcBorders>
                  <w:vAlign w:val="center"/>
                </w:tcPr>
                <w:p>
                  <w:pPr>
                    <w:spacing w:beforeLines="0" w:afterLines="0"/>
                    <w:jc w:val="center"/>
                    <w:rPr>
                      <w:rFonts w:hint="default" w:ascii="Times New Roman" w:hAnsi="Times New Roman" w:eastAsia="宋体" w:cs="宋体"/>
                      <w:color w:val="000000" w:themeColor="text1"/>
                      <w:kern w:val="0"/>
                      <w:sz w:val="18"/>
                      <w:szCs w:val="18"/>
                      <w:lang w:val="en-US" w:eastAsia="en-US" w:bidi="ar-SA"/>
                      <w14:textFill>
                        <w14:solidFill>
                          <w14:schemeClr w14:val="tx1"/>
                        </w14:solidFill>
                      </w14:textFill>
                    </w:rPr>
                  </w:pPr>
                  <w:r>
                    <w:rPr>
                      <w:rFonts w:hint="eastAsia" w:cs="宋体"/>
                      <w:color w:val="000000"/>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排放速率</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kg/h</w:t>
                  </w:r>
                </w:p>
              </w:tc>
              <w:tc>
                <w:tcPr>
                  <w:tcW w:w="1470" w:type="dxa"/>
                  <w:gridSpan w:val="2"/>
                  <w:tcBorders>
                    <w:tl2br w:val="nil"/>
                    <w:tr2bl w:val="nil"/>
                  </w:tcBorders>
                  <w:vAlign w:val="center"/>
                </w:tcPr>
                <w:p>
                  <w:pPr>
                    <w:pStyle w:val="89"/>
                    <w:spacing w:beforeLines="0" w:afterLines="0"/>
                    <w:jc w:val="center"/>
                    <w:rPr>
                      <w:rFonts w:hint="default" w:ascii="Times New Roman" w:hAnsi="Times New Roman" w:eastAsia="宋体" w:cs="宋体"/>
                      <w:kern w:val="0"/>
                      <w:sz w:val="18"/>
                      <w:szCs w:val="18"/>
                      <w:lang w:val="en-US" w:eastAsia="zh-CN" w:bidi="ar-SA"/>
                    </w:rPr>
                  </w:pPr>
                  <w:r>
                    <w:rPr>
                      <w:rFonts w:hint="eastAsia" w:ascii="Times New Roman" w:hAnsi="Times New Roman" w:cs="宋体"/>
                      <w:sz w:val="18"/>
                      <w:szCs w:val="18"/>
                      <w:lang w:eastAsia="zh-CN"/>
                    </w:rPr>
                    <w:t>-</w:t>
                  </w:r>
                </w:p>
              </w:tc>
              <w:tc>
                <w:tcPr>
                  <w:tcW w:w="1545" w:type="dxa"/>
                  <w:gridSpan w:val="4"/>
                  <w:tcBorders>
                    <w:tl2br w:val="nil"/>
                    <w:tr2bl w:val="nil"/>
                  </w:tcBorders>
                  <w:vAlign w:val="center"/>
                </w:tcPr>
                <w:p>
                  <w:pPr>
                    <w:pStyle w:val="89"/>
                    <w:spacing w:beforeLines="0" w:afterLines="0"/>
                    <w:jc w:val="center"/>
                    <w:rPr>
                      <w:rFonts w:hint="default" w:ascii="Times New Roman" w:hAnsi="Times New Roman" w:eastAsia="宋体" w:cs="宋体"/>
                      <w:kern w:val="0"/>
                      <w:sz w:val="18"/>
                      <w:szCs w:val="18"/>
                      <w:lang w:val="en-US" w:eastAsia="zh-CN" w:bidi="ar-SA"/>
                    </w:rPr>
                  </w:pPr>
                  <w:r>
                    <w:rPr>
                      <w:rFonts w:hint="eastAsia" w:ascii="Times New Roman" w:hAnsi="Times New Roman" w:cs="宋体"/>
                      <w:sz w:val="18"/>
                      <w:szCs w:val="18"/>
                      <w:lang w:eastAsia="zh-CN"/>
                    </w:rPr>
                    <w:t>-</w:t>
                  </w:r>
                </w:p>
              </w:tc>
              <w:tc>
                <w:tcPr>
                  <w:tcW w:w="1300" w:type="dxa"/>
                  <w:tcBorders>
                    <w:right w:val="single" w:color="auto" w:sz="4" w:space="0"/>
                    <w:tl2br w:val="nil"/>
                    <w:tr2bl w:val="nil"/>
                  </w:tcBorders>
                  <w:vAlign w:val="center"/>
                </w:tcPr>
                <w:p>
                  <w:pPr>
                    <w:pStyle w:val="89"/>
                    <w:spacing w:beforeLines="0" w:afterLines="0"/>
                    <w:jc w:val="center"/>
                    <w:rPr>
                      <w:rFonts w:hint="default" w:ascii="Times New Roman" w:hAnsi="Times New Roman" w:eastAsia="宋体" w:cs="宋体"/>
                      <w:kern w:val="0"/>
                      <w:sz w:val="18"/>
                      <w:szCs w:val="18"/>
                      <w:lang w:val="en-US" w:eastAsia="zh-CN" w:bidi="ar-SA"/>
                    </w:rPr>
                  </w:pPr>
                  <w:r>
                    <w:rPr>
                      <w:rFonts w:hint="eastAsia" w:ascii="Times New Roman" w:hAnsi="Times New Roman" w:cs="宋体"/>
                      <w:sz w:val="18"/>
                      <w:szCs w:val="18"/>
                      <w:lang w:eastAsia="zh-CN"/>
                    </w:rPr>
                    <w:t>-</w:t>
                  </w:r>
                </w:p>
              </w:tc>
              <w:tc>
                <w:tcPr>
                  <w:tcW w:w="1550" w:type="dxa"/>
                  <w:tcBorders>
                    <w:left w:val="single" w:color="auto" w:sz="4" w:space="0"/>
                    <w:tl2br w:val="nil"/>
                    <w:tr2bl w:val="nil"/>
                  </w:tcBorders>
                  <w:vAlign w:val="center"/>
                </w:tcPr>
                <w:p>
                  <w:pPr>
                    <w:pStyle w:val="89"/>
                    <w:spacing w:beforeLines="0" w:afterLines="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eastAsia="zh-CN"/>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color w:val="000000"/>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监测点位</w:t>
                  </w:r>
                </w:p>
              </w:tc>
              <w:tc>
                <w:tcPr>
                  <w:tcW w:w="3022" w:type="dxa"/>
                  <w:gridSpan w:val="4"/>
                  <w:tcBorders>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zh-CN" w:bidi="ar-SA"/>
                    </w:rPr>
                  </w:pPr>
                  <w:r>
                    <w:rPr>
                      <w:rFonts w:hint="eastAsia"/>
                      <w:sz w:val="18"/>
                      <w:szCs w:val="18"/>
                      <w:lang w:eastAsia="zh-CN"/>
                    </w:rPr>
                    <w:t>1</w:t>
                  </w:r>
                  <w:r>
                    <w:rPr>
                      <w:rFonts w:hint="eastAsia"/>
                      <w:sz w:val="18"/>
                      <w:szCs w:val="18"/>
                    </w:rPr>
                    <w:t>#</w:t>
                  </w:r>
                  <w:r>
                    <w:rPr>
                      <w:rFonts w:hint="eastAsia"/>
                      <w:sz w:val="18"/>
                      <w:szCs w:val="18"/>
                      <w:lang w:eastAsia="zh-CN"/>
                    </w:rPr>
                    <w:t>排气筒进</w:t>
                  </w:r>
                  <w:r>
                    <w:rPr>
                      <w:rFonts w:hint="eastAsia"/>
                      <w:sz w:val="18"/>
                      <w:szCs w:val="18"/>
                    </w:rPr>
                    <w:t>口</w:t>
                  </w:r>
                </w:p>
              </w:tc>
              <w:tc>
                <w:tcPr>
                  <w:tcW w:w="2073" w:type="dxa"/>
                  <w:gridSpan w:val="4"/>
                  <w:tcBorders>
                    <w:right w:val="single" w:color="auto" w:sz="4" w:space="0"/>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zh-CN" w:bidi="ar-SA"/>
                    </w:rPr>
                  </w:pPr>
                  <w:r>
                    <w:rPr>
                      <w:rFonts w:hint="eastAsia" w:ascii="Times New Roman" w:hAnsi="Times New Roman" w:cs="宋体"/>
                      <w:sz w:val="18"/>
                      <w:szCs w:val="18"/>
                    </w:rPr>
                    <w:t>排气筒高度</w:t>
                  </w:r>
                </w:p>
              </w:tc>
              <w:tc>
                <w:tcPr>
                  <w:tcW w:w="2869" w:type="dxa"/>
                  <w:gridSpan w:val="2"/>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cs="宋体"/>
                      <w:sz w:val="18"/>
                      <w:szCs w:val="18"/>
                      <w:lang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处理设施</w:t>
                  </w:r>
                </w:p>
              </w:tc>
              <w:tc>
                <w:tcPr>
                  <w:tcW w:w="3022" w:type="dxa"/>
                  <w:gridSpan w:val="4"/>
                  <w:tcBorders>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布袋除尘</w:t>
                  </w:r>
                </w:p>
              </w:tc>
              <w:tc>
                <w:tcPr>
                  <w:tcW w:w="2073" w:type="dxa"/>
                  <w:gridSpan w:val="4"/>
                  <w:tcBorders>
                    <w:right w:val="single" w:color="auto" w:sz="4" w:space="0"/>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zh-CN" w:bidi="ar-SA"/>
                    </w:rPr>
                  </w:pPr>
                  <w:r>
                    <w:rPr>
                      <w:rFonts w:hint="eastAsia" w:ascii="Times New Roman" w:hAnsi="Times New Roman" w:cs="宋体"/>
                      <w:sz w:val="18"/>
                      <w:szCs w:val="18"/>
                    </w:rPr>
                    <w:t>采样日期</w:t>
                  </w:r>
                </w:p>
              </w:tc>
              <w:tc>
                <w:tcPr>
                  <w:tcW w:w="2869" w:type="dxa"/>
                  <w:gridSpan w:val="2"/>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cs="宋体"/>
                      <w:sz w:val="18"/>
                      <w:szCs w:val="18"/>
                    </w:rPr>
                    <w:t>20</w:t>
                  </w:r>
                  <w:r>
                    <w:rPr>
                      <w:rFonts w:hint="eastAsia" w:ascii="Times New Roman" w:hAnsi="Times New Roman" w:cs="宋体"/>
                      <w:sz w:val="18"/>
                      <w:szCs w:val="18"/>
                      <w:lang w:eastAsia="zh-CN"/>
                    </w:rPr>
                    <w:t>22</w:t>
                  </w:r>
                  <w:r>
                    <w:rPr>
                      <w:rFonts w:hint="eastAsia" w:ascii="Times New Roman" w:hAnsi="Times New Roman" w:cs="宋体"/>
                      <w:sz w:val="18"/>
                      <w:szCs w:val="18"/>
                    </w:rPr>
                    <w:t>.</w:t>
                  </w:r>
                  <w:r>
                    <w:rPr>
                      <w:rFonts w:hint="eastAsia" w:ascii="Times New Roman" w:hAnsi="Times New Roman" w:cs="宋体"/>
                      <w:sz w:val="18"/>
                      <w:szCs w:val="18"/>
                      <w:lang w:eastAsia="zh-CN"/>
                    </w:rPr>
                    <w:t>2</w:t>
                  </w:r>
                  <w:r>
                    <w:rPr>
                      <w:rFonts w:hint="eastAsia" w:ascii="Times New Roman" w:hAnsi="Times New Roman" w:cs="宋体"/>
                      <w:sz w:val="18"/>
                      <w:szCs w:val="18"/>
                    </w:rPr>
                    <w:t>.</w:t>
                  </w:r>
                  <w:r>
                    <w:rPr>
                      <w:rFonts w:hint="eastAsia" w:ascii="Times New Roman" w:hAnsi="Times New Roman" w:cs="宋体"/>
                      <w:sz w:val="18"/>
                      <w:szCs w:val="18"/>
                      <w:lang w:eastAsia="zh-CN"/>
                    </w:rPr>
                    <w:t>22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检测项目</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单位</w:t>
                  </w:r>
                </w:p>
              </w:tc>
              <w:tc>
                <w:tcPr>
                  <w:tcW w:w="1470"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rPr>
                    <w:t>第一次</w:t>
                  </w:r>
                </w:p>
              </w:tc>
              <w:tc>
                <w:tcPr>
                  <w:tcW w:w="1545" w:type="dxa"/>
                  <w:gridSpan w:val="4"/>
                  <w:tcBorders>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zh-CN" w:bidi="ar-SA"/>
                    </w:rPr>
                  </w:pPr>
                  <w:r>
                    <w:rPr>
                      <w:rFonts w:hint="eastAsia" w:ascii="Times New Roman" w:hAnsi="Times New Roman" w:cs="宋体"/>
                      <w:sz w:val="18"/>
                      <w:szCs w:val="18"/>
                    </w:rPr>
                    <w:t>第二次</w:t>
                  </w:r>
                </w:p>
              </w:tc>
              <w:tc>
                <w:tcPr>
                  <w:tcW w:w="1300" w:type="dxa"/>
                  <w:tcBorders>
                    <w:right w:val="single" w:color="auto" w:sz="4" w:space="0"/>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zh-CN" w:bidi="ar-SA"/>
                    </w:rPr>
                  </w:pPr>
                  <w:r>
                    <w:rPr>
                      <w:rFonts w:hint="eastAsia" w:ascii="Times New Roman" w:hAnsi="Times New Roman" w:cs="宋体"/>
                      <w:sz w:val="18"/>
                      <w:szCs w:val="18"/>
                    </w:rPr>
                    <w:t>第三次</w:t>
                  </w:r>
                </w:p>
              </w:tc>
              <w:tc>
                <w:tcPr>
                  <w:tcW w:w="1550"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eastAsia="zh-CN"/>
                    </w:rPr>
                    <w:t>均值</w:t>
                  </w:r>
                </w:p>
              </w:tc>
              <w:tc>
                <w:tcPr>
                  <w:tcW w:w="1319" w:type="dxa"/>
                  <w:tcBorders>
                    <w:tl2br w:val="nil"/>
                    <w:tr2bl w:val="nil"/>
                  </w:tcBorders>
                  <w:vAlign w:val="center"/>
                </w:tcPr>
                <w:p>
                  <w:pPr>
                    <w:pStyle w:val="89"/>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cs="宋体"/>
                      <w:sz w:val="18"/>
                      <w:szCs w:val="18"/>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烟道截面积</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w:t>
                  </w:r>
                  <w:r>
                    <w:rPr>
                      <w:rFonts w:hint="eastAsia" w:ascii="Times New Roman" w:hAnsi="Times New Roman" w:cs="宋体"/>
                      <w:sz w:val="18"/>
                      <w:szCs w:val="18"/>
                      <w:vertAlign w:val="superscript"/>
                    </w:rPr>
                    <w:t>2</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0.1963</w:t>
                  </w:r>
                </w:p>
              </w:tc>
              <w:tc>
                <w:tcPr>
                  <w:tcW w:w="1550"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eastAsia="zh-CN"/>
                    </w:rPr>
                    <w:t>/</w:t>
                  </w:r>
                </w:p>
              </w:tc>
              <w:tc>
                <w:tcPr>
                  <w:tcW w:w="1319" w:type="dxa"/>
                  <w:tcBorders>
                    <w:tl2br w:val="nil"/>
                    <w:tr2bl w:val="nil"/>
                  </w:tcBorders>
                  <w:vAlign w:val="center"/>
                </w:tcPr>
                <w:p>
                  <w:pPr>
                    <w:pStyle w:val="89"/>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cs="宋体"/>
                      <w:sz w:val="18"/>
                      <w:szCs w:val="18"/>
                      <w:lang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9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大气压</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kPa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103.33</w:t>
                  </w:r>
                </w:p>
              </w:tc>
              <w:tc>
                <w:tcPr>
                  <w:tcW w:w="1550"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eastAsia="zh-CN"/>
                    </w:rPr>
                    <w:t>/</w:t>
                  </w:r>
                </w:p>
              </w:tc>
              <w:tc>
                <w:tcPr>
                  <w:tcW w:w="1319" w:type="dxa"/>
                  <w:tcBorders>
                    <w:tl2br w:val="nil"/>
                    <w:tr2bl w:val="nil"/>
                  </w:tcBorders>
                  <w:vAlign w:val="center"/>
                </w:tcPr>
                <w:p>
                  <w:pPr>
                    <w:pStyle w:val="89"/>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cs="宋体"/>
                      <w:sz w:val="18"/>
                      <w:szCs w:val="18"/>
                      <w:lang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烟温</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16.2</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动压</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111</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静压</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k</w:t>
                  </w:r>
                  <w:r>
                    <w:rPr>
                      <w:rFonts w:hint="eastAsia" w:ascii="Times New Roman" w:hAnsi="Times New Roman" w:cs="宋体"/>
                      <w:sz w:val="18"/>
                      <w:szCs w:val="18"/>
                    </w:rPr>
                    <w:t>Pa</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-0.02</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含湿量</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3.5</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9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流速</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m/s</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11.0</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烟气流量（标况）</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w:t>
                  </w:r>
                  <w:r>
                    <w:rPr>
                      <w:rFonts w:hint="eastAsia" w:ascii="Times New Roman" w:hAnsi="Times New Roman" w:cs="宋体"/>
                      <w:sz w:val="18"/>
                      <w:szCs w:val="18"/>
                      <w:vertAlign w:val="superscript"/>
                    </w:rPr>
                    <w:t>3</w:t>
                  </w:r>
                  <w:r>
                    <w:rPr>
                      <w:rFonts w:hint="eastAsia" w:ascii="Times New Roman" w:hAnsi="Times New Roman" w:cs="宋体"/>
                      <w:sz w:val="18"/>
                      <w:szCs w:val="18"/>
                    </w:rPr>
                    <w:t>/h</w:t>
                  </w:r>
                </w:p>
              </w:tc>
              <w:tc>
                <w:tcPr>
                  <w:tcW w:w="4315" w:type="dxa"/>
                  <w:gridSpan w:val="7"/>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7239</w:t>
                  </w:r>
                </w:p>
              </w:tc>
              <w:tc>
                <w:tcPr>
                  <w:tcW w:w="1550" w:type="dxa"/>
                  <w:tcBorders>
                    <w:left w:val="single" w:color="auto" w:sz="4" w:space="0"/>
                    <w:tl2br w:val="nil"/>
                    <w:tr2bl w:val="nil"/>
                  </w:tcBorders>
                  <w:vAlign w:val="center"/>
                </w:tcPr>
                <w:p>
                  <w:pPr>
                    <w:spacing w:beforeLines="0" w:afterLines="0"/>
                    <w:jc w:val="center"/>
                    <w:rPr>
                      <w:rFonts w:hint="eastAsia" w:ascii="Times New Roman" w:hAnsi="Times New Roman" w:eastAsia="宋体" w:cs="宋体"/>
                      <w:sz w:val="18"/>
                      <w:szCs w:val="18"/>
                      <w:lang w:val="en-US" w:eastAsia="zh-CN"/>
                    </w:rPr>
                  </w:pPr>
                  <w:r>
                    <w:rPr>
                      <w:rFonts w:hint="eastAsia" w:cs="宋体"/>
                      <w:sz w:val="18"/>
                      <w:szCs w:val="18"/>
                    </w:rPr>
                    <w:t>/</w:t>
                  </w:r>
                </w:p>
              </w:tc>
              <w:tc>
                <w:tcPr>
                  <w:tcW w:w="1319" w:type="dxa"/>
                  <w:tcBorders>
                    <w:tl2br w:val="nil"/>
                    <w:tr2bl w:val="nil"/>
                  </w:tcBorders>
                  <w:vAlign w:val="center"/>
                </w:tcPr>
                <w:p>
                  <w:pPr>
                    <w:spacing w:beforeLines="0" w:afterLines="0"/>
                    <w:jc w:val="cente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restart"/>
                  <w:tcBorders>
                    <w:right w:val="single" w:color="auto" w:sz="4" w:space="0"/>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en-US" w:bidi="ar-SA"/>
                    </w:rPr>
                  </w:pPr>
                  <w:r>
                    <w:rPr>
                      <w:rFonts w:hint="eastAsia" w:ascii="Times New Roman" w:hAnsi="Times New Roman" w:cs="宋体"/>
                      <w:sz w:val="18"/>
                      <w:szCs w:val="18"/>
                      <w:lang w:eastAsia="zh-CN"/>
                    </w:rPr>
                    <w:t>颗粒物</w:t>
                  </w:r>
                </w:p>
              </w:tc>
              <w:tc>
                <w:tcPr>
                  <w:tcW w:w="904"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lang w:eastAsia="zh-CN"/>
                    </w:rPr>
                    <w:t>排放</w:t>
                  </w:r>
                  <w:r>
                    <w:rPr>
                      <w:rFonts w:hint="eastAsia" w:ascii="Times New Roman" w:hAnsi="Times New Roman" w:cs="宋体"/>
                      <w:sz w:val="18"/>
                      <w:szCs w:val="18"/>
                    </w:rPr>
                    <w:t>浓度</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mg/m</w:t>
                  </w:r>
                  <w:r>
                    <w:rPr>
                      <w:rFonts w:hint="eastAsia" w:ascii="Times New Roman" w:hAnsi="Times New Roman" w:cs="宋体"/>
                      <w:sz w:val="18"/>
                      <w:szCs w:val="18"/>
                      <w:vertAlign w:val="superscript"/>
                    </w:rPr>
                    <w:t>3</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kern w:val="0"/>
                      <w:sz w:val="18"/>
                      <w:szCs w:val="18"/>
                      <w:lang w:val="en-US" w:eastAsia="zh-CN" w:bidi="ar-SA"/>
                    </w:rPr>
                    <w:t>8.2</w:t>
                  </w:r>
                </w:p>
              </w:tc>
              <w:tc>
                <w:tcPr>
                  <w:tcW w:w="1545" w:type="dxa"/>
                  <w:gridSpan w:val="4"/>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8.4</w:t>
                  </w:r>
                </w:p>
              </w:tc>
              <w:tc>
                <w:tcPr>
                  <w:tcW w:w="1300"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4.4</w:t>
                  </w:r>
                </w:p>
              </w:tc>
              <w:tc>
                <w:tcPr>
                  <w:tcW w:w="1550"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7.0</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color w:val="000000" w:themeColor="text1"/>
                      <w:kern w:val="0"/>
                      <w:sz w:val="18"/>
                      <w:szCs w:val="18"/>
                      <w:lang w:val="en-US" w:eastAsia="zh-CN" w:bidi="ar-SA"/>
                      <w14:textFill>
                        <w14:solidFill>
                          <w14:schemeClr w14:val="tx1"/>
                        </w14:solidFill>
                      </w14:textFill>
                    </w:rPr>
                    <w:t>10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spacing w:beforeLines="0" w:afterLines="0"/>
                    <w:jc w:val="center"/>
                    <w:rPr>
                      <w:rFonts w:hint="eastAsia" w:ascii="Times New Roman" w:hAnsi="Times New Roman" w:eastAsia="宋体" w:cs="宋体"/>
                      <w:kern w:val="0"/>
                      <w:sz w:val="18"/>
                      <w:szCs w:val="18"/>
                      <w:lang w:val="en-US" w:eastAsia="en-US" w:bidi="ar-SA"/>
                    </w:rPr>
                  </w:pPr>
                </w:p>
              </w:tc>
              <w:tc>
                <w:tcPr>
                  <w:tcW w:w="904" w:type="dxa"/>
                  <w:tcBorders>
                    <w:left w:val="single" w:color="auto" w:sz="4" w:space="0"/>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排放速率</w:t>
                  </w:r>
                </w:p>
              </w:tc>
              <w:tc>
                <w:tcPr>
                  <w:tcW w:w="780" w:type="dxa"/>
                  <w:tcBorders>
                    <w:tl2br w:val="nil"/>
                    <w:tr2bl w:val="nil"/>
                  </w:tcBorders>
                  <w:vAlign w:val="center"/>
                </w:tcPr>
                <w:p>
                  <w:pPr>
                    <w:pStyle w:val="89"/>
                    <w:spacing w:beforeLines="0" w:afterLines="0"/>
                    <w:jc w:val="center"/>
                    <w:rPr>
                      <w:rFonts w:hint="eastAsia" w:ascii="Times New Roman" w:hAnsi="Times New Roman" w:eastAsia="宋体" w:cs="宋体"/>
                      <w:sz w:val="18"/>
                      <w:szCs w:val="18"/>
                    </w:rPr>
                  </w:pPr>
                  <w:r>
                    <w:rPr>
                      <w:rFonts w:hint="eastAsia" w:ascii="Times New Roman" w:hAnsi="Times New Roman" w:cs="宋体"/>
                      <w:sz w:val="18"/>
                      <w:szCs w:val="18"/>
                    </w:rPr>
                    <w:t>kg/h</w:t>
                  </w:r>
                </w:p>
              </w:tc>
              <w:tc>
                <w:tcPr>
                  <w:tcW w:w="147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kern w:val="0"/>
                      <w:sz w:val="18"/>
                      <w:szCs w:val="18"/>
                      <w:lang w:val="en-US" w:eastAsia="zh-CN" w:bidi="ar-SA"/>
                    </w:rPr>
                    <w:t>5.07×10</w:t>
                  </w:r>
                  <w:r>
                    <w:rPr>
                      <w:rFonts w:hint="eastAsia" w:ascii="Times New Roman" w:hAnsi="Times New Roman" w:eastAsia="宋体" w:cs="宋体"/>
                      <w:kern w:val="0"/>
                      <w:sz w:val="18"/>
                      <w:szCs w:val="18"/>
                      <w:vertAlign w:val="superscript"/>
                      <w:lang w:val="en-US" w:eastAsia="zh-CN" w:bidi="ar-SA"/>
                    </w:rPr>
                    <w:t>-2</w:t>
                  </w:r>
                </w:p>
              </w:tc>
              <w:tc>
                <w:tcPr>
                  <w:tcW w:w="154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5.07×10</w:t>
                  </w:r>
                  <w:r>
                    <w:rPr>
                      <w:rFonts w:hint="eastAsia" w:ascii="Times New Roman" w:hAnsi="Times New Roman" w:eastAsia="宋体" w:cs="宋体"/>
                      <w:kern w:val="0"/>
                      <w:sz w:val="18"/>
                      <w:szCs w:val="18"/>
                      <w:vertAlign w:val="superscript"/>
                      <w:lang w:val="en-US" w:eastAsia="zh-CN" w:bidi="ar-SA"/>
                    </w:rPr>
                    <w:t>-2</w:t>
                  </w:r>
                </w:p>
              </w:tc>
              <w:tc>
                <w:tcPr>
                  <w:tcW w:w="1300"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5.07×10</w:t>
                  </w:r>
                  <w:r>
                    <w:rPr>
                      <w:rFonts w:hint="eastAsia" w:ascii="Times New Roman" w:hAnsi="Times New Roman" w:eastAsia="宋体" w:cs="宋体"/>
                      <w:kern w:val="0"/>
                      <w:sz w:val="18"/>
                      <w:szCs w:val="18"/>
                      <w:vertAlign w:val="superscript"/>
                      <w:lang w:val="en-US" w:eastAsia="zh-CN" w:bidi="ar-SA"/>
                    </w:rPr>
                    <w:t>-2</w:t>
                  </w:r>
                </w:p>
              </w:tc>
              <w:tc>
                <w:tcPr>
                  <w:tcW w:w="1550"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kern w:val="0"/>
                      <w:sz w:val="18"/>
                      <w:szCs w:val="18"/>
                      <w:lang w:val="en-US" w:eastAsia="zh-CN" w:bidi="ar-SA"/>
                    </w:rPr>
                    <w:t>5.07×10</w:t>
                  </w:r>
                  <w:r>
                    <w:rPr>
                      <w:rFonts w:hint="eastAsia" w:ascii="Times New Roman" w:hAnsi="Times New Roman" w:eastAsia="宋体" w:cs="宋体"/>
                      <w:kern w:val="0"/>
                      <w:sz w:val="18"/>
                      <w:szCs w:val="18"/>
                      <w:vertAlign w:val="superscript"/>
                      <w:lang w:val="en-US" w:eastAsia="zh-CN" w:bidi="ar-SA"/>
                    </w:rPr>
                    <w:t>-2</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kern w:val="2"/>
                      <w:sz w:val="18"/>
                      <w:szCs w:val="18"/>
                      <w:highlight w:val="none"/>
                      <w:lang w:val="en-US" w:eastAsia="zh-CN" w:bidi="ar-SA"/>
                    </w:rPr>
                  </w:pPr>
                  <w:r>
                    <w:rPr>
                      <w:rFonts w:hint="eastAsia" w:ascii="Times New Roman" w:hAnsi="Times New Roman" w:eastAsia="宋体" w:cs="宋体"/>
                      <w:kern w:val="2"/>
                      <w:sz w:val="18"/>
                      <w:szCs w:val="18"/>
                      <w:highlight w:val="none"/>
                      <w:lang w:val="en-US" w:eastAsia="zh-CN" w:bidi="ar-SA"/>
                    </w:rPr>
                    <w:t>备注</w:t>
                  </w:r>
                </w:p>
              </w:tc>
              <w:tc>
                <w:tcPr>
                  <w:tcW w:w="7964" w:type="dxa"/>
                  <w:gridSpan w:val="10"/>
                  <w:tcBorders>
                    <w:tl2br w:val="nil"/>
                    <w:tr2bl w:val="nil"/>
                  </w:tcBorders>
                  <w:vAlign w:val="center"/>
                </w:tcPr>
                <w:p>
                  <w:pPr>
                    <w:keepNext w:val="0"/>
                    <w:keepLines w:val="0"/>
                    <w:widowControl/>
                    <w:suppressLineNumbers w:val="0"/>
                    <w:jc w:val="left"/>
                    <w:rPr>
                      <w:rFonts w:hint="default" w:ascii="Times New Roman" w:hAnsi="Times New Roman" w:eastAsia="宋体" w:cs="宋体"/>
                      <w:kern w:val="2"/>
                      <w:sz w:val="18"/>
                      <w:szCs w:val="18"/>
                      <w:highlight w:val="none"/>
                      <w:lang w:val="en-US" w:eastAsia="zh-CN" w:bidi="ar-SA"/>
                    </w:rPr>
                  </w:pPr>
                  <w:r>
                    <w:rPr>
                      <w:rFonts w:hint="eastAsia" w:ascii="Times New Roman" w:hAnsi="Times New Roman" w:eastAsia="宋体" w:cs="宋体"/>
                      <w:color w:val="000000" w:themeColor="text1"/>
                      <w:kern w:val="2"/>
                      <w:sz w:val="18"/>
                      <w:szCs w:val="18"/>
                      <w:highlight w:val="none"/>
                      <w:lang w:val="en-US" w:eastAsia="zh-CN" w:bidi="ar-SA"/>
                      <w14:textFill>
                        <w14:solidFill>
                          <w14:schemeClr w14:val="tx1"/>
                        </w14:solidFill>
                      </w14:textFill>
                    </w:rPr>
                    <w:t>“-”表示检测项目的浓度小于检出限，颗粒物的检出限为</w:t>
                  </w:r>
                  <w:r>
                    <w:rPr>
                      <w:rFonts w:hint="eastAsia" w:cs="宋体"/>
                      <w:color w:val="000000" w:themeColor="text1"/>
                      <w:kern w:val="2"/>
                      <w:sz w:val="18"/>
                      <w:szCs w:val="18"/>
                      <w:highlight w:val="none"/>
                      <w:lang w:val="en-US" w:eastAsia="zh-CN" w:bidi="ar-SA"/>
                      <w14:textFill>
                        <w14:solidFill>
                          <w14:schemeClr w14:val="tx1"/>
                        </w14:solidFill>
                      </w14:textFill>
                    </w:rPr>
                    <w:t>1</w:t>
                  </w:r>
                  <w:r>
                    <w:rPr>
                      <w:rFonts w:hint="default" w:ascii="Times New Roman" w:hAnsi="Times New Roman" w:eastAsia="宋体" w:cs="宋体"/>
                      <w:color w:val="000000" w:themeColor="text1"/>
                      <w:kern w:val="2"/>
                      <w:sz w:val="18"/>
                      <w:szCs w:val="18"/>
                      <w:highlight w:val="none"/>
                      <w:lang w:val="en-US" w:eastAsia="zh-CN" w:bidi="ar-SA"/>
                      <w14:textFill>
                        <w14:solidFill>
                          <w14:schemeClr w14:val="tx1"/>
                        </w14:solidFill>
                      </w14:textFill>
                    </w:rPr>
                    <w:t>mg/m</w:t>
                  </w:r>
                  <w:r>
                    <w:rPr>
                      <w:rFonts w:hint="default" w:ascii="Times New Roman" w:hAnsi="Times New Roman" w:eastAsia="宋体" w:cs="宋体"/>
                      <w:color w:val="000000" w:themeColor="text1"/>
                      <w:kern w:val="2"/>
                      <w:sz w:val="18"/>
                      <w:szCs w:val="18"/>
                      <w:highlight w:val="none"/>
                      <w:vertAlign w:val="superscript"/>
                      <w:lang w:val="en-US" w:eastAsia="zh-CN" w:bidi="ar-SA"/>
                      <w14:textFill>
                        <w14:solidFill>
                          <w14:schemeClr w14:val="tx1"/>
                        </w14:solidFill>
                      </w14:textFill>
                    </w:rPr>
                    <w:t>3</w:t>
                  </w:r>
                  <w:r>
                    <w:rPr>
                      <w:rFonts w:hint="eastAsia" w:ascii="Times New Roman" w:hAnsi="Times New Roman" w:eastAsia="宋体" w:cs="宋体"/>
                      <w:color w:val="000000" w:themeColor="text1"/>
                      <w:kern w:val="2"/>
                      <w:sz w:val="18"/>
                      <w:szCs w:val="18"/>
                      <w:highlight w:val="none"/>
                      <w:lang w:val="en-US" w:eastAsia="zh-CN" w:bidi="ar-SA"/>
                      <w14:textFill>
                        <w14:solidFill>
                          <w14:schemeClr w14:val="tx1"/>
                        </w14:solidFill>
                      </w14:textFill>
                    </w:rPr>
                    <w:t>，故其排放速率不予计算颗粒物</w:t>
                  </w:r>
                  <w:r>
                    <w:rPr>
                      <w:rFonts w:hint="eastAsia" w:cs="宋体"/>
                      <w:color w:val="000000" w:themeColor="text1"/>
                      <w:kern w:val="2"/>
                      <w:sz w:val="18"/>
                      <w:szCs w:val="18"/>
                      <w:highlight w:val="none"/>
                      <w:lang w:val="en-US" w:eastAsia="zh-CN" w:bidi="ar-SA"/>
                      <w14:textFill>
                        <w14:solidFill>
                          <w14:schemeClr w14:val="tx1"/>
                        </w14:solidFill>
                      </w14:textFill>
                    </w:rPr>
                    <w:t>，排放标准</w:t>
                  </w:r>
                  <w:r>
                    <w:rPr>
                      <w:rFonts w:hint="eastAsia" w:ascii="Times New Roman" w:hAnsi="Times New Roman" w:eastAsia="宋体" w:cs="宋体"/>
                      <w:color w:val="000000" w:themeColor="text1"/>
                      <w:kern w:val="2"/>
                      <w:sz w:val="18"/>
                      <w:szCs w:val="18"/>
                      <w:highlight w:val="none"/>
                      <w:lang w:val="en-US" w:eastAsia="zh-CN" w:bidi="ar-SA"/>
                      <w14:textFill>
                        <w14:solidFill>
                          <w14:schemeClr w14:val="tx1"/>
                        </w14:solidFill>
                      </w14:textFill>
                    </w:rPr>
                    <w:t>参照执行</w:t>
                  </w:r>
                  <w:r>
                    <w:rPr>
                      <w:rFonts w:hint="default" w:ascii="Times New Roman" w:hAnsi="Times New Roman" w:eastAsia="宋体" w:cs="宋体"/>
                      <w:color w:val="000000" w:themeColor="text1"/>
                      <w:kern w:val="2"/>
                      <w:sz w:val="18"/>
                      <w:szCs w:val="18"/>
                      <w:highlight w:val="none"/>
                      <w:lang w:val="en-US" w:eastAsia="zh-CN" w:bidi="ar-SA"/>
                      <w14:textFill>
                        <w14:solidFill>
                          <w14:schemeClr w14:val="tx1"/>
                        </w14:solidFill>
                      </w14:textFill>
                    </w:rPr>
                    <w:t>《水泥工业大气污染物排放标准》（GB 4915-2013）</w:t>
                  </w:r>
                  <w:r>
                    <w:rPr>
                      <w:rFonts w:hint="eastAsia" w:ascii="Times New Roman" w:hAnsi="Times New Roman" w:eastAsia="宋体" w:cs="宋体"/>
                      <w:color w:val="000000" w:themeColor="text1"/>
                      <w:kern w:val="2"/>
                      <w:sz w:val="18"/>
                      <w:szCs w:val="18"/>
                      <w:highlight w:val="none"/>
                      <w:lang w:val="en-US" w:eastAsia="zh-CN" w:bidi="ar-SA"/>
                      <w14:textFill>
                        <w14:solidFill>
                          <w14:schemeClr w14:val="tx1"/>
                        </w14:solidFill>
                      </w14:textFill>
                    </w:rPr>
                    <w:t>；</w:t>
                  </w:r>
                </w:p>
              </w:tc>
            </w:tr>
          </w:tbl>
          <w:p>
            <w:pPr>
              <w:pStyle w:val="4"/>
              <w:spacing w:line="240" w:lineRule="auto"/>
              <w:jc w:val="center"/>
              <w:outlineLvl w:val="2"/>
              <w:rPr>
                <w:rFonts w:ascii="Times New Roman" w:hAnsi="Times New Roman"/>
                <w:sz w:val="21"/>
                <w:szCs w:val="21"/>
              </w:rPr>
            </w:pPr>
          </w:p>
          <w:p>
            <w:pPr>
              <w:pStyle w:val="4"/>
              <w:spacing w:line="240" w:lineRule="auto"/>
              <w:jc w:val="center"/>
              <w:outlineLvl w:val="2"/>
            </w:pPr>
            <w:r>
              <w:rPr>
                <w:rFonts w:ascii="Times New Roman" w:hAnsi="Times New Roman"/>
                <w:sz w:val="21"/>
                <w:szCs w:val="21"/>
              </w:rPr>
              <w:t>表8-</w:t>
            </w:r>
            <w:r>
              <w:rPr>
                <w:rFonts w:hint="eastAsia" w:ascii="Times New Roman" w:hAnsi="Times New Roman"/>
                <w:sz w:val="21"/>
                <w:szCs w:val="21"/>
                <w:lang w:val="en-US" w:eastAsia="zh-CN"/>
              </w:rPr>
              <w:t xml:space="preserve">3 </w:t>
            </w:r>
            <w:r>
              <w:rPr>
                <w:rFonts w:hint="eastAsia" w:ascii="Times New Roman" w:hAnsi="Times New Roman"/>
                <w:sz w:val="21"/>
                <w:szCs w:val="21"/>
              </w:rPr>
              <w:t>无</w:t>
            </w:r>
            <w:r>
              <w:rPr>
                <w:rFonts w:ascii="Times New Roman" w:hAnsi="Times New Roman"/>
                <w:sz w:val="21"/>
                <w:szCs w:val="21"/>
              </w:rPr>
              <w:t>组织废气监测结果（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13</w:t>
            </w:r>
            <w:r>
              <w:rPr>
                <w:rFonts w:hint="eastAsia" w:ascii="Times New Roman" w:hAnsi="Times New Roman"/>
                <w:sz w:val="21"/>
                <w:szCs w:val="21"/>
              </w:rPr>
              <w:t>日</w:t>
            </w:r>
            <w:r>
              <w:rPr>
                <w:rFonts w:ascii="Times New Roman" w:hAnsi="Times New Roman"/>
                <w:sz w:val="21"/>
                <w:szCs w:val="21"/>
              </w:rPr>
              <w:t>）</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713"/>
              <w:gridCol w:w="1793"/>
              <w:gridCol w:w="1665"/>
              <w:gridCol w:w="1650"/>
              <w:gridCol w:w="1129"/>
              <w:gridCol w:w="1265"/>
              <w:gridCol w:w="77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rPr>
                    <w:t>采样日期</w:t>
                  </w:r>
                </w:p>
              </w:tc>
              <w:tc>
                <w:tcPr>
                  <w:tcW w:w="6483" w:type="dxa"/>
                  <w:gridSpan w:val="5"/>
                  <w:tcBorders>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rPr>
                    <w:t>202</w:t>
                  </w:r>
                  <w:r>
                    <w:rPr>
                      <w:rFonts w:hint="eastAsia" w:ascii="Times New Roman" w:hAnsi="Times New Roman" w:eastAsia="宋体" w:cs="宋体"/>
                      <w:sz w:val="18"/>
                      <w:szCs w:val="18"/>
                      <w:highlight w:val="none"/>
                      <w:lang w:val="en-US" w:eastAsia="zh-CN"/>
                    </w:rPr>
                    <w:t>21.13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气象参数</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第一次</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第二次</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第三次</w:t>
                  </w:r>
                </w:p>
              </w:tc>
              <w:tc>
                <w:tcPr>
                  <w:tcW w:w="1265"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第四次</w:t>
                  </w:r>
                </w:p>
              </w:tc>
              <w:tc>
                <w:tcPr>
                  <w:tcW w:w="774"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小时平均浓度值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温度（℃）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2.9</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3.1</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3.3</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3.6</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大气压（kPa）</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103.0</w:t>
                  </w:r>
                </w:p>
              </w:tc>
              <w:tc>
                <w:tcPr>
                  <w:tcW w:w="1650"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103.0</w:t>
                  </w:r>
                </w:p>
              </w:tc>
              <w:tc>
                <w:tcPr>
                  <w:tcW w:w="1129"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103.0</w:t>
                  </w:r>
                </w:p>
              </w:tc>
              <w:tc>
                <w:tcPr>
                  <w:tcW w:w="12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103.0</w:t>
                  </w:r>
                </w:p>
              </w:tc>
              <w:tc>
                <w:tcPr>
                  <w:tcW w:w="774"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相对湿度（%）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51.3</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50.1</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49.2</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48.0</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风速（m/s）</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2.5</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2.6</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2.6</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2.4</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风向</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东</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东</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东</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东</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天气</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晴</w:t>
                  </w:r>
                </w:p>
              </w:tc>
              <w:tc>
                <w:tcPr>
                  <w:tcW w:w="1650"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晴</w:t>
                  </w:r>
                </w:p>
              </w:tc>
              <w:tc>
                <w:tcPr>
                  <w:tcW w:w="1129"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晴</w:t>
                  </w:r>
                </w:p>
              </w:tc>
              <w:tc>
                <w:tcPr>
                  <w:tcW w:w="12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晴</w:t>
                  </w:r>
                </w:p>
              </w:tc>
              <w:tc>
                <w:tcPr>
                  <w:tcW w:w="774"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eastAsia="zh-CN"/>
                    </w:rPr>
                  </w:pPr>
                  <w:r>
                    <w:rPr>
                      <w:rFonts w:hint="eastAsia" w:ascii="Times New Roman" w:hAnsi="Times New Roman" w:eastAsia="宋体" w:cs="宋体"/>
                      <w:sz w:val="18"/>
                      <w:szCs w:val="18"/>
                      <w:highlight w:val="none"/>
                    </w:rPr>
                    <w:t>检测项目</w:t>
                  </w:r>
                  <w:r>
                    <w:rPr>
                      <w:rFonts w:hint="eastAsia" w:ascii="Times New Roman" w:hAnsi="Times New Roman" w:eastAsia="宋体" w:cs="宋体"/>
                      <w:sz w:val="18"/>
                      <w:szCs w:val="18"/>
                      <w:highlight w:val="none"/>
                      <w:lang w:eastAsia="zh-CN"/>
                    </w:rPr>
                    <w:t>（</w:t>
                  </w:r>
                  <w:r>
                    <w:rPr>
                      <w:rFonts w:hint="eastAsia" w:ascii="Times New Roman" w:hAnsi="Times New Roman" w:eastAsia="宋体" w:cs="宋体"/>
                      <w:sz w:val="18"/>
                      <w:szCs w:val="18"/>
                      <w:highlight w:val="none"/>
                      <w:lang w:val="en-US" w:eastAsia="zh-CN"/>
                    </w:rPr>
                    <w:t>单位</w:t>
                  </w:r>
                  <w:r>
                    <w:rPr>
                      <w:rFonts w:hint="eastAsia" w:ascii="Times New Roman" w:hAnsi="Times New Roman" w:eastAsia="宋体" w:cs="宋体"/>
                      <w:sz w:val="18"/>
                      <w:szCs w:val="18"/>
                      <w:highlight w:val="none"/>
                      <w:lang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采样点位</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检测结果</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颗粒物（</w:t>
                  </w:r>
                  <w:r>
                    <w:rPr>
                      <w:rFonts w:hint="eastAsia" w:ascii="Times New Roman" w:hAnsi="Times New Roman" w:eastAsia="宋体" w:cs="Times New Roman"/>
                      <w:sz w:val="18"/>
                      <w:szCs w:val="18"/>
                      <w:highlight w:val="none"/>
                      <w:lang w:val="en-US" w:eastAsia="zh-CN"/>
                    </w:rPr>
                    <w:t>m</w:t>
                  </w:r>
                  <w:r>
                    <w:rPr>
                      <w:rFonts w:hint="default" w:ascii="Times New Roman" w:hAnsi="Times New Roman" w:eastAsia="宋体" w:cs="Times New Roman"/>
                      <w:sz w:val="18"/>
                      <w:szCs w:val="18"/>
                      <w:highlight w:val="none"/>
                    </w:rPr>
                    <w:t>g/m</w:t>
                  </w:r>
                  <w:r>
                    <w:rPr>
                      <w:rFonts w:hint="default" w:ascii="Times New Roman" w:hAnsi="Times New Roman" w:eastAsia="宋体" w:cs="Times New Roman"/>
                      <w:sz w:val="18"/>
                      <w:szCs w:val="18"/>
                      <w:highlight w:val="none"/>
                      <w:vertAlign w:val="superscript"/>
                    </w:rPr>
                    <w:t>3</w:t>
                  </w:r>
                  <w:r>
                    <w:rPr>
                      <w:rFonts w:hint="eastAsia" w:ascii="Times New Roman" w:hAnsi="Times New Roman" w:eastAsia="宋体" w:cs="宋体"/>
                      <w:sz w:val="18"/>
                      <w:szCs w:val="18"/>
                      <w:highlight w:val="none"/>
                      <w:lang w:val="en-US"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上风向G1</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0.22</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0.35</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0.26</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0.34</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下风向G2</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0.59</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0.43</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0.38</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0.41</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18"/>
                      <w:szCs w:val="18"/>
                      <w:highlight w:val="none"/>
                      <w:lang w:val="en-US" w:eastAsia="en-US" w:bidi="ar-SA"/>
                    </w:rPr>
                  </w:pPr>
                  <w:r>
                    <w:rPr>
                      <w:rFonts w:hint="eastAsia" w:ascii="Times New Roman" w:hAnsi="Times New Roman" w:eastAsia="宋体" w:cs="宋体"/>
                      <w:sz w:val="18"/>
                      <w:szCs w:val="18"/>
                      <w:highlight w:val="none"/>
                    </w:rPr>
                    <w:t>下风向G3</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0.36</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0.39</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0.40</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0.53</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下风向G4</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t>0.46</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t>0.39</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t>0.53</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t>0.48</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t>0.46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标准限值</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t>0.5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备注</w:t>
                  </w:r>
                </w:p>
              </w:tc>
              <w:tc>
                <w:tcPr>
                  <w:tcW w:w="8276" w:type="dxa"/>
                  <w:gridSpan w:val="6"/>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宋体"/>
                      <w:sz w:val="18"/>
                      <w:szCs w:val="18"/>
                      <w:highlight w:val="none"/>
                      <w:lang w:eastAsia="zh-CN"/>
                    </w:rPr>
                  </w:pPr>
                  <w:r>
                    <w:rPr>
                      <w:rFonts w:hint="eastAsia" w:ascii="Times New Roman" w:hAnsi="Times New Roman" w:eastAsia="宋体" w:cs="宋体"/>
                      <w:color w:val="000000" w:themeColor="text1"/>
                      <w:sz w:val="18"/>
                      <w:szCs w:val="18"/>
                      <w:highlight w:val="none"/>
                      <w:lang w:eastAsia="zh-CN"/>
                      <w14:textFill>
                        <w14:solidFill>
                          <w14:schemeClr w14:val="tx1"/>
                        </w14:solidFill>
                      </w14:textFill>
                    </w:rPr>
                    <w:t>G1~G4</w:t>
                  </w:r>
                  <w:r>
                    <w:rPr>
                      <w:rFonts w:hint="eastAsia" w:ascii="Times New Roman" w:hAnsi="Times New Roman" w:eastAsia="宋体" w:cs="宋体"/>
                      <w:color w:val="000000" w:themeColor="text1"/>
                      <w:sz w:val="18"/>
                      <w:szCs w:val="18"/>
                      <w:highlight w:val="none"/>
                      <w:lang w:val="en-US" w:eastAsia="zh-CN"/>
                      <w14:textFill>
                        <w14:solidFill>
                          <w14:schemeClr w14:val="tx1"/>
                        </w14:solidFill>
                      </w14:textFill>
                    </w:rPr>
                    <w:t>颗粒物</w:t>
                  </w:r>
                  <w:r>
                    <w:rPr>
                      <w:rFonts w:hint="eastAsia" w:ascii="Times New Roman" w:hAnsi="Times New Roman" w:eastAsia="宋体" w:cs="宋体"/>
                      <w:color w:val="000000" w:themeColor="text1"/>
                      <w:sz w:val="18"/>
                      <w:szCs w:val="18"/>
                      <w:highlight w:val="none"/>
                      <w:lang w:eastAsia="zh-CN"/>
                      <w14:textFill>
                        <w14:solidFill>
                          <w14:schemeClr w14:val="tx1"/>
                        </w14:solidFill>
                      </w14:textFill>
                    </w:rPr>
                    <w:t>参照执行《水泥工业大气污染物排放标准》（GB 4915-2013）；</w:t>
                  </w:r>
                </w:p>
              </w:tc>
            </w:tr>
          </w:tbl>
          <w:p>
            <w:pPr>
              <w:pStyle w:val="4"/>
              <w:spacing w:line="240" w:lineRule="auto"/>
              <w:jc w:val="center"/>
              <w:outlineLvl w:val="2"/>
              <w:rPr>
                <w:rFonts w:ascii="Times New Roman" w:hAnsi="Times New Roman"/>
                <w:sz w:val="21"/>
                <w:szCs w:val="21"/>
              </w:rPr>
            </w:pPr>
          </w:p>
          <w:p>
            <w:pPr>
              <w:pStyle w:val="4"/>
              <w:spacing w:line="240" w:lineRule="auto"/>
              <w:jc w:val="center"/>
              <w:outlineLvl w:val="2"/>
              <w:rPr>
                <w:rFonts w:ascii="Times New Roman" w:hAnsi="Times New Roman"/>
                <w:sz w:val="21"/>
                <w:szCs w:val="21"/>
              </w:rPr>
            </w:pPr>
            <w:r>
              <w:rPr>
                <w:rFonts w:ascii="Times New Roman" w:hAnsi="Times New Roman"/>
                <w:sz w:val="21"/>
                <w:szCs w:val="21"/>
              </w:rPr>
              <w:t>表8-</w:t>
            </w:r>
            <w:r>
              <w:rPr>
                <w:rFonts w:hint="eastAsia" w:ascii="Times New Roman" w:hAnsi="Times New Roman"/>
                <w:sz w:val="21"/>
                <w:szCs w:val="21"/>
                <w:lang w:val="en-US" w:eastAsia="zh-CN"/>
              </w:rPr>
              <w:t xml:space="preserve">4 </w:t>
            </w:r>
            <w:r>
              <w:rPr>
                <w:rFonts w:hint="eastAsia" w:ascii="Times New Roman" w:hAnsi="Times New Roman"/>
                <w:sz w:val="21"/>
                <w:szCs w:val="21"/>
              </w:rPr>
              <w:t>无</w:t>
            </w:r>
            <w:r>
              <w:rPr>
                <w:rFonts w:ascii="Times New Roman" w:hAnsi="Times New Roman"/>
                <w:sz w:val="21"/>
                <w:szCs w:val="21"/>
              </w:rPr>
              <w:t>组织废气监测结果（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14</w:t>
            </w:r>
            <w:r>
              <w:rPr>
                <w:rFonts w:hint="eastAsia" w:ascii="Times New Roman" w:hAnsi="Times New Roman"/>
                <w:sz w:val="21"/>
                <w:szCs w:val="21"/>
              </w:rPr>
              <w:t>日</w:t>
            </w:r>
            <w:r>
              <w:rPr>
                <w:rFonts w:ascii="Times New Roman" w:hAnsi="Times New Roman"/>
                <w:sz w:val="21"/>
                <w:szCs w:val="21"/>
              </w:rPr>
              <w:t>）</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713"/>
              <w:gridCol w:w="1793"/>
              <w:gridCol w:w="1665"/>
              <w:gridCol w:w="1650"/>
              <w:gridCol w:w="1129"/>
              <w:gridCol w:w="1265"/>
              <w:gridCol w:w="77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rPr>
                    <w:t>采样日期</w:t>
                  </w:r>
                </w:p>
              </w:tc>
              <w:tc>
                <w:tcPr>
                  <w:tcW w:w="6483" w:type="dxa"/>
                  <w:gridSpan w:val="5"/>
                  <w:tcBorders>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rPr>
                    <w:t>202</w:t>
                  </w:r>
                  <w:r>
                    <w:rPr>
                      <w:rFonts w:hint="eastAsia" w:ascii="Times New Roman" w:hAnsi="Times New Roman" w:eastAsia="宋体" w:cs="宋体"/>
                      <w:sz w:val="18"/>
                      <w:szCs w:val="18"/>
                      <w:highlight w:val="none"/>
                      <w:lang w:val="en-US" w:eastAsia="zh-CN"/>
                    </w:rPr>
                    <w:t>2</w:t>
                  </w:r>
                  <w:r>
                    <w:rPr>
                      <w:rFonts w:hint="eastAsia" w:ascii="Times New Roman" w:hAnsi="Times New Roman" w:eastAsia="宋体" w:cs="宋体"/>
                      <w:sz w:val="18"/>
                      <w:szCs w:val="18"/>
                      <w:highlight w:val="none"/>
                    </w:rPr>
                    <w:t>.</w:t>
                  </w:r>
                  <w:r>
                    <w:rPr>
                      <w:rFonts w:hint="eastAsia" w:ascii="Times New Roman" w:hAnsi="Times New Roman" w:eastAsia="宋体" w:cs="宋体"/>
                      <w:sz w:val="18"/>
                      <w:szCs w:val="18"/>
                      <w:highlight w:val="none"/>
                      <w:lang w:val="en-US" w:eastAsia="zh-CN"/>
                    </w:rPr>
                    <w:t>1</w:t>
                  </w:r>
                  <w:r>
                    <w:rPr>
                      <w:rFonts w:hint="eastAsia" w:ascii="Times New Roman" w:hAnsi="Times New Roman" w:eastAsia="宋体" w:cs="宋体"/>
                      <w:sz w:val="18"/>
                      <w:szCs w:val="18"/>
                      <w:highlight w:val="none"/>
                    </w:rPr>
                    <w:t>.</w:t>
                  </w:r>
                  <w:r>
                    <w:rPr>
                      <w:rFonts w:hint="eastAsia" w:ascii="Times New Roman" w:hAnsi="Times New Roman" w:eastAsia="宋体" w:cs="宋体"/>
                      <w:sz w:val="18"/>
                      <w:szCs w:val="18"/>
                      <w:highlight w:val="none"/>
                      <w:lang w:val="en-US" w:eastAsia="zh-CN"/>
                    </w:rPr>
                    <w:t>14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气象参数</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第一次</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第二次</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第三次</w:t>
                  </w:r>
                </w:p>
              </w:tc>
              <w:tc>
                <w:tcPr>
                  <w:tcW w:w="1265"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第四次</w:t>
                  </w:r>
                </w:p>
              </w:tc>
              <w:tc>
                <w:tcPr>
                  <w:tcW w:w="774"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小时平均浓度值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温度（℃）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3.0</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3.1</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3.7</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4.1</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大气压（kPa）</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102.9</w:t>
                  </w:r>
                </w:p>
              </w:tc>
              <w:tc>
                <w:tcPr>
                  <w:tcW w:w="1650"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102.9</w:t>
                  </w:r>
                </w:p>
              </w:tc>
              <w:tc>
                <w:tcPr>
                  <w:tcW w:w="1129"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102.9</w:t>
                  </w:r>
                </w:p>
              </w:tc>
              <w:tc>
                <w:tcPr>
                  <w:tcW w:w="12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102.9</w:t>
                  </w:r>
                </w:p>
              </w:tc>
              <w:tc>
                <w:tcPr>
                  <w:tcW w:w="774"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相对湿度（%）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49.3</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48.9</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48.4</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48.1</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风速（m/s）</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2.9</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2.9</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3.0</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3.1</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风向</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东</w:t>
                  </w:r>
                </w:p>
              </w:tc>
              <w:tc>
                <w:tcPr>
                  <w:tcW w:w="1650"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东</w:t>
                  </w:r>
                </w:p>
              </w:tc>
              <w:tc>
                <w:tcPr>
                  <w:tcW w:w="1129"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东</w:t>
                  </w:r>
                </w:p>
              </w:tc>
              <w:tc>
                <w:tcPr>
                  <w:tcW w:w="12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东</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天气</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晴</w:t>
                  </w:r>
                </w:p>
              </w:tc>
              <w:tc>
                <w:tcPr>
                  <w:tcW w:w="1650"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晴</w:t>
                  </w:r>
                </w:p>
              </w:tc>
              <w:tc>
                <w:tcPr>
                  <w:tcW w:w="1129"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晴</w:t>
                  </w:r>
                </w:p>
              </w:tc>
              <w:tc>
                <w:tcPr>
                  <w:tcW w:w="12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晴</w:t>
                  </w:r>
                </w:p>
              </w:tc>
              <w:tc>
                <w:tcPr>
                  <w:tcW w:w="774"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eastAsia="zh-CN"/>
                    </w:rPr>
                  </w:pPr>
                  <w:r>
                    <w:rPr>
                      <w:rFonts w:hint="eastAsia" w:ascii="Times New Roman" w:hAnsi="Times New Roman" w:eastAsia="宋体" w:cs="宋体"/>
                      <w:sz w:val="18"/>
                      <w:szCs w:val="18"/>
                      <w:highlight w:val="none"/>
                    </w:rPr>
                    <w:t>检测项目</w:t>
                  </w:r>
                  <w:r>
                    <w:rPr>
                      <w:rFonts w:hint="eastAsia" w:ascii="Times New Roman" w:hAnsi="Times New Roman" w:eastAsia="宋体" w:cs="宋体"/>
                      <w:sz w:val="18"/>
                      <w:szCs w:val="18"/>
                      <w:highlight w:val="none"/>
                      <w:lang w:eastAsia="zh-CN"/>
                    </w:rPr>
                    <w:t>（</w:t>
                  </w:r>
                  <w:r>
                    <w:rPr>
                      <w:rFonts w:hint="eastAsia" w:ascii="Times New Roman" w:hAnsi="Times New Roman" w:eastAsia="宋体" w:cs="宋体"/>
                      <w:sz w:val="18"/>
                      <w:szCs w:val="18"/>
                      <w:highlight w:val="none"/>
                      <w:lang w:val="en-US" w:eastAsia="zh-CN"/>
                    </w:rPr>
                    <w:t>单位</w:t>
                  </w:r>
                  <w:r>
                    <w:rPr>
                      <w:rFonts w:hint="eastAsia" w:ascii="Times New Roman" w:hAnsi="Times New Roman" w:eastAsia="宋体" w:cs="宋体"/>
                      <w:sz w:val="18"/>
                      <w:szCs w:val="18"/>
                      <w:highlight w:val="none"/>
                      <w:lang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采样点位</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检测结果</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颗粒物（</w:t>
                  </w:r>
                  <w:r>
                    <w:rPr>
                      <w:rFonts w:hint="eastAsia" w:ascii="Times New Roman" w:hAnsi="Times New Roman" w:eastAsia="宋体" w:cs="Times New Roman"/>
                      <w:sz w:val="18"/>
                      <w:szCs w:val="18"/>
                      <w:highlight w:val="none"/>
                      <w:lang w:val="en-US" w:eastAsia="zh-CN"/>
                    </w:rPr>
                    <w:t>m</w:t>
                  </w:r>
                  <w:r>
                    <w:rPr>
                      <w:rFonts w:hint="default" w:ascii="Times New Roman" w:hAnsi="Times New Roman" w:eastAsia="宋体" w:cs="Times New Roman"/>
                      <w:sz w:val="18"/>
                      <w:szCs w:val="18"/>
                      <w:highlight w:val="none"/>
                    </w:rPr>
                    <w:t>g/m</w:t>
                  </w:r>
                  <w:r>
                    <w:rPr>
                      <w:rFonts w:hint="default" w:ascii="Times New Roman" w:hAnsi="Times New Roman" w:eastAsia="宋体" w:cs="Times New Roman"/>
                      <w:sz w:val="18"/>
                      <w:szCs w:val="18"/>
                      <w:highlight w:val="none"/>
                      <w:vertAlign w:val="superscript"/>
                    </w:rPr>
                    <w:t>3</w:t>
                  </w:r>
                  <w:r>
                    <w:rPr>
                      <w:rFonts w:hint="eastAsia" w:ascii="Times New Roman" w:hAnsi="Times New Roman" w:eastAsia="宋体" w:cs="宋体"/>
                      <w:sz w:val="18"/>
                      <w:szCs w:val="18"/>
                      <w:highlight w:val="none"/>
                      <w:lang w:val="en-US"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上风向G1</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0.19</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0.24</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0.22</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下风向G2</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0.49</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0.43</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0.48</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0.36</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18"/>
                      <w:szCs w:val="18"/>
                      <w:highlight w:val="none"/>
                      <w:lang w:val="en-US" w:eastAsia="en-US" w:bidi="ar-SA"/>
                    </w:rPr>
                  </w:pPr>
                  <w:r>
                    <w:rPr>
                      <w:rFonts w:hint="eastAsia" w:ascii="Times New Roman" w:hAnsi="Times New Roman" w:eastAsia="宋体" w:cs="宋体"/>
                      <w:sz w:val="18"/>
                      <w:szCs w:val="18"/>
                      <w:highlight w:val="none"/>
                    </w:rPr>
                    <w:t>下风向G3</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0.44</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0.47</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0.38</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下风向G4</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165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0.39</w:t>
                  </w:r>
                </w:p>
              </w:tc>
              <w:tc>
                <w:tcPr>
                  <w:tcW w:w="112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0.32</w:t>
                  </w:r>
                </w:p>
              </w:tc>
              <w:tc>
                <w:tcPr>
                  <w:tcW w:w="12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0.50</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宋体"/>
                      <w:color w:val="000000" w:themeColor="text1"/>
                      <w:sz w:val="18"/>
                      <w:szCs w:val="18"/>
                      <w:highlight w:val="none"/>
                      <w:lang w:val="en-US" w:eastAsia="zh-CN"/>
                      <w14:textFill>
                        <w14:solidFill>
                          <w14:schemeClr w14:val="tx1"/>
                        </w14:solidFill>
                      </w14:textFill>
                    </w:rPr>
                    <w:t>标准限值</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highlight w:val="none"/>
                      <w:lang w:val="en-US" w:eastAsia="zh-CN" w:bidi="ar-SA"/>
                      <w14:textFill>
                        <w14:solidFill>
                          <w14:schemeClr w14:val="tx1"/>
                        </w14:solidFill>
                      </w14:textFill>
                    </w:rPr>
                    <w:t>0.5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备注</w:t>
                  </w:r>
                </w:p>
              </w:tc>
              <w:tc>
                <w:tcPr>
                  <w:tcW w:w="8276" w:type="dxa"/>
                  <w:gridSpan w:val="6"/>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宋体"/>
                      <w:color w:val="000000" w:themeColor="text1"/>
                      <w:sz w:val="18"/>
                      <w:szCs w:val="18"/>
                      <w:highlight w:val="none"/>
                      <w:lang w:eastAsia="zh-CN"/>
                      <w14:textFill>
                        <w14:solidFill>
                          <w14:schemeClr w14:val="tx1"/>
                        </w14:solidFill>
                      </w14:textFill>
                    </w:rPr>
                  </w:pPr>
                  <w:r>
                    <w:rPr>
                      <w:rFonts w:hint="eastAsia" w:ascii="Times New Roman" w:hAnsi="Times New Roman" w:eastAsia="宋体" w:cs="宋体"/>
                      <w:color w:val="000000" w:themeColor="text1"/>
                      <w:sz w:val="18"/>
                      <w:szCs w:val="18"/>
                      <w:highlight w:val="none"/>
                      <w:lang w:eastAsia="zh-CN"/>
                      <w14:textFill>
                        <w14:solidFill>
                          <w14:schemeClr w14:val="tx1"/>
                        </w14:solidFill>
                      </w14:textFill>
                    </w:rPr>
                    <w:t>G1~G4</w:t>
                  </w:r>
                  <w:r>
                    <w:rPr>
                      <w:rFonts w:hint="eastAsia" w:ascii="Times New Roman" w:hAnsi="Times New Roman" w:eastAsia="宋体" w:cs="宋体"/>
                      <w:color w:val="000000" w:themeColor="text1"/>
                      <w:sz w:val="18"/>
                      <w:szCs w:val="18"/>
                      <w:highlight w:val="none"/>
                      <w:lang w:val="en-US" w:eastAsia="zh-CN"/>
                      <w14:textFill>
                        <w14:solidFill>
                          <w14:schemeClr w14:val="tx1"/>
                        </w14:solidFill>
                      </w14:textFill>
                    </w:rPr>
                    <w:t>颗粒物</w:t>
                  </w:r>
                  <w:r>
                    <w:rPr>
                      <w:rFonts w:hint="eastAsia" w:ascii="Times New Roman" w:hAnsi="Times New Roman" w:eastAsia="宋体" w:cs="宋体"/>
                      <w:color w:val="000000" w:themeColor="text1"/>
                      <w:sz w:val="18"/>
                      <w:szCs w:val="18"/>
                      <w:highlight w:val="none"/>
                      <w:lang w:eastAsia="zh-CN"/>
                      <w14:textFill>
                        <w14:solidFill>
                          <w14:schemeClr w14:val="tx1"/>
                        </w14:solidFill>
                      </w14:textFill>
                    </w:rPr>
                    <w:t>参照执行《水泥工业大气污染物排放标准》（GB 4915-2013）；</w:t>
                  </w:r>
                </w:p>
              </w:tc>
            </w:tr>
          </w:tbl>
          <w:p>
            <w:pPr>
              <w:rPr>
                <w:rFonts w:ascii="Times New Roman" w:hAnsi="Times New Roman"/>
                <w:sz w:val="21"/>
                <w:szCs w:val="21"/>
              </w:rPr>
            </w:pPr>
          </w:p>
          <w:p>
            <w:pPr>
              <w:pStyle w:val="89"/>
              <w:numPr>
                <w:ilvl w:val="0"/>
                <w:numId w:val="0"/>
              </w:numPr>
              <w:spacing w:before="120" w:beforeLines="50" w:line="360" w:lineRule="auto"/>
              <w:ind w:firstLine="480" w:firstLineChars="200"/>
              <w:jc w:val="both"/>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由上表可知，通过布袋除尘处理本项目颗粒物排放浓度和排放速率极低，可满足《水泥工业大气污染物排放标准》（GB 4915-2013）表2及表3限值标准。</w:t>
            </w:r>
          </w:p>
          <w:p>
            <w:pPr>
              <w:pStyle w:val="89"/>
              <w:numPr>
                <w:ilvl w:val="0"/>
                <w:numId w:val="0"/>
              </w:numPr>
              <w:spacing w:before="120" w:beforeLines="50" w:line="360" w:lineRule="auto"/>
              <w:ind w:firstLine="480" w:firstLineChars="200"/>
              <w:jc w:val="both"/>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吴江华茂新型建材有限公司“2018-320509-41-03-577948年产非承重普通混凝土空心砖6万平方米、混凝土实心砖3万平方米生产技术改造项目”颗粒物有组织排放量合计为0.133t/a，小于环评批复的0.388t/a，1#排气筒处理设施布袋除尘装置处理后</w:t>
            </w:r>
            <w:r>
              <w:rPr>
                <w:rFonts w:hint="eastAsia" w:ascii="Times New Roman" w:hAnsi="Times New Roman" w:eastAsia="宋体" w:cs="Times New Roman"/>
                <w:color w:val="000000" w:themeColor="text1"/>
                <w:sz w:val="24"/>
                <w:lang w:val="en-US" w:eastAsia="zh-CN"/>
                <w14:textFill>
                  <w14:solidFill>
                    <w14:schemeClr w14:val="tx1"/>
                  </w14:solidFill>
                </w14:textFill>
              </w:rPr>
              <w:t>颗粒物有组织排放浓度和排放速率极低，可满足《水泥工业大气污染物排放标准》（GB 4915-2013）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表2及表3限值标准</w:t>
            </w:r>
            <w:r>
              <w:rPr>
                <w:rFonts w:hint="eastAsia" w:ascii="Times New Roman" w:hAnsi="Times New Roman" w:eastAsia="宋体" w:cs="Times New Roman"/>
                <w:color w:val="000000" w:themeColor="text1"/>
                <w:sz w:val="24"/>
                <w:lang w:val="en-US" w:eastAsia="zh-CN"/>
                <w14:textFill>
                  <w14:solidFill>
                    <w14:schemeClr w14:val="tx1"/>
                  </w14:solidFill>
                </w14:textFill>
              </w:rPr>
              <w:t>。</w:t>
            </w:r>
          </w:p>
          <w:p>
            <w:pPr>
              <w:pStyle w:val="4"/>
              <w:spacing w:line="240" w:lineRule="auto"/>
              <w:jc w:val="center"/>
              <w:outlineLvl w:val="2"/>
              <w:rPr>
                <w:rFonts w:hint="default" w:ascii="Times New Roman" w:hAnsi="Times New Roman"/>
                <w:sz w:val="21"/>
                <w:szCs w:val="21"/>
                <w:lang w:val="en-US" w:eastAsia="zh-CN"/>
              </w:rPr>
            </w:pPr>
            <w:r>
              <w:rPr>
                <w:rFonts w:hint="eastAsia" w:ascii="Times New Roman" w:hAnsi="Times New Roman"/>
                <w:sz w:val="21"/>
                <w:szCs w:val="21"/>
                <w:lang w:val="en-US" w:eastAsia="zh-CN"/>
              </w:rPr>
              <w:t>表8-5 有组织废气总量对比</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118"/>
              <w:gridCol w:w="1347"/>
              <w:gridCol w:w="2114"/>
              <w:gridCol w:w="2113"/>
              <w:gridCol w:w="2209"/>
              <w:gridCol w:w="108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污染物名称</w:t>
                  </w:r>
                </w:p>
              </w:tc>
              <w:tc>
                <w:tcPr>
                  <w:tcW w:w="134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年运行时间</w:t>
                  </w:r>
                </w:p>
              </w:tc>
              <w:tc>
                <w:tcPr>
                  <w:tcW w:w="211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排放速率（均值，kg/h）</w:t>
                  </w:r>
                </w:p>
              </w:tc>
              <w:tc>
                <w:tcPr>
                  <w:tcW w:w="21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有组织产生量（t/a）</w:t>
                  </w:r>
                </w:p>
              </w:tc>
              <w:tc>
                <w:tcPr>
                  <w:tcW w:w="220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环评总量控制（t/a）</w:t>
                  </w:r>
                </w:p>
              </w:tc>
              <w:tc>
                <w:tcPr>
                  <w:tcW w:w="10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判定</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颗粒物（1#）</w:t>
                  </w:r>
                </w:p>
              </w:tc>
              <w:tc>
                <w:tcPr>
                  <w:tcW w:w="134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2400</w:t>
                  </w:r>
                </w:p>
              </w:tc>
              <w:tc>
                <w:tcPr>
                  <w:tcW w:w="211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0.0555</w:t>
                  </w:r>
                </w:p>
              </w:tc>
              <w:tc>
                <w:tcPr>
                  <w:tcW w:w="2113" w:type="dxa"/>
                  <w:tcBorders>
                    <w:bottom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t>0.133</w:t>
                  </w:r>
                </w:p>
              </w:tc>
              <w:tc>
                <w:tcPr>
                  <w:tcW w:w="2209" w:type="dxa"/>
                  <w:tcBorders>
                    <w:bottom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w:t>
                  </w: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388</w:t>
                  </w:r>
                </w:p>
              </w:tc>
              <w:tc>
                <w:tcPr>
                  <w:tcW w:w="10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备注</w:t>
                  </w:r>
                </w:p>
              </w:tc>
              <w:tc>
                <w:tcPr>
                  <w:tcW w:w="8871"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sz w:val="18"/>
                      <w:szCs w:val="18"/>
                      <w:vertAlign w:val="superscript"/>
                      <w:lang w:val="en-US" w:eastAsia="zh-CN"/>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①计算公式：有组织废气实际排放量（t/a）=污染物排放速率（kg/h）*排气筒年运行时间（h）/</w:t>
                  </w:r>
                  <w:r>
                    <w:rPr>
                      <w:rFonts w:hint="eastAsia" w:ascii="Times New Roman" w:hAnsi="Times New Roman" w:eastAsia="宋体" w:cs="宋体"/>
                      <w:sz w:val="18"/>
                      <w:szCs w:val="18"/>
                      <w:lang w:val="en-US" w:eastAsia="zh-CN"/>
                    </w:rPr>
                    <w:t>10</w:t>
                  </w:r>
                  <w:r>
                    <w:rPr>
                      <w:rFonts w:hint="eastAsia" w:ascii="Times New Roman" w:hAnsi="Times New Roman" w:eastAsia="宋体" w:cs="宋体"/>
                      <w:sz w:val="18"/>
                      <w:szCs w:val="18"/>
                      <w:vertAlign w:val="superscript"/>
                      <w:lang w:val="en-US" w:eastAsia="zh-CN"/>
                    </w:rPr>
                    <w:t>3</w:t>
                  </w:r>
                </w:p>
                <w:p>
                  <w:pPr>
                    <w:pStyle w:val="8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宋体"/>
                      <w:sz w:val="18"/>
                      <w:szCs w:val="18"/>
                      <w:vertAlign w:val="baseline"/>
                      <w:lang w:val="en-US" w:eastAsia="zh-CN"/>
                    </w:rPr>
                  </w:pPr>
                  <w:r>
                    <w:rPr>
                      <w:rFonts w:hint="eastAsia" w:ascii="Times New Roman" w:hAnsi="Times New Roman" w:eastAsia="宋体" w:cs="宋体"/>
                      <w:sz w:val="18"/>
                      <w:szCs w:val="18"/>
                      <w:vertAlign w:val="baseline"/>
                      <w:lang w:val="en-US" w:eastAsia="zh-CN"/>
                    </w:rPr>
                    <w:t>②低于检出限值按检出限值一半计算</w:t>
                  </w:r>
                </w:p>
              </w:tc>
            </w:tr>
          </w:tbl>
          <w:p>
            <w:pPr>
              <w:pStyle w:val="4"/>
              <w:spacing w:line="360" w:lineRule="auto"/>
              <w:jc w:val="both"/>
              <w:outlineLvl w:val="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2、噪声</w:t>
            </w:r>
          </w:p>
          <w:p>
            <w:pPr>
              <w:pStyle w:val="4"/>
              <w:spacing w:line="240" w:lineRule="auto"/>
              <w:jc w:val="center"/>
              <w:outlineLvl w:val="2"/>
              <w:rPr>
                <w:rFonts w:hint="eastAsia" w:ascii="Times New Roman" w:hAnsi="Times New Roman"/>
                <w:sz w:val="21"/>
                <w:szCs w:val="21"/>
                <w:lang w:eastAsia="zh-CN"/>
              </w:rPr>
            </w:pPr>
            <w:r>
              <w:rPr>
                <w:rFonts w:hint="eastAsia" w:ascii="Times New Roman" w:hAnsi="Times New Roman"/>
                <w:sz w:val="21"/>
                <w:szCs w:val="21"/>
                <w:lang w:eastAsia="zh-CN"/>
              </w:rPr>
              <w:t>表8-</w:t>
            </w:r>
            <w:r>
              <w:rPr>
                <w:rFonts w:hint="eastAsia" w:ascii="Times New Roman" w:hAnsi="Times New Roman"/>
                <w:sz w:val="21"/>
                <w:szCs w:val="21"/>
                <w:lang w:val="en-US" w:eastAsia="zh-CN"/>
              </w:rPr>
              <w:t xml:space="preserve">6 </w:t>
            </w:r>
            <w:r>
              <w:rPr>
                <w:rFonts w:hint="eastAsia" w:ascii="Times New Roman" w:hAnsi="Times New Roman"/>
                <w:sz w:val="21"/>
                <w:szCs w:val="21"/>
                <w:lang w:eastAsia="zh-CN"/>
              </w:rPr>
              <w:t>噪声监测结果统计表（单位：dB(A)）</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52" w:type="dxa"/>
                <w:left w:w="108" w:type="dxa"/>
                <w:bottom w:w="0" w:type="dxa"/>
                <w:right w:w="109" w:type="dxa"/>
              </w:tblCellMar>
            </w:tblPr>
            <w:tblGrid>
              <w:gridCol w:w="1285"/>
              <w:gridCol w:w="1378"/>
              <w:gridCol w:w="678"/>
              <w:gridCol w:w="849"/>
              <w:gridCol w:w="1424"/>
              <w:gridCol w:w="1456"/>
              <w:gridCol w:w="1300"/>
              <w:gridCol w:w="161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监测时间</w:t>
                  </w:r>
                </w:p>
              </w:tc>
              <w:tc>
                <w:tcPr>
                  <w:tcW w:w="7326" w:type="dxa"/>
                  <w:gridSpan w:val="6"/>
                  <w:tcBorders>
                    <w:tl2br w:val="nil"/>
                    <w:tr2bl w:val="nil"/>
                  </w:tcBorders>
                  <w:noWrap w:val="0"/>
                  <w:vAlign w:val="center"/>
                </w:tcPr>
                <w:p>
                  <w:pPr>
                    <w:spacing w:line="240" w:lineRule="auto"/>
                    <w:ind w:left="4"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202</w:t>
                  </w:r>
                  <w:r>
                    <w:rPr>
                      <w:rFonts w:hint="eastAsia" w:cs="Times New Roman"/>
                      <w:sz w:val="18"/>
                      <w:szCs w:val="18"/>
                      <w:lang w:val="en-US" w:eastAsia="zh-CN"/>
                    </w:rPr>
                    <w:t>2.1</w:t>
                  </w:r>
                  <w:r>
                    <w:rPr>
                      <w:rFonts w:hint="default" w:ascii="Times New Roman" w:hAnsi="Times New Roman" w:eastAsia="宋体" w:cs="Times New Roman"/>
                      <w:sz w:val="18"/>
                      <w:szCs w:val="18"/>
                    </w:rPr>
                    <w:t>.</w:t>
                  </w:r>
                  <w:r>
                    <w:rPr>
                      <w:rFonts w:hint="eastAsia" w:cs="Times New Roman"/>
                      <w:sz w:val="18"/>
                      <w:szCs w:val="18"/>
                      <w:lang w:val="en-US" w:eastAsia="zh-CN"/>
                    </w:rPr>
                    <w:t>13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环境条件</w:t>
                  </w:r>
                </w:p>
              </w:tc>
              <w:tc>
                <w:tcPr>
                  <w:tcW w:w="678" w:type="dxa"/>
                  <w:tcBorders>
                    <w:right w:val="single" w:color="auto" w:sz="4" w:space="0"/>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rPr>
                    <w:t>昼间</w:t>
                  </w:r>
                </w:p>
              </w:tc>
              <w:tc>
                <w:tcPr>
                  <w:tcW w:w="2273" w:type="dxa"/>
                  <w:gridSpan w:val="2"/>
                  <w:tcBorders>
                    <w:lef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天气：晴 风速（m/s）3.0</w:t>
                  </w:r>
                </w:p>
              </w:tc>
              <w:tc>
                <w:tcPr>
                  <w:tcW w:w="1456" w:type="dxa"/>
                  <w:vMerge w:val="restart"/>
                  <w:tcBorders>
                    <w:tl2br w:val="nil"/>
                    <w:tr2bl w:val="nil"/>
                  </w:tcBorders>
                  <w:noWrap w:val="0"/>
                  <w:vAlign w:val="center"/>
                </w:tcPr>
                <w:p>
                  <w:pPr>
                    <w:spacing w:line="240" w:lineRule="auto"/>
                    <w:ind w:right="1"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测试工况</w:t>
                  </w:r>
                </w:p>
              </w:tc>
              <w:tc>
                <w:tcPr>
                  <w:tcW w:w="2919" w:type="dxa"/>
                  <w:gridSpan w:val="2"/>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正常生产：</w:t>
                  </w:r>
                  <w:r>
                    <w:rPr>
                      <w:rFonts w:hint="eastAsia" w:ascii="Times New Roman" w:hAnsi="Times New Roman" w:eastAsia="宋体" w:cs="Times New Roman"/>
                      <w:sz w:val="18"/>
                      <w:szCs w:val="18"/>
                      <w:lang w:val="en-US" w:eastAsia="zh-CN"/>
                    </w:rPr>
                    <w:t>白天生产、晚上休息</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continue"/>
                  <w:tcBorders>
                    <w:tl2br w:val="nil"/>
                    <w:tr2bl w:val="nil"/>
                  </w:tcBorders>
                  <w:noWrap w:val="0"/>
                  <w:vAlign w:val="center"/>
                </w:tcPr>
                <w:p>
                  <w:pPr>
                    <w:spacing w:line="240" w:lineRule="auto"/>
                    <w:ind w:firstLine="0" w:firstLineChars="0"/>
                    <w:jc w:val="center"/>
                    <w:rPr>
                      <w:rFonts w:hint="eastAsia" w:cs="Times New Roman"/>
                      <w:sz w:val="18"/>
                      <w:szCs w:val="18"/>
                      <w:lang w:val="en-US" w:eastAsia="zh-CN"/>
                    </w:rPr>
                  </w:pPr>
                </w:p>
              </w:tc>
              <w:tc>
                <w:tcPr>
                  <w:tcW w:w="678" w:type="dxa"/>
                  <w:tcBorders>
                    <w:right w:val="single" w:color="auto" w:sz="4" w:space="0"/>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夜间</w:t>
                  </w:r>
                </w:p>
              </w:tc>
              <w:tc>
                <w:tcPr>
                  <w:tcW w:w="2273" w:type="dxa"/>
                  <w:gridSpan w:val="2"/>
                  <w:tcBorders>
                    <w:lef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天气：晴 风速（m/s）2.7</w:t>
                  </w:r>
                </w:p>
              </w:tc>
              <w:tc>
                <w:tcPr>
                  <w:tcW w:w="1456" w:type="dxa"/>
                  <w:vMerge w:val="continue"/>
                  <w:tcBorders>
                    <w:tl2br w:val="nil"/>
                    <w:tr2bl w:val="nil"/>
                  </w:tcBorders>
                  <w:noWrap w:val="0"/>
                  <w:vAlign w:val="center"/>
                </w:tcPr>
                <w:p>
                  <w:pPr>
                    <w:spacing w:line="240" w:lineRule="auto"/>
                    <w:ind w:right="1" w:firstLine="0" w:firstLineChars="0"/>
                    <w:jc w:val="center"/>
                    <w:rPr>
                      <w:rFonts w:hint="default" w:ascii="Times New Roman" w:hAnsi="Times New Roman" w:eastAsia="宋体" w:cs="Times New Roman"/>
                      <w:sz w:val="18"/>
                      <w:szCs w:val="18"/>
                    </w:rPr>
                  </w:pPr>
                </w:p>
              </w:tc>
              <w:tc>
                <w:tcPr>
                  <w:tcW w:w="2919" w:type="dxa"/>
                  <w:gridSpan w:val="2"/>
                  <w:vMerge w:val="continue"/>
                  <w:tcBorders>
                    <w:tl2br w:val="nil"/>
                    <w:tr2bl w:val="nil"/>
                  </w:tcBorders>
                  <w:noWrap w:val="0"/>
                  <w:vAlign w:val="center"/>
                </w:tcPr>
                <w:p>
                  <w:pPr>
                    <w:spacing w:line="240" w:lineRule="auto"/>
                    <w:ind w:right="4" w:firstLine="0" w:firstLineChars="0"/>
                    <w:jc w:val="center"/>
                    <w:rPr>
                      <w:rFonts w:hint="eastAsia" w:cs="Times New Roman"/>
                      <w:sz w:val="18"/>
                      <w:szCs w:val="18"/>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测点编号</w:t>
                  </w:r>
                </w:p>
              </w:tc>
              <w:tc>
                <w:tcPr>
                  <w:tcW w:w="1378"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测点位置</w:t>
                  </w:r>
                </w:p>
              </w:tc>
              <w:tc>
                <w:tcPr>
                  <w:tcW w:w="1527" w:type="dxa"/>
                  <w:gridSpan w:val="2"/>
                  <w:vMerge w:val="restart"/>
                  <w:tcBorders>
                    <w:tl2br w:val="nil"/>
                    <w:tr2bl w:val="nil"/>
                  </w:tcBorders>
                  <w:noWrap w:val="0"/>
                  <w:vAlign w:val="center"/>
                </w:tcPr>
                <w:p>
                  <w:pPr>
                    <w:spacing w:line="240" w:lineRule="auto"/>
                    <w:ind w:left="17" w:right="18"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主要噪声源</w:t>
                  </w:r>
                </w:p>
              </w:tc>
              <w:tc>
                <w:tcPr>
                  <w:tcW w:w="2880" w:type="dxa"/>
                  <w:gridSpan w:val="2"/>
                  <w:tcBorders>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昼间</w:t>
                  </w:r>
                </w:p>
              </w:tc>
              <w:tc>
                <w:tcPr>
                  <w:tcW w:w="2919" w:type="dxa"/>
                  <w:gridSpan w:val="2"/>
                  <w:tcBorders>
                    <w:left w:val="single" w:color="auto" w:sz="4" w:space="0"/>
                    <w:tl2br w:val="nil"/>
                    <w:tr2bl w:val="nil"/>
                  </w:tcBorders>
                  <w:noWrap w:val="0"/>
                  <w:vAlign w:val="center"/>
                </w:tcPr>
                <w:p>
                  <w:pPr>
                    <w:spacing w:line="240" w:lineRule="auto"/>
                    <w:ind w:left="1" w:firstLine="0" w:firstLineChars="0"/>
                    <w:jc w:val="center"/>
                    <w:rPr>
                      <w:rFonts w:hint="eastAsia" w:ascii="Times New Roman" w:hAnsi="Times New Roman" w:eastAsia="宋体" w:cs="Times New Roman"/>
                      <w:b/>
                      <w:bCs/>
                      <w:sz w:val="18"/>
                      <w:szCs w:val="18"/>
                      <w:lang w:val="en-US" w:eastAsia="zh-CN"/>
                    </w:rPr>
                  </w:pPr>
                  <w:r>
                    <w:rPr>
                      <w:rFonts w:hint="eastAsia" w:ascii="Times New Roman" w:hAnsi="Times New Roman" w:cs="Times New Roman"/>
                      <w:b w:val="0"/>
                      <w:bCs w:val="0"/>
                      <w:sz w:val="18"/>
                      <w:szCs w:val="18"/>
                      <w:lang w:val="en-US" w:eastAsia="zh-CN"/>
                    </w:rPr>
                    <w:t>夜间</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37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527" w:type="dxa"/>
                  <w:gridSpan w:val="2"/>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42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456" w:type="dxa"/>
                  <w:tcBorders>
                    <w:right w:val="single" w:color="auto" w:sz="4" w:space="0"/>
                    <w:tl2br w:val="nil"/>
                    <w:tr2bl w:val="nil"/>
                  </w:tcBorders>
                  <w:noWrap w:val="0"/>
                  <w:vAlign w:val="center"/>
                </w:tcPr>
                <w:p>
                  <w:pPr>
                    <w:spacing w:line="240" w:lineRule="auto"/>
                    <w:ind w:right="1"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标准限值dB(A)</w:t>
                  </w:r>
                </w:p>
              </w:tc>
              <w:tc>
                <w:tcPr>
                  <w:tcW w:w="1300" w:type="dxa"/>
                  <w:tcBorders>
                    <w:left w:val="single" w:color="auto" w:sz="4" w:space="0"/>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b w:val="0"/>
                      <w:bCs w:val="0"/>
                      <w:kern w:val="2"/>
                      <w:sz w:val="18"/>
                      <w:szCs w:val="18"/>
                      <w:lang w:val="en-US" w:eastAsia="zh-CN" w:bidi="ar-SA"/>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619" w:type="dxa"/>
                  <w:tcBorders>
                    <w:left w:val="single" w:color="auto" w:sz="4" w:space="0"/>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标准限值 dB(A)</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N1</w:t>
                  </w:r>
                </w:p>
              </w:tc>
              <w:tc>
                <w:tcPr>
                  <w:tcW w:w="1378"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东</w:t>
                  </w:r>
                  <w:r>
                    <w:rPr>
                      <w:rFonts w:hint="default" w:ascii="Times New Roman" w:hAnsi="Times New Roman" w:eastAsia="宋体" w:cs="Times New Roman"/>
                      <w:sz w:val="18"/>
                      <w:szCs w:val="18"/>
                    </w:rPr>
                    <w:t>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52.4</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bottom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46.4</w:t>
                  </w:r>
                </w:p>
              </w:tc>
              <w:tc>
                <w:tcPr>
                  <w:tcW w:w="1619" w:type="dxa"/>
                  <w:tcBorders>
                    <w:bottom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N2</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55.4</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46.4</w:t>
                  </w:r>
                </w:p>
              </w:tc>
              <w:tc>
                <w:tcPr>
                  <w:tcW w:w="1619"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N3</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西厂界外1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54.2</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45.5</w:t>
                  </w:r>
                </w:p>
              </w:tc>
              <w:tc>
                <w:tcPr>
                  <w:tcW w:w="1619" w:type="dxa"/>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N4</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54.8</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45.9</w:t>
                  </w:r>
                </w:p>
              </w:tc>
              <w:tc>
                <w:tcPr>
                  <w:tcW w:w="1619"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监测时间</w:t>
                  </w:r>
                </w:p>
              </w:tc>
              <w:tc>
                <w:tcPr>
                  <w:tcW w:w="7326" w:type="dxa"/>
                  <w:gridSpan w:val="6"/>
                  <w:tcBorders>
                    <w:tl2br w:val="nil"/>
                    <w:tr2bl w:val="nil"/>
                  </w:tcBorders>
                  <w:noWrap w:val="0"/>
                  <w:vAlign w:val="center"/>
                </w:tcPr>
                <w:p>
                  <w:pPr>
                    <w:spacing w:line="240" w:lineRule="auto"/>
                    <w:ind w:left="6" w:firstLine="0" w:firstLineChars="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rPr>
                    <w:t>202</w:t>
                  </w:r>
                  <w:r>
                    <w:rPr>
                      <w:rFonts w:hint="eastAsia" w:cs="Times New Roman"/>
                      <w:sz w:val="18"/>
                      <w:szCs w:val="18"/>
                      <w:lang w:val="en-US" w:eastAsia="zh-CN"/>
                    </w:rPr>
                    <w:t>2</w:t>
                  </w:r>
                  <w:r>
                    <w:rPr>
                      <w:rFonts w:hint="default" w:ascii="Times New Roman" w:hAnsi="Times New Roman" w:eastAsia="宋体" w:cs="Times New Roman"/>
                      <w:sz w:val="18"/>
                      <w:szCs w:val="18"/>
                    </w:rPr>
                    <w:t>.</w:t>
                  </w:r>
                  <w:r>
                    <w:rPr>
                      <w:rFonts w:hint="eastAsia" w:cs="Times New Roman"/>
                      <w:sz w:val="18"/>
                      <w:szCs w:val="18"/>
                      <w:lang w:val="en-US" w:eastAsia="zh-CN"/>
                    </w:rPr>
                    <w:t>1</w:t>
                  </w:r>
                  <w:r>
                    <w:rPr>
                      <w:rFonts w:hint="default" w:ascii="Times New Roman" w:hAnsi="Times New Roman" w:eastAsia="宋体" w:cs="Times New Roman"/>
                      <w:sz w:val="18"/>
                      <w:szCs w:val="18"/>
                    </w:rPr>
                    <w:t>.</w:t>
                  </w:r>
                  <w:r>
                    <w:rPr>
                      <w:rFonts w:hint="eastAsia" w:cs="Times New Roman"/>
                      <w:sz w:val="18"/>
                      <w:szCs w:val="18"/>
                      <w:lang w:val="en-US" w:eastAsia="zh-CN"/>
                    </w:rPr>
                    <w:t>14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天气情况</w:t>
                  </w:r>
                </w:p>
              </w:tc>
              <w:tc>
                <w:tcPr>
                  <w:tcW w:w="678" w:type="dxa"/>
                  <w:tcBorders>
                    <w:bottom w:val="single" w:color="auto" w:sz="4" w:space="0"/>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昼间</w:t>
                  </w:r>
                </w:p>
              </w:tc>
              <w:tc>
                <w:tcPr>
                  <w:tcW w:w="2273" w:type="dxa"/>
                  <w:gridSpan w:val="2"/>
                  <w:tcBorders>
                    <w:left w:val="single" w:color="auto" w:sz="4" w:space="0"/>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天气：晴 风速（m/s）2.6</w:t>
                  </w:r>
                </w:p>
              </w:tc>
              <w:tc>
                <w:tcPr>
                  <w:tcW w:w="1456" w:type="dxa"/>
                  <w:vMerge w:val="restart"/>
                  <w:tcBorders>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测试工况</w:t>
                  </w:r>
                </w:p>
              </w:tc>
              <w:tc>
                <w:tcPr>
                  <w:tcW w:w="2919" w:type="dxa"/>
                  <w:gridSpan w:val="2"/>
                  <w:vMerge w:val="restart"/>
                  <w:tcBorders>
                    <w:tl2br w:val="nil"/>
                    <w:tr2bl w:val="nil"/>
                  </w:tcBorders>
                  <w:noWrap w:val="0"/>
                  <w:vAlign w:val="center"/>
                </w:tcPr>
                <w:p>
                  <w:pPr>
                    <w:spacing w:line="240" w:lineRule="auto"/>
                    <w:ind w:right="4" w:rightChars="0" w:firstLine="0" w:firstLineChars="0"/>
                    <w:jc w:val="center"/>
                    <w:rPr>
                      <w:rFonts w:hint="default" w:ascii="Times New Roman" w:hAnsi="Times New Roman" w:eastAsia="宋体" w:cs="Times New Roman"/>
                      <w:sz w:val="18"/>
                      <w:szCs w:val="18"/>
                    </w:rPr>
                  </w:pPr>
                  <w:r>
                    <w:rPr>
                      <w:rFonts w:hint="eastAsia" w:cs="Times New Roman"/>
                      <w:sz w:val="18"/>
                      <w:szCs w:val="18"/>
                      <w:lang w:val="en-US" w:eastAsia="zh-CN"/>
                    </w:rPr>
                    <w:t>正常生产：</w:t>
                  </w:r>
                  <w:r>
                    <w:rPr>
                      <w:rFonts w:hint="eastAsia" w:ascii="Times New Roman" w:hAnsi="Times New Roman" w:eastAsia="宋体" w:cs="Times New Roman"/>
                      <w:sz w:val="18"/>
                      <w:szCs w:val="18"/>
                      <w:lang w:val="en-US" w:eastAsia="zh-CN"/>
                    </w:rPr>
                    <w:t>白天生产、晚上休息</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678" w:type="dxa"/>
                  <w:tcBorders>
                    <w:top w:val="single" w:color="auto" w:sz="4" w:space="0"/>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夜间</w:t>
                  </w:r>
                </w:p>
              </w:tc>
              <w:tc>
                <w:tcPr>
                  <w:tcW w:w="2273" w:type="dxa"/>
                  <w:gridSpan w:val="2"/>
                  <w:tcBorders>
                    <w:top w:val="single" w:color="auto" w:sz="4" w:space="0"/>
                    <w:lef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天气：晴 风速（m/s）2.4</w:t>
                  </w:r>
                </w:p>
              </w:tc>
              <w:tc>
                <w:tcPr>
                  <w:tcW w:w="1456" w:type="dxa"/>
                  <w:vMerge w:val="continue"/>
                  <w:tcBorders>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sz w:val="18"/>
                      <w:szCs w:val="18"/>
                    </w:rPr>
                  </w:pPr>
                </w:p>
              </w:tc>
              <w:tc>
                <w:tcPr>
                  <w:tcW w:w="2919" w:type="dxa"/>
                  <w:gridSpan w:val="2"/>
                  <w:vMerge w:val="continue"/>
                  <w:tcBorders>
                    <w:tl2br w:val="nil"/>
                    <w:tr2bl w:val="nil"/>
                  </w:tcBorders>
                  <w:noWrap w:val="0"/>
                  <w:vAlign w:val="center"/>
                </w:tcPr>
                <w:p>
                  <w:pPr>
                    <w:spacing w:line="240" w:lineRule="auto"/>
                    <w:ind w:right="4" w:rightChars="0" w:firstLine="0" w:firstLineChars="0"/>
                    <w:jc w:val="center"/>
                    <w:rPr>
                      <w:rFonts w:hint="eastAsia" w:cs="Times New Roman"/>
                      <w:sz w:val="18"/>
                      <w:szCs w:val="18"/>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测点编号</w:t>
                  </w:r>
                </w:p>
              </w:tc>
              <w:tc>
                <w:tcPr>
                  <w:tcW w:w="1378"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测点位置</w:t>
                  </w:r>
                </w:p>
              </w:tc>
              <w:tc>
                <w:tcPr>
                  <w:tcW w:w="1527" w:type="dxa"/>
                  <w:gridSpan w:val="2"/>
                  <w:vMerge w:val="restart"/>
                  <w:tcBorders>
                    <w:tl2br w:val="nil"/>
                    <w:tr2bl w:val="nil"/>
                  </w:tcBorders>
                  <w:noWrap w:val="0"/>
                  <w:vAlign w:val="center"/>
                </w:tcPr>
                <w:p>
                  <w:pPr>
                    <w:spacing w:line="240" w:lineRule="auto"/>
                    <w:ind w:left="17" w:right="18"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主要噪声源</w:t>
                  </w:r>
                </w:p>
              </w:tc>
              <w:tc>
                <w:tcPr>
                  <w:tcW w:w="2880" w:type="dxa"/>
                  <w:gridSpan w:val="2"/>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昼间</w:t>
                  </w:r>
                </w:p>
              </w:tc>
              <w:tc>
                <w:tcPr>
                  <w:tcW w:w="2919"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b/>
                      <w:bCs/>
                      <w:kern w:val="2"/>
                      <w:sz w:val="18"/>
                      <w:szCs w:val="18"/>
                      <w:lang w:val="en-US" w:eastAsia="zh-CN" w:bidi="ar-SA"/>
                    </w:rPr>
                  </w:pPr>
                  <w:r>
                    <w:rPr>
                      <w:rFonts w:hint="eastAsia" w:ascii="Times New Roman" w:hAnsi="Times New Roman" w:cs="Times New Roman"/>
                      <w:b w:val="0"/>
                      <w:bCs w:val="0"/>
                      <w:sz w:val="18"/>
                      <w:szCs w:val="18"/>
                      <w:lang w:val="en-US" w:eastAsia="zh-CN"/>
                    </w:rPr>
                    <w:t>夜间</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37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527" w:type="dxa"/>
                  <w:gridSpan w:val="2"/>
                  <w:vMerge w:val="continue"/>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424" w:type="dxa"/>
                  <w:tcBorders>
                    <w:top w:val="single" w:color="auto" w:sz="4" w:space="0"/>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456" w:type="dxa"/>
                  <w:tcBorders>
                    <w:top w:val="single" w:color="auto" w:sz="4" w:space="0"/>
                    <w:bottom w:val="single" w:color="auto" w:sz="4" w:space="0"/>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标准限值 dB(A)</w:t>
                  </w:r>
                </w:p>
              </w:tc>
              <w:tc>
                <w:tcPr>
                  <w:tcW w:w="1300" w:type="dxa"/>
                  <w:tcBorders>
                    <w:top w:val="single" w:color="auto" w:sz="4" w:space="0"/>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619" w:type="dxa"/>
                  <w:tcBorders>
                    <w:top w:val="single" w:color="auto" w:sz="4" w:space="0"/>
                    <w:bottom w:val="single" w:color="auto" w:sz="4" w:space="0"/>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标准限值 dB(A)</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N1</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东</w:t>
                  </w:r>
                  <w:r>
                    <w:rPr>
                      <w:rFonts w:hint="default" w:ascii="Times New Roman" w:hAnsi="Times New Roman" w:eastAsia="宋体" w:cs="Times New Roman"/>
                      <w:sz w:val="18"/>
                      <w:szCs w:val="18"/>
                    </w:rPr>
                    <w:t>厂界外1</w:t>
                  </w:r>
                  <w:r>
                    <w:rPr>
                      <w:rFonts w:hint="eastAsia" w:ascii="Times New Roman" w:hAnsi="Times New Roman" w:cs="Times New Roman"/>
                      <w:sz w:val="18"/>
                      <w:szCs w:val="18"/>
                      <w:lang w:val="en-US" w:eastAsia="zh-CN"/>
                    </w:rPr>
                    <w:t>m</w:t>
                  </w:r>
                </w:p>
              </w:tc>
              <w:tc>
                <w:tcPr>
                  <w:tcW w:w="1527" w:type="dxa"/>
                  <w:gridSpan w:val="2"/>
                  <w:tcBorders>
                    <w:top w:val="single" w:color="auto" w:sz="4" w:space="0"/>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op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56.0</w:t>
                  </w:r>
                </w:p>
              </w:tc>
              <w:tc>
                <w:tcPr>
                  <w:tcW w:w="1456"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op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46.7</w:t>
                  </w:r>
                </w:p>
              </w:tc>
              <w:tc>
                <w:tcPr>
                  <w:tcW w:w="1619" w:type="dxa"/>
                  <w:tcBorders>
                    <w:top w:val="single" w:color="auto" w:sz="4" w:space="0"/>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N2</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56.7</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46.0</w:t>
                  </w:r>
                </w:p>
              </w:tc>
              <w:tc>
                <w:tcPr>
                  <w:tcW w:w="16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N3</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西厂界外1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53.4</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45.2</w:t>
                  </w:r>
                </w:p>
              </w:tc>
              <w:tc>
                <w:tcPr>
                  <w:tcW w:w="16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N4</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56.1</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46.5</w:t>
                  </w:r>
                </w:p>
              </w:tc>
              <w:tc>
                <w:tcPr>
                  <w:tcW w:w="16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tcBorders>
                    <w:tl2br w:val="nil"/>
                    <w:tr2bl w:val="nil"/>
                  </w:tcBorders>
                  <w:noWrap w:val="0"/>
                  <w:vAlign w:val="center"/>
                </w:tcPr>
                <w:p>
                  <w:pPr>
                    <w:spacing w:line="240" w:lineRule="auto"/>
                    <w:ind w:right="2"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备注</w:t>
                  </w:r>
                </w:p>
              </w:tc>
              <w:tc>
                <w:tcPr>
                  <w:tcW w:w="7326" w:type="dxa"/>
                  <w:gridSpan w:val="6"/>
                  <w:tcBorders>
                    <w:tl2br w:val="nil"/>
                    <w:tr2bl w:val="nil"/>
                  </w:tcBorders>
                  <w:noWrap w:val="0"/>
                  <w:vAlign w:val="center"/>
                </w:tcPr>
                <w:p>
                  <w:pPr>
                    <w:spacing w:after="42" w:line="240" w:lineRule="auto"/>
                    <w:ind w:firstLine="0" w:firstLineChars="0"/>
                    <w:jc w:val="center"/>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厂界噪声执行《工业企业厂界环境噪声排放标准》 GB12348-2008 表</w:t>
                  </w:r>
                  <w:r>
                    <w:rPr>
                      <w:rFonts w:hint="eastAsia" w:ascii="Times New Roman" w:hAnsi="Times New Roman" w:cs="Times New Roman"/>
                      <w:sz w:val="18"/>
                      <w:szCs w:val="18"/>
                      <w:lang w:val="en-US" w:eastAsia="zh-CN"/>
                    </w:rPr>
                    <w:t>1</w:t>
                  </w:r>
                  <w:r>
                    <w:rPr>
                      <w:rFonts w:hint="default" w:ascii="Times New Roman" w:hAnsi="Times New Roman" w:eastAsia="宋体" w:cs="Times New Roman"/>
                      <w:sz w:val="18"/>
                      <w:szCs w:val="18"/>
                    </w:rPr>
                    <w:t>功能区</w:t>
                  </w:r>
                  <w:r>
                    <w:rPr>
                      <w:rFonts w:hint="eastAsia" w:cs="Times New Roman"/>
                      <w:sz w:val="18"/>
                      <w:szCs w:val="18"/>
                      <w:lang w:val="en-US" w:eastAsia="zh-CN"/>
                    </w:rPr>
                    <w:t>2</w:t>
                  </w:r>
                  <w:r>
                    <w:rPr>
                      <w:rFonts w:hint="default" w:ascii="Times New Roman" w:hAnsi="Times New Roman" w:eastAsia="宋体" w:cs="Times New Roman"/>
                      <w:sz w:val="18"/>
                      <w:szCs w:val="18"/>
                    </w:rPr>
                    <w:t>类</w:t>
                  </w:r>
                  <w:r>
                    <w:rPr>
                      <w:rFonts w:hint="eastAsia" w:ascii="Times New Roman" w:hAnsi="Times New Roman" w:cs="Times New Roman"/>
                      <w:sz w:val="18"/>
                      <w:szCs w:val="18"/>
                      <w:lang w:eastAsia="zh-CN"/>
                    </w:rPr>
                    <w:t>。</w:t>
                  </w:r>
                </w:p>
              </w:tc>
            </w:tr>
          </w:tbl>
          <w:p>
            <w:pPr>
              <w:snapToGrid w:val="0"/>
              <w:spacing w:line="360" w:lineRule="auto"/>
              <w:ind w:firstLine="480" w:firstLineChars="200"/>
              <w:jc w:val="left"/>
              <w:rPr>
                <w:sz w:val="24"/>
              </w:rPr>
            </w:pPr>
            <w:r>
              <w:rPr>
                <w:rFonts w:hint="eastAsia"/>
                <w:sz w:val="24"/>
                <w:lang w:val="en-US" w:eastAsia="zh-CN"/>
              </w:rPr>
              <w:t>由</w:t>
            </w:r>
            <w:r>
              <w:rPr>
                <w:sz w:val="24"/>
              </w:rPr>
              <w:t>上表可知，厂界</w:t>
            </w:r>
            <w:r>
              <w:rPr>
                <w:rFonts w:hint="eastAsia"/>
                <w:sz w:val="24"/>
                <w:lang w:val="en-US" w:eastAsia="zh-CN"/>
              </w:rPr>
              <w:t>昼夜</w:t>
            </w:r>
            <w:r>
              <w:rPr>
                <w:sz w:val="24"/>
              </w:rPr>
              <w:t>噪声能达到《工业企业厂界环境噪声排放标准》（GB12348-2008）中的</w:t>
            </w:r>
            <w:r>
              <w:rPr>
                <w:rFonts w:hint="eastAsia"/>
                <w:sz w:val="24"/>
                <w:lang w:val="en-US" w:eastAsia="zh-CN"/>
              </w:rPr>
              <w:t>2</w:t>
            </w:r>
            <w:r>
              <w:rPr>
                <w:sz w:val="24"/>
              </w:rPr>
              <w:t>类标准。</w:t>
            </w:r>
          </w:p>
          <w:p>
            <w:pPr>
              <w:pStyle w:val="4"/>
              <w:spacing w:line="360" w:lineRule="auto"/>
              <w:jc w:val="both"/>
              <w:outlineLvl w:val="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3、废水</w:t>
            </w:r>
          </w:p>
          <w:p>
            <w:pPr>
              <w:pStyle w:val="4"/>
              <w:spacing w:line="240" w:lineRule="auto"/>
              <w:jc w:val="center"/>
              <w:outlineLvl w:val="2"/>
              <w:rPr>
                <w:rFonts w:ascii="Times New Roman" w:hAnsi="Times New Roman"/>
                <w:sz w:val="21"/>
                <w:szCs w:val="21"/>
              </w:rPr>
            </w:pPr>
            <w:r>
              <w:rPr>
                <w:rFonts w:ascii="Times New Roman" w:hAnsi="Times New Roman"/>
                <w:sz w:val="21"/>
                <w:szCs w:val="21"/>
              </w:rPr>
              <w:t>表8-</w:t>
            </w:r>
            <w:r>
              <w:rPr>
                <w:rFonts w:hint="eastAsia" w:ascii="Times New Roman" w:hAnsi="Times New Roman"/>
                <w:sz w:val="21"/>
                <w:szCs w:val="21"/>
                <w:lang w:val="en-US" w:eastAsia="zh-CN"/>
              </w:rPr>
              <w:t>7 生活污水</w:t>
            </w:r>
            <w:r>
              <w:rPr>
                <w:rFonts w:ascii="Times New Roman" w:hAnsi="Times New Roman"/>
                <w:sz w:val="21"/>
                <w:szCs w:val="21"/>
              </w:rPr>
              <w:t>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13</w:t>
            </w:r>
            <w:r>
              <w:rPr>
                <w:rFonts w:hint="eastAsia" w:ascii="Times New Roman" w:hAnsi="Times New Roman"/>
                <w:sz w:val="21"/>
                <w:szCs w:val="21"/>
              </w:rPr>
              <w:t>日-</w:t>
            </w:r>
            <w:r>
              <w:rPr>
                <w:rFonts w:hint="eastAsia" w:ascii="Times New Roman" w:hAnsi="Times New Roman"/>
                <w:sz w:val="21"/>
                <w:szCs w:val="21"/>
                <w:lang w:val="en-US" w:eastAsia="zh-CN"/>
              </w:rPr>
              <w:t>01</w:t>
            </w:r>
            <w:r>
              <w:rPr>
                <w:rFonts w:ascii="Times New Roman" w:hAnsi="Times New Roman"/>
                <w:sz w:val="21"/>
                <w:szCs w:val="21"/>
              </w:rPr>
              <w:t>月</w:t>
            </w:r>
            <w:r>
              <w:rPr>
                <w:rFonts w:hint="eastAsia" w:ascii="Times New Roman" w:hAnsi="Times New Roman"/>
                <w:sz w:val="21"/>
                <w:szCs w:val="21"/>
                <w:lang w:val="en-US" w:eastAsia="zh-CN"/>
              </w:rPr>
              <w:t>14</w:t>
            </w:r>
            <w:r>
              <w:rPr>
                <w:rFonts w:ascii="Times New Roman" w:hAnsi="Times New Roman"/>
                <w:sz w:val="21"/>
                <w:szCs w:val="21"/>
              </w:rPr>
              <w:t>日）</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422"/>
              <w:gridCol w:w="961"/>
              <w:gridCol w:w="1283"/>
              <w:gridCol w:w="1502"/>
              <w:gridCol w:w="423"/>
              <w:gridCol w:w="1077"/>
              <w:gridCol w:w="529"/>
              <w:gridCol w:w="1604"/>
              <w:gridCol w:w="1188"/>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38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3208" w:type="dxa"/>
                  <w:gridSpan w:val="3"/>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01</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13</w:t>
                  </w:r>
                </w:p>
              </w:tc>
              <w:tc>
                <w:tcPr>
                  <w:tcW w:w="1606" w:type="dxa"/>
                  <w:gridSpan w:val="2"/>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采样点位</w:t>
                  </w:r>
                </w:p>
              </w:tc>
              <w:tc>
                <w:tcPr>
                  <w:tcW w:w="2792" w:type="dxa"/>
                  <w:gridSpan w:val="2"/>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污水</w:t>
                  </w:r>
                  <w:r>
                    <w:rPr>
                      <w:rFonts w:hint="eastAsia" w:ascii="Times New Roman" w:hAnsi="Times New Roman" w:eastAsia="宋体" w:cs="宋体"/>
                      <w:sz w:val="18"/>
                      <w:szCs w:val="18"/>
                      <w:lang w:val="en-US" w:eastAsia="zh-CN"/>
                    </w:rPr>
                    <w:t>总</w:t>
                  </w:r>
                  <w:r>
                    <w:rPr>
                      <w:rFonts w:hint="eastAsia" w:ascii="Times New Roman" w:hAnsi="Times New Roman" w:eastAsia="宋体" w:cs="宋体"/>
                      <w:sz w:val="18"/>
                      <w:szCs w:val="18"/>
                    </w:rPr>
                    <w:t>排口</w:t>
                  </w:r>
                  <w:r>
                    <w:rPr>
                      <w:rFonts w:hint="eastAsia" w:ascii="Times New Roman" w:hAnsi="Times New Roman" w:eastAsia="宋体" w:cs="宋体"/>
                      <w:sz w:val="18"/>
                      <w:szCs w:val="18"/>
                      <w:lang w:val="en-US" w:eastAsia="zh-CN"/>
                    </w:rPr>
                    <w:t>S1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38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样品状态</w:t>
                  </w:r>
                </w:p>
              </w:tc>
              <w:tc>
                <w:tcPr>
                  <w:tcW w:w="7606" w:type="dxa"/>
                  <w:gridSpan w:val="7"/>
                  <w:tcBorders>
                    <w:top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rPr>
                  </w:pPr>
                  <w:r>
                    <w:rPr>
                      <w:rFonts w:hint="eastAsia" w:ascii="Times New Roman" w:hAnsi="Times New Roman" w:eastAsia="宋体" w:cs="宋体"/>
                      <w:sz w:val="18"/>
                      <w:szCs w:val="18"/>
                      <w:lang w:val="en-US" w:eastAsia="zh-CN"/>
                    </w:rPr>
                    <w:t>较清、淡黄、有异味、有悬浮物</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961"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6418" w:type="dxa"/>
                  <w:gridSpan w:val="6"/>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检测结果</w:t>
                  </w:r>
                </w:p>
              </w:tc>
              <w:tc>
                <w:tcPr>
                  <w:tcW w:w="1188" w:type="dxa"/>
                  <w:vMerge w:val="restart"/>
                  <w:tcBorders>
                    <w:top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p>
              </w:tc>
              <w:tc>
                <w:tcPr>
                  <w:tcW w:w="961"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w:t>
                  </w:r>
                </w:p>
              </w:tc>
              <w:tc>
                <w:tcPr>
                  <w:tcW w:w="1502"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2</w:t>
                  </w:r>
                </w:p>
              </w:tc>
              <w:tc>
                <w:tcPr>
                  <w:tcW w:w="1500" w:type="dxa"/>
                  <w:gridSpan w:val="2"/>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w:t>
                  </w:r>
                </w:p>
              </w:tc>
              <w:tc>
                <w:tcPr>
                  <w:tcW w:w="2133" w:type="dxa"/>
                  <w:gridSpan w:val="2"/>
                  <w:tcBorders>
                    <w:top w:val="single" w:color="auto" w:sz="4" w:space="0"/>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4</w:t>
                  </w:r>
                </w:p>
              </w:tc>
              <w:tc>
                <w:tcPr>
                  <w:tcW w:w="1188"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pH值</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无量纲</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7.2</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7.3</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7.2</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7.2</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6~9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悬浮物</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34</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35</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37</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31</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400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化学需氧量</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78</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80</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72</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76</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500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氨氮</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0.877</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0.862</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0.852</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0.878</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45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总磷</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0.14</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0.14</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0.15</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0.14</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8</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总氮</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3.54</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3.96</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3.90</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3.87</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38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3208" w:type="dxa"/>
                  <w:gridSpan w:val="3"/>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01</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14</w:t>
                  </w:r>
                </w:p>
              </w:tc>
              <w:tc>
                <w:tcPr>
                  <w:tcW w:w="1606" w:type="dxa"/>
                  <w:gridSpan w:val="2"/>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采样点位</w:t>
                  </w:r>
                </w:p>
              </w:tc>
              <w:tc>
                <w:tcPr>
                  <w:tcW w:w="2792" w:type="dxa"/>
                  <w:gridSpan w:val="2"/>
                  <w:tcBorders>
                    <w:left w:val="single" w:color="auto" w:sz="4" w:space="0"/>
                    <w:bottom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污水</w:t>
                  </w:r>
                  <w:r>
                    <w:rPr>
                      <w:rFonts w:hint="eastAsia" w:ascii="Times New Roman" w:hAnsi="Times New Roman" w:eastAsia="宋体" w:cs="宋体"/>
                      <w:sz w:val="18"/>
                      <w:szCs w:val="18"/>
                      <w:lang w:val="en-US" w:eastAsia="zh-CN"/>
                    </w:rPr>
                    <w:t>总</w:t>
                  </w:r>
                  <w:r>
                    <w:rPr>
                      <w:rFonts w:hint="eastAsia" w:ascii="Times New Roman" w:hAnsi="Times New Roman" w:eastAsia="宋体" w:cs="宋体"/>
                      <w:sz w:val="18"/>
                      <w:szCs w:val="18"/>
                    </w:rPr>
                    <w:t>排口</w:t>
                  </w:r>
                  <w:r>
                    <w:rPr>
                      <w:rFonts w:hint="eastAsia" w:ascii="Times New Roman" w:hAnsi="Times New Roman" w:eastAsia="宋体" w:cs="宋体"/>
                      <w:sz w:val="18"/>
                      <w:szCs w:val="18"/>
                      <w:lang w:val="en-US" w:eastAsia="zh-CN"/>
                    </w:rPr>
                    <w:t>S1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38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样品状态</w:t>
                  </w:r>
                </w:p>
              </w:tc>
              <w:tc>
                <w:tcPr>
                  <w:tcW w:w="7606" w:type="dxa"/>
                  <w:gridSpan w:val="7"/>
                  <w:tcBorders>
                    <w:bottom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lang w:val="en-US" w:eastAsia="zh-CN"/>
                    </w:rPr>
                    <w:t>较清、淡黄、有异味、有悬浮物</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961"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6418" w:type="dxa"/>
                  <w:gridSpan w:val="6"/>
                  <w:tcBorders>
                    <w:top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检测结果</w:t>
                  </w:r>
                </w:p>
              </w:tc>
              <w:tc>
                <w:tcPr>
                  <w:tcW w:w="1188" w:type="dxa"/>
                  <w:vMerge w:val="restart"/>
                  <w:tcBorders>
                    <w:top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p>
              </w:tc>
              <w:tc>
                <w:tcPr>
                  <w:tcW w:w="961"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2</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3</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4</w:t>
                  </w:r>
                </w:p>
              </w:tc>
              <w:tc>
                <w:tcPr>
                  <w:tcW w:w="1188"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pH值</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无量纲</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7.2</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7.1</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7.2</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7.3</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6~9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悬浮物</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24</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28</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25</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29</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400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化学需氧量</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97</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90</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80</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84</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500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氨氮</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1.10</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1.07</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1.05</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1.09</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45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总磷</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0.07</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0.09</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0.09</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0.08</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8</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总氮</w:t>
                  </w:r>
                </w:p>
              </w:tc>
              <w:tc>
                <w:tcPr>
                  <w:tcW w:w="961"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mg/L</w:t>
                  </w:r>
                </w:p>
              </w:tc>
              <w:tc>
                <w:tcPr>
                  <w:tcW w:w="128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4.59</w:t>
                  </w:r>
                </w:p>
              </w:tc>
              <w:tc>
                <w:tcPr>
                  <w:tcW w:w="150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4.48</w:t>
                  </w:r>
                </w:p>
              </w:tc>
              <w:tc>
                <w:tcPr>
                  <w:tcW w:w="1500"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4.55</w:t>
                  </w:r>
                </w:p>
              </w:tc>
              <w:tc>
                <w:tcPr>
                  <w:tcW w:w="2133"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4.59</w:t>
                  </w:r>
                </w:p>
              </w:tc>
              <w:tc>
                <w:tcPr>
                  <w:tcW w:w="118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70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2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备注</w:t>
                  </w:r>
                </w:p>
              </w:tc>
              <w:tc>
                <w:tcPr>
                  <w:tcW w:w="8567" w:type="dxa"/>
                  <w:gridSpan w:val="8"/>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Times New Roman" w:hAnsi="Times New Roman" w:eastAsia="宋体" w:cs="宋体"/>
                      <w:sz w:val="18"/>
                      <w:szCs w:val="18"/>
                      <w:lang w:eastAsia="zh-CN"/>
                    </w:rPr>
                  </w:pPr>
                  <w:r>
                    <w:rPr>
                      <w:rFonts w:hint="eastAsia" w:ascii="Times New Roman" w:hAnsi="Times New Roman" w:eastAsia="宋体" w:cs="宋体"/>
                      <w:sz w:val="18"/>
                      <w:szCs w:val="18"/>
                      <w:lang w:eastAsia="zh-CN"/>
                    </w:rPr>
                    <w:t>1.pH、化学需氧量、悬浮物参照执行标准《污水综合排放标准》GB 8978-1996 表4三级标准；</w:t>
                  </w:r>
                </w:p>
                <w:p>
                  <w:pPr>
                    <w:pStyle w:val="89"/>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Times New Roman" w:hAnsi="Times New Roman" w:eastAsia="宋体" w:cs="宋体"/>
                      <w:sz w:val="18"/>
                      <w:szCs w:val="18"/>
                      <w:lang w:eastAsia="zh-CN"/>
                    </w:rPr>
                  </w:pPr>
                  <w:r>
                    <w:rPr>
                      <w:rFonts w:hint="eastAsia" w:ascii="Times New Roman" w:hAnsi="Times New Roman" w:eastAsia="宋体" w:cs="宋体"/>
                      <w:sz w:val="18"/>
                      <w:szCs w:val="18"/>
                      <w:lang w:eastAsia="zh-CN"/>
                    </w:rPr>
                    <w:t>2.氨氮、总磷、总氮参照执行标准《污水排入城镇下水道水质标准》GB/T 31962-2015 表1B级标准。</w:t>
                  </w:r>
                </w:p>
              </w:tc>
            </w:tr>
          </w:tbl>
          <w:p>
            <w:pPr>
              <w:snapToGrid w:val="0"/>
              <w:spacing w:line="360" w:lineRule="auto"/>
              <w:ind w:firstLine="480" w:firstLineChars="200"/>
              <w:jc w:val="left"/>
              <w:rPr>
                <w:sz w:val="24"/>
                <w:szCs w:val="24"/>
              </w:rPr>
            </w:pPr>
            <w:r>
              <w:rPr>
                <w:rFonts w:hint="eastAsia"/>
                <w:sz w:val="24"/>
              </w:rPr>
              <w:t>由上表可知，本项目化学需氧量排放浓度最大值为</w:t>
            </w:r>
            <w:r>
              <w:rPr>
                <w:rFonts w:hint="eastAsia"/>
                <w:sz w:val="24"/>
                <w:lang w:val="en-US" w:eastAsia="zh-CN"/>
              </w:rPr>
              <w:t>97</w:t>
            </w:r>
            <w:r>
              <w:rPr>
                <w:rFonts w:hint="eastAsia"/>
                <w:sz w:val="24"/>
              </w:rPr>
              <w:t>mg/L，悬浮物排放浓度最大值为</w:t>
            </w:r>
            <w:r>
              <w:rPr>
                <w:rFonts w:hint="eastAsia"/>
                <w:sz w:val="24"/>
                <w:szCs w:val="24"/>
                <w:lang w:val="en-US" w:eastAsia="zh-CN"/>
              </w:rPr>
              <w:t>37</w:t>
            </w:r>
            <w:r>
              <w:rPr>
                <w:rFonts w:hint="eastAsia"/>
                <w:sz w:val="24"/>
                <w:szCs w:val="24"/>
              </w:rPr>
              <w:t>mg/L，均满足《污水综合排放标准》（GB8978-1996）表4三级标准，氨氮排放浓度最大值为</w:t>
            </w:r>
            <w:r>
              <w:rPr>
                <w:rFonts w:hint="eastAsia"/>
                <w:sz w:val="24"/>
                <w:szCs w:val="24"/>
                <w:lang w:val="en-US" w:eastAsia="zh-CN"/>
              </w:rPr>
              <w:t>1.10</w:t>
            </w:r>
            <w:r>
              <w:rPr>
                <w:rFonts w:hint="eastAsia"/>
                <w:sz w:val="24"/>
                <w:szCs w:val="24"/>
              </w:rPr>
              <w:t>mg/L，总磷排放浓度最大值为</w:t>
            </w:r>
            <w:r>
              <w:rPr>
                <w:rFonts w:hint="eastAsia"/>
                <w:sz w:val="24"/>
                <w:szCs w:val="24"/>
                <w:lang w:val="en-US" w:eastAsia="zh-CN"/>
              </w:rPr>
              <w:t>0.15</w:t>
            </w:r>
            <w:r>
              <w:rPr>
                <w:rFonts w:hint="eastAsia"/>
                <w:sz w:val="24"/>
                <w:szCs w:val="24"/>
              </w:rPr>
              <w:t>mg/L，总</w:t>
            </w:r>
            <w:r>
              <w:rPr>
                <w:rFonts w:hint="eastAsia"/>
                <w:sz w:val="24"/>
                <w:szCs w:val="24"/>
                <w:lang w:val="en-US" w:eastAsia="zh-CN"/>
              </w:rPr>
              <w:t>氮</w:t>
            </w:r>
            <w:r>
              <w:rPr>
                <w:rFonts w:hint="eastAsia"/>
                <w:sz w:val="24"/>
                <w:szCs w:val="24"/>
              </w:rPr>
              <w:t>排放浓度最大值为</w:t>
            </w:r>
            <w:r>
              <w:rPr>
                <w:rFonts w:hint="eastAsia"/>
                <w:sz w:val="24"/>
                <w:szCs w:val="24"/>
                <w:lang w:val="en-US" w:eastAsia="zh-CN"/>
              </w:rPr>
              <w:t>4.59</w:t>
            </w:r>
            <w:r>
              <w:rPr>
                <w:rFonts w:hint="eastAsia"/>
                <w:sz w:val="24"/>
                <w:szCs w:val="24"/>
              </w:rPr>
              <w:t>mg/L，均满足《污水排入城镇下水道水质标准》（GB/T31962-2015）表1B等级标准。</w:t>
            </w:r>
          </w:p>
          <w:p>
            <w:pPr>
              <w:snapToGrid w:val="0"/>
              <w:spacing w:line="360" w:lineRule="auto"/>
              <w:ind w:firstLine="480" w:firstLineChars="200"/>
              <w:jc w:val="left"/>
              <w:rPr>
                <w:rFonts w:hint="eastAsia"/>
                <w:spacing w:val="-2"/>
                <w:sz w:val="24"/>
                <w:szCs w:val="24"/>
                <w:highlight w:val="none"/>
              </w:rPr>
            </w:pPr>
            <w:r>
              <w:rPr>
                <w:rFonts w:hint="eastAsia"/>
                <w:sz w:val="24"/>
                <w:szCs w:val="24"/>
                <w:highlight w:val="none"/>
                <w:lang w:val="en-US" w:eastAsia="zh-CN"/>
              </w:rPr>
              <w:t>生活污水</w:t>
            </w:r>
            <w:r>
              <w:rPr>
                <w:rFonts w:hint="eastAsia"/>
                <w:sz w:val="24"/>
                <w:szCs w:val="24"/>
                <w:highlight w:val="none"/>
              </w:rPr>
              <w:t>中</w:t>
            </w:r>
            <w:r>
              <w:rPr>
                <w:rFonts w:hint="eastAsia"/>
                <w:sz w:val="24"/>
                <w:szCs w:val="24"/>
                <w:highlight w:val="none"/>
                <w:lang w:val="en-US" w:eastAsia="zh-CN"/>
              </w:rPr>
              <w:t>各污染因子浓度按照均值计算，则</w:t>
            </w:r>
            <w:r>
              <w:rPr>
                <w:rFonts w:hint="eastAsia"/>
                <w:sz w:val="24"/>
                <w:szCs w:val="24"/>
                <w:highlight w:val="none"/>
              </w:rPr>
              <w:t>化学需氧量排放总量为</w:t>
            </w:r>
            <w:r>
              <w:rPr>
                <w:rFonts w:hint="eastAsia" w:cs="Times New Roman"/>
                <w:i w:val="0"/>
                <w:iCs w:val="0"/>
                <w:color w:val="000000"/>
                <w:kern w:val="0"/>
                <w:sz w:val="24"/>
                <w:szCs w:val="24"/>
                <w:u w:val="none"/>
                <w:lang w:val="en-US" w:eastAsia="zh-CN" w:bidi="ar"/>
              </w:rPr>
              <w:t>1.481×10</w:t>
            </w:r>
            <w:r>
              <w:rPr>
                <w:rFonts w:hint="eastAsia" w:cs="Times New Roman"/>
                <w:i w:val="0"/>
                <w:iCs w:val="0"/>
                <w:color w:val="000000"/>
                <w:kern w:val="0"/>
                <w:sz w:val="24"/>
                <w:szCs w:val="24"/>
                <w:u w:val="none"/>
                <w:vertAlign w:val="superscript"/>
                <w:lang w:val="en-US" w:eastAsia="zh-CN" w:bidi="ar"/>
              </w:rPr>
              <w:t>-5</w:t>
            </w:r>
            <w:r>
              <w:rPr>
                <w:rFonts w:hint="eastAsia"/>
                <w:sz w:val="24"/>
                <w:szCs w:val="24"/>
                <w:highlight w:val="none"/>
              </w:rPr>
              <w:t>t/a，</w:t>
            </w:r>
            <w:r>
              <w:rPr>
                <w:rFonts w:hint="eastAsia"/>
                <w:sz w:val="24"/>
                <w:szCs w:val="24"/>
                <w:highlight w:val="none"/>
                <w:lang w:val="en-US" w:eastAsia="zh-CN"/>
              </w:rPr>
              <w:t>悬浮物</w:t>
            </w:r>
            <w:r>
              <w:rPr>
                <w:rFonts w:hint="eastAsia"/>
                <w:sz w:val="24"/>
                <w:szCs w:val="24"/>
                <w:highlight w:val="none"/>
              </w:rPr>
              <w:t>排放总量为</w:t>
            </w:r>
            <w:r>
              <w:rPr>
                <w:rFonts w:hint="eastAsia" w:cs="Times New Roman"/>
                <w:i w:val="0"/>
                <w:iCs w:val="0"/>
                <w:color w:val="000000"/>
                <w:kern w:val="0"/>
                <w:sz w:val="24"/>
                <w:szCs w:val="24"/>
                <w:u w:val="none"/>
                <w:lang w:val="en-US" w:eastAsia="zh-CN" w:bidi="ar"/>
              </w:rPr>
              <w:t>5.661×10</w:t>
            </w:r>
            <w:r>
              <w:rPr>
                <w:rFonts w:hint="eastAsia" w:cs="Times New Roman"/>
                <w:i w:val="0"/>
                <w:iCs w:val="0"/>
                <w:color w:val="000000"/>
                <w:kern w:val="0"/>
                <w:sz w:val="24"/>
                <w:szCs w:val="24"/>
                <w:u w:val="none"/>
                <w:vertAlign w:val="superscript"/>
                <w:lang w:val="en-US" w:eastAsia="zh-CN" w:bidi="ar"/>
              </w:rPr>
              <w:t>-5</w:t>
            </w:r>
            <w:r>
              <w:rPr>
                <w:rFonts w:hint="eastAsia"/>
                <w:sz w:val="24"/>
                <w:szCs w:val="24"/>
                <w:highlight w:val="none"/>
              </w:rPr>
              <w:t>t/a，氨氮排放总量为</w:t>
            </w:r>
            <w:r>
              <w:rPr>
                <w:rFonts w:hint="eastAsia" w:cs="Times New Roman"/>
                <w:i w:val="0"/>
                <w:iCs w:val="0"/>
                <w:color w:val="000000"/>
                <w:kern w:val="0"/>
                <w:sz w:val="24"/>
                <w:szCs w:val="24"/>
                <w:u w:val="none"/>
                <w:lang w:val="en-US" w:eastAsia="zh-CN" w:bidi="ar"/>
              </w:rPr>
              <w:t>1.683×10</w:t>
            </w:r>
            <w:r>
              <w:rPr>
                <w:rFonts w:hint="eastAsia" w:cs="Times New Roman"/>
                <w:i w:val="0"/>
                <w:iCs w:val="0"/>
                <w:color w:val="000000"/>
                <w:kern w:val="0"/>
                <w:sz w:val="24"/>
                <w:szCs w:val="24"/>
                <w:u w:val="none"/>
                <w:vertAlign w:val="superscript"/>
                <w:lang w:val="en-US" w:eastAsia="zh-CN" w:bidi="ar"/>
              </w:rPr>
              <w:t>-11</w:t>
            </w:r>
            <w:r>
              <w:rPr>
                <w:rFonts w:hint="eastAsia"/>
                <w:sz w:val="24"/>
                <w:szCs w:val="24"/>
                <w:highlight w:val="none"/>
              </w:rPr>
              <w:t>t/a，总磷排放总量为</w:t>
            </w:r>
            <w:r>
              <w:rPr>
                <w:rFonts w:hint="eastAsia" w:cs="Times New Roman"/>
                <w:i w:val="0"/>
                <w:iCs w:val="0"/>
                <w:color w:val="000000"/>
                <w:kern w:val="0"/>
                <w:sz w:val="24"/>
                <w:szCs w:val="24"/>
                <w:u w:val="none"/>
                <w:lang w:val="en-US" w:eastAsia="zh-CN" w:bidi="ar"/>
              </w:rPr>
              <w:t>2.295×10</w:t>
            </w:r>
            <w:r>
              <w:rPr>
                <w:rFonts w:hint="eastAsia" w:cs="Times New Roman"/>
                <w:i w:val="0"/>
                <w:iCs w:val="0"/>
                <w:color w:val="000000"/>
                <w:kern w:val="0"/>
                <w:sz w:val="24"/>
                <w:szCs w:val="24"/>
                <w:u w:val="none"/>
                <w:vertAlign w:val="superscript"/>
                <w:lang w:val="en-US" w:eastAsia="zh-CN" w:bidi="ar"/>
              </w:rPr>
              <w:t>-10</w:t>
            </w:r>
            <w:r>
              <w:rPr>
                <w:rFonts w:hint="eastAsia"/>
                <w:sz w:val="24"/>
                <w:szCs w:val="24"/>
                <w:highlight w:val="none"/>
              </w:rPr>
              <w:t>t/a，</w:t>
            </w:r>
            <w:r>
              <w:rPr>
                <w:rFonts w:hint="eastAsia"/>
                <w:sz w:val="24"/>
                <w:szCs w:val="24"/>
                <w:highlight w:val="none"/>
                <w:lang w:val="en-US" w:eastAsia="zh-CN"/>
              </w:rPr>
              <w:t>总氮</w:t>
            </w:r>
            <w:r>
              <w:rPr>
                <w:rFonts w:hint="eastAsia"/>
                <w:sz w:val="24"/>
                <w:szCs w:val="24"/>
                <w:highlight w:val="none"/>
              </w:rPr>
              <w:t>排放总量为</w:t>
            </w:r>
            <w:r>
              <w:rPr>
                <w:rFonts w:hint="eastAsia" w:cs="Times New Roman"/>
                <w:i w:val="0"/>
                <w:iCs w:val="0"/>
                <w:color w:val="000000"/>
                <w:kern w:val="2"/>
                <w:sz w:val="24"/>
                <w:szCs w:val="24"/>
                <w:u w:val="none"/>
                <w:lang w:val="en-US" w:eastAsia="zh-CN" w:bidi="ar-SA"/>
              </w:rPr>
              <w:t>7.0227</w:t>
            </w:r>
            <w:r>
              <w:rPr>
                <w:rFonts w:hint="eastAsia" w:cs="Times New Roman"/>
                <w:i w:val="0"/>
                <w:iCs w:val="0"/>
                <w:color w:val="000000"/>
                <w:kern w:val="0"/>
                <w:sz w:val="24"/>
                <w:szCs w:val="24"/>
                <w:u w:val="none"/>
                <w:lang w:val="en-US" w:eastAsia="zh-CN" w:bidi="ar"/>
              </w:rPr>
              <w:t>×10</w:t>
            </w:r>
            <w:r>
              <w:rPr>
                <w:rFonts w:hint="eastAsia" w:cs="Times New Roman"/>
                <w:i w:val="0"/>
                <w:iCs w:val="0"/>
                <w:color w:val="000000"/>
                <w:kern w:val="0"/>
                <w:sz w:val="24"/>
                <w:szCs w:val="24"/>
                <w:u w:val="none"/>
                <w:vertAlign w:val="superscript"/>
                <w:lang w:val="en-US" w:eastAsia="zh-CN" w:bidi="ar"/>
              </w:rPr>
              <w:t>-7</w:t>
            </w:r>
            <w:r>
              <w:rPr>
                <w:rFonts w:hint="eastAsia"/>
                <w:sz w:val="24"/>
                <w:szCs w:val="24"/>
                <w:highlight w:val="none"/>
              </w:rPr>
              <w:t>t/a</w:t>
            </w:r>
            <w:r>
              <w:rPr>
                <w:rFonts w:hint="eastAsia"/>
                <w:sz w:val="24"/>
                <w:szCs w:val="24"/>
                <w:highlight w:val="none"/>
                <w:lang w:eastAsia="zh-CN"/>
              </w:rPr>
              <w:t>，</w:t>
            </w:r>
            <w:r>
              <w:rPr>
                <w:rFonts w:hint="eastAsia"/>
                <w:sz w:val="24"/>
                <w:szCs w:val="24"/>
                <w:highlight w:val="none"/>
              </w:rPr>
              <w:t>均小于环评预测排放量</w:t>
            </w:r>
            <w:r>
              <w:rPr>
                <w:rFonts w:hint="eastAsia"/>
                <w:spacing w:val="-2"/>
                <w:sz w:val="24"/>
                <w:szCs w:val="24"/>
                <w:highlight w:val="none"/>
              </w:rPr>
              <w:t>。</w:t>
            </w:r>
          </w:p>
          <w:p>
            <w:pPr>
              <w:snapToGrid w:val="0"/>
              <w:jc w:val="center"/>
              <w:rPr>
                <w:rFonts w:hint="eastAsia" w:eastAsia="宋体"/>
                <w:highlight w:val="none"/>
                <w:lang w:eastAsia="zh-CN"/>
              </w:rPr>
            </w:pPr>
            <w:r>
              <w:rPr>
                <w:b/>
                <w:bCs/>
                <w:szCs w:val="21"/>
                <w:highlight w:val="none"/>
              </w:rPr>
              <w:t>表8-</w:t>
            </w:r>
            <w:r>
              <w:rPr>
                <w:rFonts w:hint="eastAsia"/>
                <w:b/>
                <w:bCs/>
                <w:szCs w:val="21"/>
                <w:highlight w:val="none"/>
                <w:lang w:val="en-US" w:eastAsia="zh-CN"/>
              </w:rPr>
              <w:t>8 废水总量排放</w:t>
            </w:r>
            <w:r>
              <w:rPr>
                <w:b/>
                <w:bCs/>
                <w:szCs w:val="21"/>
                <w:highlight w:val="none"/>
              </w:rPr>
              <w:t>一览表</w:t>
            </w:r>
            <w:r>
              <w:rPr>
                <w:rFonts w:hint="eastAsia"/>
                <w:b/>
                <w:bCs/>
                <w:szCs w:val="21"/>
                <w:highlight w:val="none"/>
                <w:lang w:val="en-US" w:eastAsia="zh-CN"/>
              </w:rPr>
              <w:t xml:space="preserve"> </w:t>
            </w:r>
            <w:r>
              <w:rPr>
                <w:rFonts w:hint="eastAsia"/>
                <w:b/>
                <w:bCs/>
                <w:szCs w:val="21"/>
                <w:highlight w:val="none"/>
                <w:lang w:eastAsia="zh-CN"/>
              </w:rPr>
              <w:t>（</w:t>
            </w:r>
            <w:r>
              <w:rPr>
                <w:rFonts w:hint="eastAsia"/>
                <w:b/>
                <w:bCs/>
                <w:szCs w:val="21"/>
                <w:highlight w:val="none"/>
                <w:lang w:val="en-US" w:eastAsia="zh-CN"/>
              </w:rPr>
              <w:t>单位：t/a</w:t>
            </w:r>
            <w:r>
              <w:rPr>
                <w:rFonts w:hint="eastAsia"/>
                <w:b/>
                <w:bCs/>
                <w:szCs w:val="21"/>
                <w:highlight w:val="none"/>
                <w:lang w:eastAsia="zh-CN"/>
              </w:rPr>
              <w:t>）</w:t>
            </w:r>
          </w:p>
          <w:tbl>
            <w:tblPr>
              <w:tblStyle w:val="27"/>
              <w:tblW w:w="9984"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614"/>
              <w:gridCol w:w="882"/>
              <w:gridCol w:w="1248"/>
              <w:gridCol w:w="1248"/>
              <w:gridCol w:w="1248"/>
              <w:gridCol w:w="1248"/>
              <w:gridCol w:w="1248"/>
              <w:gridCol w:w="124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08"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总量指标</w:t>
                  </w:r>
                </w:p>
              </w:tc>
              <w:tc>
                <w:tcPr>
                  <w:tcW w:w="441"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单位</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废水量</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sz w:val="18"/>
                      <w:szCs w:val="18"/>
                      <w:highlight w:val="none"/>
                    </w:rPr>
                    <w:t>化学需氧量</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悬浮物</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sz w:val="18"/>
                      <w:szCs w:val="18"/>
                      <w:highlight w:val="none"/>
                    </w:rPr>
                    <w:t>氨氮</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总磷</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highlight w:val="none"/>
                      <w:lang w:val="en-US" w:eastAsia="zh-CN" w:bidi="ar-SA"/>
                    </w:rPr>
                  </w:pPr>
                  <w:r>
                    <w:rPr>
                      <w:rFonts w:hint="eastAsia" w:ascii="Times New Roman" w:hAnsi="Times New Roman" w:eastAsia="宋体" w:cs="Times New Roman"/>
                      <w:kern w:val="0"/>
                      <w:sz w:val="18"/>
                      <w:szCs w:val="18"/>
                      <w:highlight w:val="none"/>
                      <w:lang w:val="en-US" w:eastAsia="zh-CN" w:bidi="ar-SA"/>
                    </w:rPr>
                    <w:t>总氮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0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浓度（均值）</w:t>
                  </w:r>
                </w:p>
              </w:tc>
              <w:tc>
                <w:tcPr>
                  <w:tcW w:w="44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宋体"/>
                      <w:sz w:val="18"/>
                      <w:szCs w:val="18"/>
                    </w:rPr>
                    <w:t>mg/L</w:t>
                  </w:r>
                </w:p>
              </w:tc>
              <w:tc>
                <w:tcPr>
                  <w:tcW w:w="6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97</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37</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1.10</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0.15</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4.59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0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实际排放量</w:t>
                  </w:r>
                </w:p>
              </w:tc>
              <w:tc>
                <w:tcPr>
                  <w:tcW w:w="44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t/a</w:t>
                  </w:r>
                </w:p>
              </w:tc>
              <w:tc>
                <w:tcPr>
                  <w:tcW w:w="6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s="Times New Roman"/>
                      <w:color w:val="000000" w:themeColor="text1"/>
                      <w:kern w:val="2"/>
                      <w:sz w:val="18"/>
                      <w:szCs w:val="18"/>
                      <w:highlight w:val="none"/>
                      <w:lang w:val="en-US" w:eastAsia="zh-CN" w:bidi="ar-SA"/>
                      <w14:textFill>
                        <w14:solidFill>
                          <w14:schemeClr w14:val="tx1"/>
                        </w14:solidFill>
                      </w14:textFill>
                    </w:rPr>
                    <w:t>153</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1.481×10</w:t>
                  </w:r>
                  <w:r>
                    <w:rPr>
                      <w:rFonts w:hint="eastAsia" w:cs="Times New Roman"/>
                      <w:i w:val="0"/>
                      <w:iCs w:val="0"/>
                      <w:color w:val="000000"/>
                      <w:kern w:val="0"/>
                      <w:sz w:val="18"/>
                      <w:szCs w:val="18"/>
                      <w:u w:val="none"/>
                      <w:vertAlign w:val="superscript"/>
                      <w:lang w:val="en-US" w:eastAsia="zh-CN" w:bidi="ar"/>
                    </w:rPr>
                    <w:t>-5</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5.661×10</w:t>
                  </w:r>
                  <w:r>
                    <w:rPr>
                      <w:rFonts w:hint="eastAsia" w:cs="Times New Roman"/>
                      <w:i w:val="0"/>
                      <w:iCs w:val="0"/>
                      <w:color w:val="000000"/>
                      <w:kern w:val="0"/>
                      <w:sz w:val="18"/>
                      <w:szCs w:val="18"/>
                      <w:u w:val="none"/>
                      <w:vertAlign w:val="superscript"/>
                      <w:lang w:val="en-US" w:eastAsia="zh-CN" w:bidi="ar"/>
                    </w:rPr>
                    <w:t>-5</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1.683×10</w:t>
                  </w:r>
                  <w:r>
                    <w:rPr>
                      <w:rFonts w:hint="eastAsia" w:cs="Times New Roman"/>
                      <w:i w:val="0"/>
                      <w:iCs w:val="0"/>
                      <w:color w:val="000000"/>
                      <w:kern w:val="0"/>
                      <w:sz w:val="18"/>
                      <w:szCs w:val="18"/>
                      <w:u w:val="none"/>
                      <w:vertAlign w:val="superscript"/>
                      <w:lang w:val="en-US" w:eastAsia="zh-CN" w:bidi="ar"/>
                    </w:rPr>
                    <w:t>-11</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0"/>
                      <w:sz w:val="18"/>
                      <w:szCs w:val="18"/>
                      <w:u w:val="none"/>
                      <w:lang w:val="en-US" w:eastAsia="zh-CN" w:bidi="ar"/>
                    </w:rPr>
                    <w:t>2.295×10</w:t>
                  </w:r>
                  <w:r>
                    <w:rPr>
                      <w:rFonts w:hint="eastAsia" w:cs="Times New Roman"/>
                      <w:i w:val="0"/>
                      <w:iCs w:val="0"/>
                      <w:color w:val="000000"/>
                      <w:kern w:val="0"/>
                      <w:sz w:val="18"/>
                      <w:szCs w:val="18"/>
                      <w:u w:val="none"/>
                      <w:vertAlign w:val="superscript"/>
                      <w:lang w:val="en-US" w:eastAsia="zh-CN" w:bidi="ar"/>
                    </w:rPr>
                    <w:t>-10</w:t>
                  </w:r>
                </w:p>
              </w:tc>
              <w:tc>
                <w:tcPr>
                  <w:tcW w:w="124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cs="Times New Roman"/>
                      <w:i w:val="0"/>
                      <w:iCs w:val="0"/>
                      <w:color w:val="000000"/>
                      <w:kern w:val="2"/>
                      <w:sz w:val="18"/>
                      <w:szCs w:val="18"/>
                      <w:u w:val="none"/>
                      <w:lang w:val="en-US" w:eastAsia="zh-CN" w:bidi="ar-SA"/>
                    </w:rPr>
                    <w:t>7.0227</w:t>
                  </w:r>
                  <w:r>
                    <w:rPr>
                      <w:rFonts w:hint="eastAsia" w:cs="Times New Roman"/>
                      <w:i w:val="0"/>
                      <w:iCs w:val="0"/>
                      <w:color w:val="000000"/>
                      <w:kern w:val="0"/>
                      <w:sz w:val="18"/>
                      <w:szCs w:val="18"/>
                      <w:u w:val="none"/>
                      <w:lang w:val="en-US" w:eastAsia="zh-CN" w:bidi="ar"/>
                    </w:rPr>
                    <w:t>×10</w:t>
                  </w:r>
                  <w:r>
                    <w:rPr>
                      <w:rFonts w:hint="eastAsia" w:cs="Times New Roman"/>
                      <w:i w:val="0"/>
                      <w:iCs w:val="0"/>
                      <w:color w:val="000000"/>
                      <w:kern w:val="0"/>
                      <w:sz w:val="18"/>
                      <w:szCs w:val="18"/>
                      <w:u w:val="none"/>
                      <w:vertAlign w:val="superscript"/>
                      <w:lang w:val="en-US" w:eastAsia="zh-CN" w:bidi="ar"/>
                    </w:rPr>
                    <w:t>-7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08"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环评预测排放量</w:t>
                  </w:r>
                </w:p>
              </w:tc>
              <w:tc>
                <w:tcPr>
                  <w:tcW w:w="441"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t/a</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153</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t>0.055</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2"/>
                      <w:kern w:val="0"/>
                      <w:sz w:val="18"/>
                      <w:szCs w:val="18"/>
                      <w:highlight w:val="none"/>
                      <w:lang w:val="en-US" w:eastAsia="zh-CN" w:bidi="ar-SA"/>
                    </w:rPr>
                  </w:pPr>
                  <w:r>
                    <w:rPr>
                      <w:rFonts w:hint="eastAsia" w:ascii="Times New Roman" w:hAnsi="Times New Roman" w:eastAsia="宋体" w:cs="Times New Roman"/>
                      <w:spacing w:val="-2"/>
                      <w:kern w:val="0"/>
                      <w:sz w:val="18"/>
                      <w:szCs w:val="18"/>
                      <w:highlight w:val="none"/>
                      <w:lang w:val="en-US" w:eastAsia="zh-CN" w:bidi="ar-SA"/>
                    </w:rPr>
                    <w:t>0.031</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t>0.005</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spacing w:val="-2"/>
                      <w:kern w:val="0"/>
                      <w:sz w:val="18"/>
                      <w:szCs w:val="18"/>
                      <w:highlight w:val="none"/>
                      <w:lang w:val="en-US" w:eastAsia="zh-CN" w:bidi="ar-SA"/>
                    </w:rPr>
                    <w:t>0.007</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2"/>
                      <w:kern w:val="0"/>
                      <w:sz w:val="18"/>
                      <w:szCs w:val="18"/>
                      <w:highlight w:val="none"/>
                      <w:lang w:val="en-US" w:eastAsia="zh-CN" w:bidi="ar-SA"/>
                    </w:rPr>
                  </w:pPr>
                  <w:r>
                    <w:rPr>
                      <w:rFonts w:hint="eastAsia" w:ascii="Times New Roman" w:hAnsi="Times New Roman" w:eastAsia="宋体" w:cs="Times New Roman"/>
                      <w:spacing w:val="-2"/>
                      <w:kern w:val="0"/>
                      <w:sz w:val="18"/>
                      <w:szCs w:val="18"/>
                      <w:highlight w:val="none"/>
                      <w:lang w:val="en-US" w:eastAsia="zh-CN" w:bidi="ar-SA"/>
                    </w:rPr>
                    <w:t>0.001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08"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是否符合</w:t>
                  </w:r>
                </w:p>
              </w:tc>
              <w:tc>
                <w:tcPr>
                  <w:tcW w:w="441"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符合</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符合</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符合</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符合</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符合</w:t>
                  </w:r>
                </w:p>
              </w:tc>
              <w:tc>
                <w:tcPr>
                  <w:tcW w:w="625" w:type="pc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符合</w:t>
                  </w:r>
                </w:p>
              </w:tc>
            </w:tr>
          </w:tbl>
          <w:p>
            <w:pPr>
              <w:snapToGrid w:val="0"/>
              <w:spacing w:line="360" w:lineRule="auto"/>
              <w:jc w:val="left"/>
              <w:rPr>
                <w:rFonts w:hint="default" w:eastAsia="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5" w:type="dxa"/>
            <w:tcBorders>
              <w:tl2br w:val="nil"/>
              <w:tr2bl w:val="nil"/>
            </w:tcBorders>
            <w:vAlign w:val="top"/>
          </w:tcPr>
          <w:p>
            <w:pPr>
              <w:spacing w:line="360" w:lineRule="auto"/>
              <w:rPr>
                <w:b/>
                <w:sz w:val="24"/>
                <w:szCs w:val="24"/>
              </w:rPr>
            </w:pPr>
            <w:r>
              <w:rPr>
                <w:rFonts w:hint="eastAsia"/>
                <w:b/>
                <w:sz w:val="24"/>
                <w:szCs w:val="24"/>
                <w:lang w:val="en-US" w:eastAsia="zh-CN"/>
              </w:rPr>
              <w:t>检测仪器</w:t>
            </w:r>
            <w:r>
              <w:rPr>
                <w:b/>
                <w:sz w:val="24"/>
                <w:szCs w:val="24"/>
              </w:rPr>
              <w:t>：</w:t>
            </w:r>
          </w:p>
          <w:p>
            <w:pPr>
              <w:pStyle w:val="89"/>
              <w:spacing w:before="120" w:beforeLines="50" w:line="240" w:lineRule="auto"/>
              <w:ind w:firstLine="422" w:firstLineChars="200"/>
              <w:jc w:val="center"/>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val="en-US" w:eastAsia="zh-CN"/>
                <w14:textFill>
                  <w14:solidFill>
                    <w14:schemeClr w14:val="tx1"/>
                  </w14:solidFill>
                </w14:textFill>
              </w:rPr>
              <w:t xml:space="preserve">表8-9 </w:t>
            </w:r>
            <w:r>
              <w:rPr>
                <w:b/>
                <w:bCs/>
                <w:szCs w:val="21"/>
              </w:rPr>
              <w:t>检测仪器一览表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005"/>
              <w:gridCol w:w="2994"/>
              <w:gridCol w:w="2996"/>
              <w:gridCol w:w="299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序号</w:t>
                  </w:r>
                </w:p>
              </w:tc>
              <w:tc>
                <w:tcPr>
                  <w:tcW w:w="299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仪器编号</w:t>
                  </w:r>
                </w:p>
              </w:tc>
              <w:tc>
                <w:tcPr>
                  <w:tcW w:w="2996"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仪器名称</w:t>
                  </w:r>
                </w:p>
              </w:tc>
              <w:tc>
                <w:tcPr>
                  <w:tcW w:w="299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型号</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SZKHJC-024-03</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便携式</w:t>
                  </w:r>
                  <w:r>
                    <w:rPr>
                      <w:rStyle w:val="101"/>
                      <w:rFonts w:hint="default" w:ascii="Times New Roman" w:hAnsi="Times New Roman" w:eastAsia="宋体" w:cs="Times New Roman"/>
                      <w:sz w:val="18"/>
                      <w:szCs w:val="18"/>
                      <w:lang w:val="en-US" w:eastAsia="zh-CN" w:bidi="ar"/>
                    </w:rPr>
                    <w:t>PH/ORP</w:t>
                  </w:r>
                  <w:r>
                    <w:rPr>
                      <w:rFonts w:hint="default" w:ascii="Times New Roman" w:hAnsi="Times New Roman" w:eastAsia="宋体" w:cs="Times New Roman"/>
                      <w:i w:val="0"/>
                      <w:iCs w:val="0"/>
                      <w:color w:val="000000"/>
                      <w:kern w:val="0"/>
                      <w:sz w:val="18"/>
                      <w:szCs w:val="18"/>
                      <w:u w:val="none"/>
                      <w:lang w:val="en-US" w:eastAsia="zh-CN" w:bidi="ar"/>
                    </w:rPr>
                    <w:t>计</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PH100A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2</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Style w:val="101"/>
                      <w:rFonts w:hint="default" w:ascii="Times New Roman" w:hAnsi="Times New Roman" w:eastAsia="宋体" w:cs="Times New Roman"/>
                      <w:sz w:val="18"/>
                      <w:szCs w:val="18"/>
                      <w:lang w:val="en-US" w:eastAsia="zh-CN" w:bidi="ar"/>
                    </w:rPr>
                  </w:pPr>
                  <w:r>
                    <w:rPr>
                      <w:rStyle w:val="101"/>
                      <w:rFonts w:hint="default" w:ascii="Times New Roman" w:hAnsi="Times New Roman" w:eastAsia="宋体" w:cs="Times New Roman"/>
                      <w:sz w:val="18"/>
                      <w:szCs w:val="18"/>
                      <w:lang w:val="en-US" w:eastAsia="zh-CN" w:bidi="ar"/>
                    </w:rPr>
                    <w:t>SZKHJC-0</w:t>
                  </w:r>
                  <w:r>
                    <w:rPr>
                      <w:rStyle w:val="101"/>
                      <w:rFonts w:hint="eastAsia" w:cs="Times New Roman"/>
                      <w:sz w:val="18"/>
                      <w:szCs w:val="18"/>
                      <w:lang w:val="en-US" w:eastAsia="zh-CN" w:bidi="ar"/>
                    </w:rPr>
                    <w:t>71</w:t>
                  </w:r>
                  <w:r>
                    <w:rPr>
                      <w:rStyle w:val="101"/>
                      <w:rFonts w:hint="default" w:ascii="Times New Roman" w:hAnsi="Times New Roman" w:eastAsia="宋体" w:cs="Times New Roman"/>
                      <w:sz w:val="18"/>
                      <w:szCs w:val="18"/>
                      <w:lang w:val="en-US" w:eastAsia="zh-CN" w:bidi="ar"/>
                    </w:rPr>
                    <w:t>-0</w:t>
                  </w:r>
                  <w:r>
                    <w:rPr>
                      <w:rStyle w:val="101"/>
                      <w:rFonts w:hint="eastAsia" w:cs="Times New Roman"/>
                      <w:sz w:val="18"/>
                      <w:szCs w:val="18"/>
                      <w:lang w:val="en-US" w:eastAsia="zh-CN" w:bidi="ar"/>
                    </w:rPr>
                    <w:t>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气袋采样机</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Style w:val="101"/>
                      <w:rFonts w:hint="default" w:ascii="Times New Roman" w:hAnsi="Times New Roman" w:eastAsia="宋体" w:cs="Times New Roman"/>
                      <w:sz w:val="18"/>
                      <w:szCs w:val="18"/>
                      <w:lang w:val="en-US" w:eastAsia="zh-CN" w:bidi="ar"/>
                    </w:rPr>
                  </w:pPr>
                  <w:r>
                    <w:rPr>
                      <w:rStyle w:val="101"/>
                      <w:rFonts w:hint="eastAsia" w:cs="Times New Roman"/>
                      <w:sz w:val="18"/>
                      <w:szCs w:val="18"/>
                      <w:lang w:val="en-US" w:eastAsia="zh-CN" w:bidi="ar"/>
                    </w:rPr>
                    <w:t>TYQD-5C</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3</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SZKHJC-079-02</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大流量烟尘（气）测试仪</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YQ3000-D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4</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SZKHJC-08</w:t>
                  </w:r>
                  <w:r>
                    <w:rPr>
                      <w:rStyle w:val="101"/>
                      <w:rFonts w:hint="eastAsia" w:cs="Times New Roman"/>
                      <w:sz w:val="18"/>
                      <w:szCs w:val="18"/>
                      <w:lang w:val="en-US" w:eastAsia="zh-CN" w:bidi="ar"/>
                    </w:rPr>
                    <w:t>8</w:t>
                  </w:r>
                  <w:r>
                    <w:rPr>
                      <w:rStyle w:val="101"/>
                      <w:rFonts w:hint="default" w:ascii="Times New Roman" w:hAnsi="Times New Roman" w:eastAsia="宋体" w:cs="Times New Roman"/>
                      <w:sz w:val="18"/>
                      <w:szCs w:val="18"/>
                      <w:lang w:val="en-US" w:eastAsia="zh-CN" w:bidi="ar"/>
                    </w:rPr>
                    <w:t>-01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真空箱</w:t>
                  </w:r>
                  <w:r>
                    <w:rPr>
                      <w:rFonts w:hint="default" w:ascii="Times New Roman" w:hAnsi="Times New Roman" w:eastAsia="宋体" w:cs="Times New Roman"/>
                      <w:i w:val="0"/>
                      <w:iCs w:val="0"/>
                      <w:color w:val="000000"/>
                      <w:kern w:val="0"/>
                      <w:sz w:val="18"/>
                      <w:szCs w:val="18"/>
                      <w:u w:val="none"/>
                      <w:lang w:val="en-US" w:eastAsia="zh-CN" w:bidi="ar"/>
                    </w:rPr>
                    <w:t>采样器</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MH305</w:t>
                  </w:r>
                  <w:r>
                    <w:rPr>
                      <w:rStyle w:val="101"/>
                      <w:rFonts w:hint="eastAsia" w:cs="Times New Roman"/>
                      <w:sz w:val="18"/>
                      <w:szCs w:val="18"/>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5</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w:t>
                  </w:r>
                  <w:r>
                    <w:rPr>
                      <w:rStyle w:val="101"/>
                      <w:rFonts w:hint="eastAsia" w:cs="Times New Roman"/>
                      <w:sz w:val="18"/>
                      <w:szCs w:val="18"/>
                      <w:lang w:val="en-US" w:eastAsia="zh-CN" w:bidi="ar"/>
                    </w:rPr>
                    <w:t>108</w:t>
                  </w:r>
                  <w:r>
                    <w:rPr>
                      <w:rStyle w:val="101"/>
                      <w:rFonts w:hint="default" w:ascii="Times New Roman" w:hAnsi="Times New Roman" w:eastAsia="宋体" w:cs="Times New Roman"/>
                      <w:sz w:val="18"/>
                      <w:szCs w:val="18"/>
                      <w:lang w:val="en-US" w:eastAsia="zh-CN" w:bidi="ar"/>
                    </w:rPr>
                    <w:t>-01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烟气采样/含湿量测量仪</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MH30</w:t>
                  </w:r>
                  <w:r>
                    <w:rPr>
                      <w:rStyle w:val="101"/>
                      <w:rFonts w:hint="eastAsia" w:cs="Times New Roman"/>
                      <w:sz w:val="18"/>
                      <w:szCs w:val="18"/>
                      <w:lang w:val="en-US" w:eastAsia="zh-CN" w:bidi="ar"/>
                    </w:rPr>
                    <w:t>41B型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6</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w:t>
                  </w:r>
                  <w:r>
                    <w:rPr>
                      <w:rStyle w:val="101"/>
                      <w:rFonts w:hint="eastAsia" w:cs="Times New Roman"/>
                      <w:sz w:val="18"/>
                      <w:szCs w:val="18"/>
                      <w:lang w:val="en-US" w:eastAsia="zh-CN" w:bidi="ar"/>
                    </w:rPr>
                    <w:t>107</w:t>
                  </w:r>
                  <w:r>
                    <w:rPr>
                      <w:rStyle w:val="101"/>
                      <w:rFonts w:hint="default" w:ascii="Times New Roman" w:hAnsi="Times New Roman" w:eastAsia="宋体" w:cs="Times New Roman"/>
                      <w:sz w:val="18"/>
                      <w:szCs w:val="18"/>
                      <w:lang w:val="en-US" w:eastAsia="zh-CN" w:bidi="ar"/>
                    </w:rPr>
                    <w:t>-01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多功能气象参数仪</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eastAsia" w:cs="Times New Roman"/>
                      <w:sz w:val="18"/>
                      <w:szCs w:val="18"/>
                      <w:lang w:val="en-US" w:eastAsia="zh-CN" w:bidi="ar"/>
                    </w:rPr>
                    <w:t>NK-5500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7</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SZKHJC-081-01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多功能声级计</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AWA6228+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8</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SZKHJC-082-01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声校准器</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AWA6021A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9</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SZKHJC-007-01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电子天平</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AUW220D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10</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SZKHJC-055-02</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酸式滴定管</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11</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SZKHJC-040-01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标准COD消解器</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HCA-102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12</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SZKHJC-042-03</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紫外</w:t>
                  </w:r>
                  <w:r>
                    <w:rPr>
                      <w:rFonts w:hint="eastAsia"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可见分光光度计</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UV-1800</w:t>
                  </w:r>
                </w:p>
              </w:tc>
            </w:tr>
          </w:tbl>
          <w:p>
            <w:pPr>
              <w:pStyle w:val="89"/>
              <w:spacing w:before="120" w:beforeLines="50" w:line="240" w:lineRule="auto"/>
              <w:ind w:firstLine="422" w:firstLineChars="200"/>
              <w:jc w:val="center"/>
              <w:rPr>
                <w:rFonts w:hint="eastAsia" w:ascii="Times New Roman" w:hAnsi="Times New Roman" w:eastAsia="宋体" w:cs="Times New Roman"/>
                <w:b/>
                <w:bCs/>
                <w:color w:val="000000" w:themeColor="text1"/>
                <w:sz w:val="21"/>
                <w:highlight w:val="none"/>
                <w:lang w:val="en-US" w:eastAsia="zh-CN"/>
                <w14:textFill>
                  <w14:solidFill>
                    <w14:schemeClr w14:val="tx1"/>
                  </w14:solidFill>
                </w14:textFill>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default" w:eastAsia="宋体"/>
                <w:lang w:val="en-US" w:eastAsia="zh-CN"/>
              </w:rPr>
            </w:pPr>
          </w:p>
        </w:tc>
      </w:tr>
    </w:tbl>
    <w:p>
      <w:pPr>
        <w:pStyle w:val="38"/>
        <w:spacing w:after="0" w:line="240" w:lineRule="auto"/>
        <w:ind w:left="0"/>
        <w:rPr>
          <w:b/>
          <w:bCs/>
          <w:color w:val="auto"/>
          <w:sz w:val="24"/>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highlight w:val="none"/>
          <w:lang w:val="zh-CN"/>
        </w:rPr>
      </w:pPr>
      <w:bookmarkStart w:id="8" w:name="_Toc3905052"/>
      <w:r>
        <w:rPr>
          <w:b/>
          <w:color w:val="000000"/>
          <w:sz w:val="24"/>
          <w:highlight w:val="none"/>
          <w:lang w:val="zh-CN"/>
        </w:rPr>
        <w:t>表</w:t>
      </w:r>
      <w:r>
        <w:rPr>
          <w:b/>
          <w:color w:val="000000"/>
          <w:sz w:val="24"/>
          <w:highlight w:val="none"/>
        </w:rPr>
        <w:t>九</w:t>
      </w:r>
      <w:r>
        <w:rPr>
          <w:b/>
          <w:color w:val="000000"/>
          <w:sz w:val="24"/>
          <w:highlight w:val="none"/>
          <w:lang w:val="zh-CN"/>
        </w:rPr>
        <w:t>、验收监测结论</w:t>
      </w:r>
      <w:bookmarkEnd w:id="8"/>
    </w:p>
    <w:tbl>
      <w:tblPr>
        <w:tblStyle w:val="27"/>
        <w:tblW w:w="102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2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380" w:hRule="atLeast"/>
          <w:jc w:val="center"/>
        </w:trPr>
        <w:tc>
          <w:tcPr>
            <w:tcW w:w="9628" w:type="dxa"/>
            <w:tcBorders>
              <w:tl2br w:val="nil"/>
              <w:tr2bl w:val="nil"/>
            </w:tcBorders>
            <w:vAlign w:val="top"/>
          </w:tcPr>
          <w:p>
            <w:pPr>
              <w:adjustRightInd w:val="0"/>
              <w:snapToGrid w:val="0"/>
              <w:spacing w:before="120" w:beforeLines="50" w:line="360" w:lineRule="auto"/>
              <w:rPr>
                <w:b/>
                <w:bCs/>
                <w:sz w:val="24"/>
                <w:highlight w:val="none"/>
              </w:rPr>
            </w:pPr>
            <w:r>
              <w:rPr>
                <w:b/>
                <w:bCs/>
                <w:sz w:val="24"/>
                <w:highlight w:val="none"/>
              </w:rPr>
              <w:t>1、项目概况和环保执行情况</w:t>
            </w:r>
          </w:p>
          <w:p>
            <w:pPr>
              <w:adjustRightInd w:val="0"/>
              <w:snapToGri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sz w:val="24"/>
                <w:highlight w:val="none"/>
              </w:rPr>
              <w:t>项目简况：</w:t>
            </w:r>
            <w:r>
              <w:rPr>
                <w:rFonts w:hint="eastAsia"/>
                <w:color w:val="000000" w:themeColor="text1"/>
                <w:sz w:val="24"/>
                <w:highlight w:val="none"/>
                <w:lang w:eastAsia="zh-CN"/>
                <w14:textFill>
                  <w14:solidFill>
                    <w14:schemeClr w14:val="tx1"/>
                  </w14:solidFill>
                </w14:textFill>
              </w:rPr>
              <w:t>吴江华茂新型建材有限公司</w:t>
            </w:r>
            <w:r>
              <w:rPr>
                <w:color w:val="000000" w:themeColor="text1"/>
                <w:sz w:val="24"/>
                <w:highlight w:val="none"/>
                <w14:textFill>
                  <w14:solidFill>
                    <w14:schemeClr w14:val="tx1"/>
                  </w14:solidFill>
                </w14:textFill>
              </w:rPr>
              <w:t>属于</w:t>
            </w:r>
            <w:r>
              <w:rPr>
                <w:rFonts w:hint="eastAsia"/>
                <w:color w:val="000000" w:themeColor="text1"/>
                <w:sz w:val="24"/>
                <w:highlight w:val="none"/>
                <w14:textFill>
                  <w14:solidFill>
                    <w14:schemeClr w14:val="tx1"/>
                  </w14:solidFill>
                </w14:textFill>
              </w:rPr>
              <w:t>民营</w:t>
            </w:r>
            <w:r>
              <w:rPr>
                <w:color w:val="000000" w:themeColor="text1"/>
                <w:sz w:val="24"/>
                <w:highlight w:val="none"/>
                <w14:textFill>
                  <w14:solidFill>
                    <w14:schemeClr w14:val="tx1"/>
                  </w14:solidFill>
                </w14:textFill>
              </w:rPr>
              <w:t>企业，位于</w:t>
            </w:r>
            <w:r>
              <w:rPr>
                <w:rFonts w:hint="eastAsia"/>
                <w:color w:val="000000" w:themeColor="text1"/>
                <w:sz w:val="24"/>
                <w:highlight w:val="none"/>
                <w:lang w:eastAsia="zh-CN"/>
                <w14:textFill>
                  <w14:solidFill>
                    <w14:schemeClr w14:val="tx1"/>
                  </w14:solidFill>
                </w14:textFill>
              </w:rPr>
              <w:t>苏州市吴江区桃源镇青云大道588号</w:t>
            </w:r>
            <w:r>
              <w:rPr>
                <w:color w:val="000000" w:themeColor="text1"/>
                <w:sz w:val="24"/>
                <w:highlight w:val="none"/>
                <w14:textFill>
                  <w14:solidFill>
                    <w14:schemeClr w14:val="tx1"/>
                  </w14:solidFill>
                </w14:textFill>
              </w:rPr>
              <w:t>，经营范围：</w:t>
            </w:r>
            <w:r>
              <w:rPr>
                <w:rFonts w:hint="eastAsia"/>
                <w:color w:val="000000" w:themeColor="text1"/>
                <w:sz w:val="24"/>
                <w:highlight w:val="none"/>
                <w14:textFill>
                  <w14:solidFill>
                    <w14:schemeClr w14:val="tx1"/>
                  </w14:solidFill>
                </w14:textFill>
              </w:rPr>
              <w:t>主要从事混凝土实心砖、混凝土多孔砖、普通混凝土小型空心砌块生产、销售。（依法须经批准的项目，经相关部门批准后方可开展经营活动）。</w:t>
            </w:r>
          </w:p>
          <w:p>
            <w:pPr>
              <w:adjustRightInd w:val="0"/>
              <w:snapToGrid w:val="0"/>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本次验收项目总投资300万元，建设规模为年产非承重普通混凝土空心砖6万平方米、混凝土实心砖3万平方米。</w:t>
            </w: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本次项目</w:t>
            </w:r>
            <w:r>
              <w:rPr>
                <w:rFonts w:hint="eastAsia"/>
                <w:color w:val="000000" w:themeColor="text1"/>
                <w:sz w:val="24"/>
                <w:lang w:eastAsia="zh-CN"/>
                <w14:textFill>
                  <w14:solidFill>
                    <w14:schemeClr w14:val="tx1"/>
                  </w14:solidFill>
                </w14:textFill>
              </w:rPr>
              <w:t>环评审批过程：20</w:t>
            </w:r>
            <w:r>
              <w:rPr>
                <w:rFonts w:hint="eastAsia"/>
                <w:color w:val="000000" w:themeColor="text1"/>
                <w:sz w:val="24"/>
                <w:lang w:val="en-US" w:eastAsia="zh-CN"/>
                <w14:textFill>
                  <w14:solidFill>
                    <w14:schemeClr w14:val="tx1"/>
                  </w14:solidFill>
                </w14:textFill>
              </w:rPr>
              <w:t>18</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月</w:t>
            </w:r>
            <w:r>
              <w:rPr>
                <w:rFonts w:hint="eastAsia"/>
                <w:b w:val="0"/>
                <w:bCs w:val="0"/>
                <w:color w:val="000000" w:themeColor="text1"/>
                <w:sz w:val="24"/>
                <w:lang w:eastAsia="zh-CN"/>
                <w14:textFill>
                  <w14:solidFill>
                    <w14:schemeClr w14:val="tx1"/>
                  </w14:solidFill>
                </w14:textFill>
              </w:rPr>
              <w:t>委托</w:t>
            </w:r>
            <w:r>
              <w:rPr>
                <w:rFonts w:hint="eastAsia"/>
                <w:b w:val="0"/>
                <w:bCs w:val="0"/>
                <w:color w:val="000000" w:themeColor="text1"/>
                <w:sz w:val="24"/>
                <w:lang w:val="en-US" w:eastAsia="zh-CN"/>
                <w14:textFill>
                  <w14:solidFill>
                    <w14:schemeClr w14:val="tx1"/>
                  </w14:solidFill>
                </w14:textFill>
              </w:rPr>
              <w:t>苏州合巨环保技术有限公司</w:t>
            </w:r>
            <w:r>
              <w:rPr>
                <w:rFonts w:hint="eastAsia"/>
                <w:b w:val="0"/>
                <w:bCs w:val="0"/>
                <w:color w:val="000000" w:themeColor="text1"/>
                <w:sz w:val="24"/>
                <w:lang w:eastAsia="zh-CN"/>
                <w14:textFill>
                  <w14:solidFill>
                    <w14:schemeClr w14:val="tx1"/>
                  </w14:solidFill>
                </w14:textFill>
              </w:rPr>
              <w:t>编制</w:t>
            </w:r>
            <w:r>
              <w:rPr>
                <w:rFonts w:hint="eastAsia"/>
                <w:color w:val="000000" w:themeColor="text1"/>
                <w:sz w:val="24"/>
                <w:lang w:eastAsia="zh-CN"/>
                <w14:textFill>
                  <w14:solidFill>
                    <w14:schemeClr w14:val="tx1"/>
                  </w14:solidFill>
                </w14:textFill>
              </w:rPr>
              <w:t>了</w:t>
            </w:r>
            <w:r>
              <w:rPr>
                <w:rFonts w:hint="eastAsia"/>
                <w:color w:val="000000" w:themeColor="text1"/>
                <w:sz w:val="24"/>
                <w:highlight w:val="none"/>
                <w:shd w:val="clear"/>
                <w14:textFill>
                  <w14:solidFill>
                    <w14:schemeClr w14:val="tx1"/>
                  </w14:solidFill>
                </w14:textFill>
              </w:rPr>
              <w:t>《</w:t>
            </w:r>
            <w:r>
              <w:rPr>
                <w:rFonts w:hint="eastAsia"/>
                <w:color w:val="000000" w:themeColor="text1"/>
                <w:sz w:val="24"/>
                <w:highlight w:val="none"/>
                <w:shd w:val="clear"/>
                <w:lang w:eastAsia="zh-CN"/>
                <w14:textFill>
                  <w14:solidFill>
                    <w14:schemeClr w14:val="tx1"/>
                  </w14:solidFill>
                </w14:textFill>
              </w:rPr>
              <w:t>吴江华茂新型建材有限公司年产非承重普通混凝土空心砖6万平方米、混凝土实心砖3万平方米生产技术改造项目环境影响报告表</w:t>
            </w:r>
            <w:r>
              <w:rPr>
                <w:rFonts w:hint="eastAsia"/>
                <w:color w:val="000000" w:themeColor="text1"/>
                <w:sz w:val="24"/>
                <w:highlight w:val="none"/>
                <w:shd w:val="clear"/>
                <w14:textFill>
                  <w14:solidFill>
                    <w14:schemeClr w14:val="tx1"/>
                  </w14:solidFill>
                </w14:textFill>
              </w:rPr>
              <w:t>》</w:t>
            </w:r>
            <w:r>
              <w:rPr>
                <w:rFonts w:hint="eastAsia"/>
                <w:color w:val="000000" w:themeColor="text1"/>
                <w:sz w:val="24"/>
                <w:highlight w:val="none"/>
                <w:shd w:val="clear"/>
                <w:lang w:eastAsia="zh-CN"/>
                <w14:textFill>
                  <w14:solidFill>
                    <w14:schemeClr w14:val="tx1"/>
                  </w14:solidFill>
                </w14:textFill>
              </w:rPr>
              <w:t>，</w:t>
            </w:r>
            <w:r>
              <w:rPr>
                <w:rFonts w:hint="eastAsia"/>
                <w:color w:val="000000" w:themeColor="text1"/>
                <w:sz w:val="24"/>
                <w:highlight w:val="none"/>
                <w:shd w:val="clear"/>
                <w:lang w:val="en-US" w:eastAsia="zh-CN"/>
                <w14:textFill>
                  <w14:solidFill>
                    <w14:schemeClr w14:val="tx1"/>
                  </w14:solidFill>
                </w14:textFill>
              </w:rPr>
              <w:t>并于</w:t>
            </w:r>
            <w:r>
              <w:rPr>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18</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日</w:t>
            </w:r>
            <w:r>
              <w:rPr>
                <w:rFonts w:hint="eastAsia"/>
                <w:color w:val="000000" w:themeColor="text1"/>
                <w:sz w:val="24"/>
                <w:lang w:eastAsia="zh-CN"/>
                <w14:textFill>
                  <w14:solidFill>
                    <w14:schemeClr w14:val="tx1"/>
                  </w14:solidFill>
                </w14:textFill>
              </w:rPr>
              <w:t>取得</w:t>
            </w:r>
            <w:r>
              <w:rPr>
                <w:rFonts w:hint="eastAsia"/>
                <w:color w:val="000000" w:themeColor="text1"/>
                <w:sz w:val="24"/>
                <w:lang w:val="en-US" w:eastAsia="zh-CN"/>
                <w14:textFill>
                  <w14:solidFill>
                    <w14:schemeClr w14:val="tx1"/>
                  </w14:solidFill>
                </w14:textFill>
              </w:rPr>
              <w:t>吴江区环境保护局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关于对</w:t>
            </w:r>
            <w:r>
              <w:rPr>
                <w:rFonts w:hint="eastAsia"/>
                <w:color w:val="000000" w:themeColor="text1"/>
                <w:sz w:val="24"/>
                <w:highlight w:val="none"/>
                <w:lang w:eastAsia="zh-CN"/>
                <w14:textFill>
                  <w14:solidFill>
                    <w14:schemeClr w14:val="tx1"/>
                  </w14:solidFill>
                </w14:textFill>
              </w:rPr>
              <w:t>吴江华茂新型建材有限公司</w:t>
            </w:r>
            <w:r>
              <w:rPr>
                <w:rFonts w:hint="eastAsia"/>
                <w:color w:val="000000" w:themeColor="text1"/>
                <w:sz w:val="24"/>
                <w:highlight w:val="none"/>
                <w:lang w:val="en-US" w:eastAsia="zh-CN"/>
                <w14:textFill>
                  <w14:solidFill>
                    <w14:schemeClr w14:val="tx1"/>
                  </w14:solidFill>
                </w14:textFill>
              </w:rPr>
              <w:t>建设</w:t>
            </w:r>
            <w:r>
              <w:rPr>
                <w:rFonts w:hint="eastAsia"/>
                <w:color w:val="000000" w:themeColor="text1"/>
                <w:sz w:val="24"/>
                <w:highlight w:val="none"/>
                <w:lang w:eastAsia="zh-CN"/>
                <w14:textFill>
                  <w14:solidFill>
                    <w14:schemeClr w14:val="tx1"/>
                  </w14:solidFill>
                </w14:textFill>
              </w:rPr>
              <w:t>项目</w:t>
            </w:r>
            <w:r>
              <w:rPr>
                <w:rFonts w:hint="eastAsia"/>
                <w:color w:val="000000" w:themeColor="text1"/>
                <w:sz w:val="24"/>
                <w:highlight w:val="none"/>
                <w14:textFill>
                  <w14:solidFill>
                    <w14:schemeClr w14:val="tx1"/>
                  </w14:solidFill>
                </w14:textFill>
              </w:rPr>
              <w:t>环境影响报告表的</w:t>
            </w:r>
            <w:r>
              <w:rPr>
                <w:rFonts w:hint="eastAsia"/>
                <w:color w:val="000000" w:themeColor="text1"/>
                <w:sz w:val="24"/>
                <w:highlight w:val="none"/>
                <w:lang w:val="en-US" w:eastAsia="zh-CN"/>
                <w14:textFill>
                  <w14:solidFill>
                    <w14:schemeClr w14:val="tx1"/>
                  </w14:solidFill>
                </w14:textFill>
              </w:rPr>
              <w:t>批复</w:t>
            </w:r>
            <w:r>
              <w:rPr>
                <w:color w:val="000000" w:themeColor="text1"/>
                <w:sz w:val="24"/>
                <w:highlight w:val="none"/>
                <w14:textFill>
                  <w14:solidFill>
                    <w14:schemeClr w14:val="tx1"/>
                  </w14:solidFill>
                </w14:textFill>
              </w:rPr>
              <w:t>》</w:t>
            </w:r>
            <w:r>
              <w:rPr>
                <w:rFonts w:hint="eastAsia"/>
                <w:color w:val="000000" w:themeColor="text1"/>
                <w:sz w:val="24"/>
                <w:lang w:val="en-US" w:eastAsia="zh-CN"/>
                <w14:textFill>
                  <w14:solidFill>
                    <w14:schemeClr w14:val="tx1"/>
                  </w14:solidFill>
                </w14:textFill>
              </w:rPr>
              <w:t>（吴环建[2018]246号）</w:t>
            </w:r>
            <w:r>
              <w:rPr>
                <w:rFonts w:hint="eastAsia"/>
                <w:color w:val="000000" w:themeColor="text1"/>
                <w:sz w:val="24"/>
                <w:lang w:eastAsia="zh-CN"/>
                <w14:textFill>
                  <w14:solidFill>
                    <w14:schemeClr w14:val="tx1"/>
                  </w14:solidFill>
                </w14:textFill>
              </w:rPr>
              <w:t>。项目主体工程与环保设施于20</w:t>
            </w:r>
            <w:r>
              <w:rPr>
                <w:rFonts w:hint="eastAsia"/>
                <w:color w:val="000000" w:themeColor="text1"/>
                <w:sz w:val="24"/>
                <w:lang w:val="en-US" w:eastAsia="zh-CN"/>
                <w14:textFill>
                  <w14:solidFill>
                    <w14:schemeClr w14:val="tx1"/>
                  </w14:solidFill>
                </w14:textFill>
              </w:rPr>
              <w:t>18</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9</w:t>
            </w:r>
            <w:r>
              <w:rPr>
                <w:rFonts w:hint="eastAsia"/>
                <w:color w:val="000000" w:themeColor="text1"/>
                <w:sz w:val="24"/>
                <w:lang w:eastAsia="zh-CN"/>
                <w14:textFill>
                  <w14:solidFill>
                    <w14:schemeClr w14:val="tx1"/>
                  </w14:solidFill>
                </w14:textFill>
              </w:rPr>
              <w:t>月开工建设，并于20</w:t>
            </w:r>
            <w:r>
              <w:rPr>
                <w:rFonts w:hint="eastAsia"/>
                <w:color w:val="000000" w:themeColor="text1"/>
                <w:sz w:val="24"/>
                <w:lang w:val="en-US" w:eastAsia="zh-CN"/>
                <w14:textFill>
                  <w14:solidFill>
                    <w14:schemeClr w14:val="tx1"/>
                  </w14:solidFill>
                </w14:textFill>
              </w:rPr>
              <w:t>18</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12</w:t>
            </w:r>
            <w:r>
              <w:rPr>
                <w:rFonts w:hint="eastAsia"/>
                <w:color w:val="000000" w:themeColor="text1"/>
                <w:sz w:val="24"/>
                <w:lang w:eastAsia="zh-CN"/>
                <w14:textFill>
                  <w14:solidFill>
                    <w14:schemeClr w14:val="tx1"/>
                  </w14:solidFill>
                </w14:textFill>
              </w:rPr>
              <w:t>月建成进行生产调试，现正开展项目竣工</w:t>
            </w:r>
            <w:r>
              <w:rPr>
                <w:rFonts w:hint="eastAsia"/>
                <w:color w:val="000000" w:themeColor="text1"/>
                <w:sz w:val="24"/>
                <w:highlight w:val="none"/>
                <w:lang w:eastAsia="zh-CN"/>
                <w14:textFill>
                  <w14:solidFill>
                    <w14:schemeClr w14:val="tx1"/>
                  </w14:solidFill>
                </w14:textFill>
              </w:rPr>
              <w:t>环境保护验收工作。</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公司发展至今，先后共申报有两期项目，</w:t>
            </w:r>
            <w:r>
              <w:rPr>
                <w:rFonts w:hint="eastAsia" w:eastAsia="宋体"/>
                <w:sz w:val="24"/>
                <w:szCs w:val="24"/>
              </w:rPr>
              <w:t>各期项目的建设情况和环评手续办理情况见表</w:t>
            </w:r>
            <w:r>
              <w:rPr>
                <w:rFonts w:hint="default"/>
                <w:sz w:val="24"/>
                <w:szCs w:val="24"/>
              </w:rPr>
              <w:t>1-7</w:t>
            </w:r>
            <w:r>
              <w:rPr>
                <w:rFonts w:hint="eastAsia" w:eastAsia="宋体"/>
                <w:sz w:val="24"/>
                <w:szCs w:val="24"/>
              </w:rPr>
              <w:t>。</w:t>
            </w:r>
            <w:r>
              <w:rPr>
                <w:rFonts w:hint="eastAsia" w:ascii="Times New Roman" w:hAnsi="宋体" w:eastAsia="宋体"/>
                <w:sz w:val="24"/>
                <w:szCs w:val="24"/>
              </w:rPr>
              <w:t>一期、二期项目均位于吴江桃源铜锣社区富乡村，其中一期项目自取得批复至今未投产，二期项目现已停产，设备均已拆除。</w:t>
            </w:r>
          </w:p>
          <w:p>
            <w:pPr>
              <w:adjustRightInd w:val="0"/>
              <w:snapToGrid w:val="0"/>
              <w:spacing w:line="360" w:lineRule="auto"/>
              <w:ind w:firstLine="480" w:firstLineChars="200"/>
              <w:rPr>
                <w:rFonts w:hint="eastAsia"/>
                <w:sz w:val="24"/>
                <w:highlight w:val="none"/>
                <w:lang w:eastAsia="zh-CN"/>
              </w:rPr>
            </w:pPr>
            <w:r>
              <w:rPr>
                <w:rFonts w:hint="eastAsia"/>
                <w:sz w:val="24"/>
                <w:highlight w:val="none"/>
                <w:lang w:val="en-US" w:eastAsia="zh-CN"/>
              </w:rPr>
              <w:t>具体</w:t>
            </w:r>
            <w:r>
              <w:rPr>
                <w:rFonts w:hint="eastAsia"/>
                <w:sz w:val="24"/>
                <w:highlight w:val="none"/>
                <w:lang w:eastAsia="zh-CN"/>
              </w:rPr>
              <w:t>公司目前存在的项目及其环保执行情况如下</w:t>
            </w:r>
            <w:r>
              <w:rPr>
                <w:rFonts w:hint="eastAsia"/>
                <w:sz w:val="24"/>
                <w:highlight w:val="none"/>
                <w:lang w:val="en-US" w:eastAsia="zh-CN"/>
              </w:rPr>
              <w:t>表9-1</w:t>
            </w:r>
            <w:r>
              <w:rPr>
                <w:rFonts w:hint="eastAsia"/>
                <w:sz w:val="24"/>
                <w:highlight w:val="none"/>
                <w:lang w:eastAsia="zh-CN"/>
              </w:rPr>
              <w:t>：</w:t>
            </w:r>
          </w:p>
          <w:p>
            <w:pPr>
              <w:spacing w:line="360" w:lineRule="exact"/>
              <w:jc w:val="center"/>
              <w:rPr>
                <w:rFonts w:hint="eastAsia" w:cs="Times New Roman"/>
                <w:b/>
                <w:sz w:val="21"/>
                <w:szCs w:val="24"/>
                <w:lang w:val="en-US" w:eastAsia="zh-CN"/>
              </w:rPr>
            </w:pPr>
            <w:r>
              <w:rPr>
                <w:rFonts w:hint="default" w:ascii="Times New Roman" w:hAnsi="Times New Roman" w:eastAsia="宋体" w:cs="Times New Roman"/>
                <w:b/>
                <w:sz w:val="21"/>
                <w:szCs w:val="24"/>
              </w:rPr>
              <w:t>表</w:t>
            </w:r>
            <w:r>
              <w:rPr>
                <w:rFonts w:hint="eastAsia" w:cs="Times New Roman"/>
                <w:b/>
                <w:sz w:val="21"/>
                <w:szCs w:val="24"/>
                <w:lang w:val="en-US" w:eastAsia="zh-CN"/>
              </w:rPr>
              <w:t>9</w:t>
            </w:r>
            <w:r>
              <w:rPr>
                <w:rFonts w:hint="default" w:ascii="Times New Roman" w:hAnsi="Times New Roman" w:eastAsia="宋体" w:cs="Times New Roman"/>
                <w:b/>
                <w:sz w:val="21"/>
                <w:szCs w:val="24"/>
              </w:rPr>
              <w:t>-</w:t>
            </w:r>
            <w:r>
              <w:rPr>
                <w:rFonts w:hint="eastAsia" w:cs="Times New Roman"/>
                <w:b/>
                <w:sz w:val="21"/>
                <w:szCs w:val="24"/>
                <w:lang w:val="en-US" w:eastAsia="zh-CN"/>
              </w:rPr>
              <w:t>1  吴江华茂新型建材有限公司环保手续执行情况</w:t>
            </w:r>
          </w:p>
          <w:tbl>
            <w:tblPr>
              <w:tblStyle w:val="26"/>
              <w:tblW w:w="97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1941"/>
              <w:gridCol w:w="2098"/>
              <w:gridCol w:w="898"/>
              <w:gridCol w:w="1517"/>
              <w:gridCol w:w="898"/>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63" w:type="dxa"/>
                  <w:tcBorders>
                    <w:top w:val="single" w:color="auto" w:sz="12" w:space="0"/>
                    <w:left w:val="single" w:color="auto" w:sz="12" w:space="0"/>
                    <w:bottom w:val="single" w:color="auto" w:sz="6" w:space="0"/>
                    <w:right w:val="single" w:color="auto" w:sz="6" w:space="0"/>
                    <w:tl2br w:val="nil"/>
                    <w:tr2bl w:val="nil"/>
                  </w:tcBorders>
                  <w:noWrap w:val="0"/>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序号</w:t>
                  </w:r>
                </w:p>
              </w:tc>
              <w:tc>
                <w:tcPr>
                  <w:tcW w:w="1941" w:type="dxa"/>
                  <w:tcBorders>
                    <w:top w:val="single" w:color="auto" w:sz="12"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项目名称及类型</w:t>
                  </w:r>
                </w:p>
              </w:tc>
              <w:tc>
                <w:tcPr>
                  <w:tcW w:w="2098" w:type="dxa"/>
                  <w:tcBorders>
                    <w:top w:val="single" w:color="auto" w:sz="12"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主要建设内容</w:t>
                  </w:r>
                </w:p>
              </w:tc>
              <w:tc>
                <w:tcPr>
                  <w:tcW w:w="898" w:type="dxa"/>
                  <w:tcBorders>
                    <w:top w:val="single" w:color="auto" w:sz="12"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环评</w:t>
                  </w:r>
                </w:p>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类别</w:t>
                  </w:r>
                </w:p>
              </w:tc>
              <w:tc>
                <w:tcPr>
                  <w:tcW w:w="1517" w:type="dxa"/>
                  <w:tcBorders>
                    <w:top w:val="single" w:color="auto" w:sz="12"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环评</w:t>
                  </w:r>
                </w:p>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批复</w:t>
                  </w:r>
                </w:p>
              </w:tc>
              <w:tc>
                <w:tcPr>
                  <w:tcW w:w="898" w:type="dxa"/>
                  <w:tcBorders>
                    <w:top w:val="single" w:color="auto" w:sz="12"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环保</w:t>
                  </w:r>
                </w:p>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验收</w:t>
                  </w:r>
                </w:p>
              </w:tc>
              <w:tc>
                <w:tcPr>
                  <w:tcW w:w="1560" w:type="dxa"/>
                  <w:tcBorders>
                    <w:top w:val="single" w:color="auto" w:sz="12" w:space="0"/>
                    <w:left w:val="single" w:color="auto" w:sz="6" w:space="0"/>
                    <w:bottom w:val="single" w:color="auto" w:sz="6" w:space="0"/>
                    <w:right w:val="single" w:color="auto" w:sz="12"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863" w:type="dxa"/>
                  <w:tcBorders>
                    <w:top w:val="single" w:color="auto" w:sz="6" w:space="0"/>
                    <w:left w:val="single" w:color="auto" w:sz="12" w:space="0"/>
                    <w:bottom w:val="single" w:color="auto" w:sz="6" w:space="0"/>
                    <w:right w:val="single" w:color="auto" w:sz="6" w:space="0"/>
                    <w:tl2br w:val="nil"/>
                    <w:tr2bl w:val="nil"/>
                  </w:tcBorders>
                  <w:noWrap w:val="0"/>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1</w:t>
                  </w:r>
                </w:p>
              </w:tc>
              <w:tc>
                <w:tcPr>
                  <w:tcW w:w="1941"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新型节能环保墙体材料项目</w:t>
                  </w:r>
                </w:p>
              </w:tc>
              <w:tc>
                <w:tcPr>
                  <w:tcW w:w="2098"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年产新型节能环保墙体材料80万立方米</w:t>
                  </w:r>
                </w:p>
              </w:tc>
              <w:tc>
                <w:tcPr>
                  <w:tcW w:w="898"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登记表</w:t>
                  </w:r>
                </w:p>
              </w:tc>
              <w:tc>
                <w:tcPr>
                  <w:tcW w:w="1517"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吴环建[2008]533号</w:t>
                  </w:r>
                </w:p>
              </w:tc>
              <w:tc>
                <w:tcPr>
                  <w:tcW w:w="898"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未验收</w:t>
                  </w:r>
                </w:p>
              </w:tc>
              <w:tc>
                <w:tcPr>
                  <w:tcW w:w="1560" w:type="dxa"/>
                  <w:tcBorders>
                    <w:top w:val="single" w:color="auto" w:sz="6" w:space="0"/>
                    <w:left w:val="single" w:color="auto" w:sz="6" w:space="0"/>
                    <w:bottom w:val="single" w:color="auto" w:sz="6" w:space="0"/>
                    <w:right w:val="single" w:color="auto" w:sz="12"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未投产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9" w:hRule="atLeast"/>
              </w:trPr>
              <w:tc>
                <w:tcPr>
                  <w:tcW w:w="863" w:type="dxa"/>
                  <w:tcBorders>
                    <w:top w:val="single" w:color="auto" w:sz="6" w:space="0"/>
                    <w:left w:val="single" w:color="auto" w:sz="12" w:space="0"/>
                    <w:bottom w:val="single" w:color="auto" w:sz="6" w:space="0"/>
                    <w:right w:val="single" w:color="auto" w:sz="6" w:space="0"/>
                    <w:tl2br w:val="nil"/>
                    <w:tr2bl w:val="nil"/>
                  </w:tcBorders>
                  <w:noWrap w:val="0"/>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2</w:t>
                  </w:r>
                </w:p>
              </w:tc>
              <w:tc>
                <w:tcPr>
                  <w:tcW w:w="1941"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年产混凝土实心砖2万立方米、非承重混凝土空心砖3万立方米项目</w:t>
                  </w:r>
                </w:p>
              </w:tc>
              <w:tc>
                <w:tcPr>
                  <w:tcW w:w="2098"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年产混凝土实心砖2万立方米、非承重混凝土空心砖3万立方米</w:t>
                  </w:r>
                </w:p>
              </w:tc>
              <w:tc>
                <w:tcPr>
                  <w:tcW w:w="898"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报告表</w:t>
                  </w:r>
                </w:p>
              </w:tc>
              <w:tc>
                <w:tcPr>
                  <w:tcW w:w="1517"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吴环建[2014]500号</w:t>
                  </w:r>
                </w:p>
              </w:tc>
              <w:tc>
                <w:tcPr>
                  <w:tcW w:w="898"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未验收</w:t>
                  </w:r>
                </w:p>
              </w:tc>
              <w:tc>
                <w:tcPr>
                  <w:tcW w:w="1560" w:type="dxa"/>
                  <w:tcBorders>
                    <w:top w:val="single" w:color="auto" w:sz="6" w:space="0"/>
                    <w:left w:val="single" w:color="auto" w:sz="6" w:space="0"/>
                    <w:bottom w:val="single" w:color="auto" w:sz="6" w:space="0"/>
                    <w:right w:val="single" w:color="auto" w:sz="12"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停产，设备均已拆除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8" w:hRule="atLeast"/>
              </w:trPr>
              <w:tc>
                <w:tcPr>
                  <w:tcW w:w="863" w:type="dxa"/>
                  <w:tcBorders>
                    <w:top w:val="single" w:color="auto" w:sz="6" w:space="0"/>
                    <w:left w:val="single" w:color="auto" w:sz="12" w:space="0"/>
                    <w:bottom w:val="single" w:color="auto" w:sz="12" w:space="0"/>
                    <w:right w:val="single" w:color="auto" w:sz="6" w:space="0"/>
                    <w:tl2br w:val="nil"/>
                    <w:tr2bl w:val="nil"/>
                  </w:tcBorders>
                  <w:noWrap w:val="0"/>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3</w:t>
                  </w:r>
                </w:p>
              </w:tc>
              <w:tc>
                <w:tcPr>
                  <w:tcW w:w="1941" w:type="dxa"/>
                  <w:tcBorders>
                    <w:top w:val="single" w:color="auto" w:sz="6" w:space="0"/>
                    <w:left w:val="single" w:color="auto" w:sz="6" w:space="0"/>
                    <w:bottom w:val="single" w:color="auto" w:sz="12"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排污许可证申领情况</w:t>
                  </w:r>
                </w:p>
              </w:tc>
              <w:tc>
                <w:tcPr>
                  <w:tcW w:w="2098" w:type="dxa"/>
                  <w:tcBorders>
                    <w:top w:val="single" w:color="auto" w:sz="6" w:space="0"/>
                    <w:left w:val="single" w:color="auto" w:sz="6" w:space="0"/>
                    <w:bottom w:val="single" w:color="auto" w:sz="12" w:space="0"/>
                    <w:right w:val="single" w:color="auto" w:sz="6"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登记管理</w:t>
                  </w:r>
                </w:p>
              </w:tc>
              <w:tc>
                <w:tcPr>
                  <w:tcW w:w="4873" w:type="dxa"/>
                  <w:gridSpan w:val="4"/>
                  <w:tcBorders>
                    <w:top w:val="single" w:color="auto" w:sz="6" w:space="0"/>
                    <w:left w:val="single" w:color="auto" w:sz="6" w:space="0"/>
                    <w:bottom w:val="single" w:color="auto" w:sz="12" w:space="0"/>
                    <w:right w:val="single" w:color="auto" w:sz="12" w:space="0"/>
                    <w:tl2br w:val="nil"/>
                    <w:tr2bl w:val="nil"/>
                  </w:tcBorders>
                  <w:noWrap w:val="0"/>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许可证编号：</w:t>
                  </w:r>
                  <w:r>
                    <w:rPr>
                      <w:rFonts w:hint="default"/>
                      <w:sz w:val="18"/>
                      <w:szCs w:val="18"/>
                      <w:highlight w:val="none"/>
                      <w:lang w:val="en-US" w:eastAsia="zh-CN"/>
                    </w:rPr>
                    <w:t>913205096748526480001Y</w:t>
                  </w:r>
                </w:p>
              </w:tc>
            </w:tr>
          </w:tbl>
          <w:p>
            <w:pPr>
              <w:adjustRightInd w:val="0"/>
              <w:snapToGrid w:val="0"/>
              <w:ind w:left="105" w:leftChars="50" w:right="105" w:rightChars="50" w:firstLine="422" w:firstLineChars="200"/>
              <w:jc w:val="center"/>
              <w:rPr>
                <w:b/>
                <w:bCs/>
                <w:szCs w:val="21"/>
                <w:highlight w:val="none"/>
              </w:rPr>
            </w:pPr>
            <w:r>
              <w:rPr>
                <w:b/>
                <w:bCs/>
                <w:szCs w:val="21"/>
                <w:highlight w:val="none"/>
              </w:rPr>
              <w:t>表9-</w:t>
            </w:r>
            <w:r>
              <w:rPr>
                <w:rFonts w:hint="eastAsia"/>
                <w:b/>
                <w:bCs/>
                <w:szCs w:val="21"/>
                <w:highlight w:val="none"/>
                <w:lang w:val="en-US" w:eastAsia="zh-CN"/>
              </w:rPr>
              <w:t>2 年产非承重普通混凝土空心砖6万平方米、混凝土实心砖3万平方米生产技术改造项目</w:t>
            </w:r>
            <w:r>
              <w:rPr>
                <w:b/>
                <w:bCs/>
                <w:szCs w:val="21"/>
                <w:highlight w:val="none"/>
              </w:rPr>
              <w:t>环保执行情况表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860"/>
              <w:gridCol w:w="75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b/>
                      <w:bCs/>
                      <w:sz w:val="18"/>
                      <w:szCs w:val="18"/>
                      <w:highlight w:val="none"/>
                    </w:rPr>
                  </w:pPr>
                  <w:r>
                    <w:rPr>
                      <w:b/>
                      <w:bCs/>
                      <w:sz w:val="18"/>
                      <w:szCs w:val="18"/>
                      <w:highlight w:val="none"/>
                    </w:rPr>
                    <w:t>序号</w:t>
                  </w:r>
                </w:p>
              </w:tc>
              <w:tc>
                <w:tcPr>
                  <w:tcW w:w="1860" w:type="dxa"/>
                  <w:vAlign w:val="center"/>
                </w:tcPr>
                <w:p>
                  <w:pPr>
                    <w:adjustRightInd w:val="0"/>
                    <w:snapToGrid w:val="0"/>
                    <w:jc w:val="center"/>
                    <w:rPr>
                      <w:b/>
                      <w:bCs/>
                      <w:sz w:val="18"/>
                      <w:szCs w:val="18"/>
                      <w:highlight w:val="none"/>
                    </w:rPr>
                  </w:pPr>
                  <w:r>
                    <w:rPr>
                      <w:b/>
                      <w:bCs/>
                      <w:sz w:val="18"/>
                      <w:szCs w:val="18"/>
                      <w:highlight w:val="none"/>
                    </w:rPr>
                    <w:t>项目</w:t>
                  </w:r>
                </w:p>
              </w:tc>
              <w:tc>
                <w:tcPr>
                  <w:tcW w:w="7521" w:type="dxa"/>
                  <w:vAlign w:val="center"/>
                </w:tcPr>
                <w:p>
                  <w:pPr>
                    <w:adjustRightInd w:val="0"/>
                    <w:snapToGrid w:val="0"/>
                    <w:jc w:val="center"/>
                    <w:rPr>
                      <w:b/>
                      <w:bCs/>
                      <w:sz w:val="18"/>
                      <w:szCs w:val="18"/>
                      <w:highlight w:val="none"/>
                    </w:rPr>
                  </w:pPr>
                  <w:r>
                    <w:rPr>
                      <w:b/>
                      <w:bCs/>
                      <w:sz w:val="18"/>
                      <w:szCs w:val="18"/>
                      <w:highlight w:val="none"/>
                    </w:rPr>
                    <w:t>执行情况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1</w:t>
                  </w:r>
                </w:p>
              </w:tc>
              <w:tc>
                <w:tcPr>
                  <w:tcW w:w="1860" w:type="dxa"/>
                  <w:vAlign w:val="center"/>
                </w:tcPr>
                <w:p>
                  <w:pPr>
                    <w:adjustRightInd w:val="0"/>
                    <w:snapToGrid w:val="0"/>
                    <w:jc w:val="center"/>
                    <w:rPr>
                      <w:sz w:val="18"/>
                      <w:szCs w:val="18"/>
                      <w:highlight w:val="none"/>
                    </w:rPr>
                  </w:pPr>
                  <w:r>
                    <w:rPr>
                      <w:sz w:val="18"/>
                      <w:szCs w:val="18"/>
                      <w:highlight w:val="none"/>
                    </w:rPr>
                    <w:t>环评</w:t>
                  </w:r>
                </w:p>
              </w:tc>
              <w:tc>
                <w:tcPr>
                  <w:tcW w:w="7521" w:type="dxa"/>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2018年4月，吴江华茂新型建材有限公司委托南京易环勘察设计有限公司（苏州合巨环保技术有限公司）进行环评工作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2</w:t>
                  </w:r>
                </w:p>
              </w:tc>
              <w:tc>
                <w:tcPr>
                  <w:tcW w:w="1860" w:type="dxa"/>
                  <w:vAlign w:val="center"/>
                </w:tcPr>
                <w:p>
                  <w:pPr>
                    <w:adjustRightInd w:val="0"/>
                    <w:snapToGrid w:val="0"/>
                    <w:jc w:val="center"/>
                    <w:rPr>
                      <w:sz w:val="18"/>
                      <w:szCs w:val="18"/>
                      <w:highlight w:val="none"/>
                    </w:rPr>
                  </w:pPr>
                  <w:r>
                    <w:rPr>
                      <w:sz w:val="18"/>
                      <w:szCs w:val="18"/>
                      <w:highlight w:val="none"/>
                    </w:rPr>
                    <w:t>环评批复</w:t>
                  </w:r>
                </w:p>
              </w:tc>
              <w:tc>
                <w:tcPr>
                  <w:tcW w:w="7521" w:type="dxa"/>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2018年8月9日取得吴江区环境保护局《关于对吴江华茂新型建材有限公司建设项目环境影响报告表的批复》（吴环建[2018]246号）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3</w:t>
                  </w:r>
                </w:p>
              </w:tc>
              <w:tc>
                <w:tcPr>
                  <w:tcW w:w="1860" w:type="dxa"/>
                  <w:vAlign w:val="center"/>
                </w:tcPr>
                <w:p>
                  <w:pPr>
                    <w:adjustRightInd w:val="0"/>
                    <w:snapToGrid w:val="0"/>
                    <w:jc w:val="center"/>
                    <w:rPr>
                      <w:sz w:val="18"/>
                      <w:szCs w:val="18"/>
                      <w:highlight w:val="none"/>
                    </w:rPr>
                  </w:pPr>
                  <w:r>
                    <w:rPr>
                      <w:rFonts w:hint="eastAsia"/>
                      <w:sz w:val="18"/>
                      <w:szCs w:val="18"/>
                      <w:highlight w:val="none"/>
                      <w:lang w:val="en-US" w:eastAsia="zh-CN"/>
                    </w:rPr>
                    <w:t>环评</w:t>
                  </w:r>
                  <w:r>
                    <w:rPr>
                      <w:sz w:val="18"/>
                      <w:szCs w:val="18"/>
                      <w:highlight w:val="none"/>
                    </w:rPr>
                    <w:t>设计建设规模</w:t>
                  </w:r>
                </w:p>
              </w:tc>
              <w:tc>
                <w:tcPr>
                  <w:tcW w:w="7521" w:type="dxa"/>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非承重普通混凝土空心砖6万平方米、混凝土实心砖3万平方米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4</w:t>
                  </w:r>
                </w:p>
              </w:tc>
              <w:tc>
                <w:tcPr>
                  <w:tcW w:w="1860" w:type="dxa"/>
                  <w:vAlign w:val="center"/>
                </w:tcPr>
                <w:p>
                  <w:pPr>
                    <w:adjustRightInd w:val="0"/>
                    <w:snapToGrid w:val="0"/>
                    <w:jc w:val="center"/>
                    <w:rPr>
                      <w:sz w:val="18"/>
                      <w:szCs w:val="18"/>
                      <w:highlight w:val="none"/>
                    </w:rPr>
                  </w:pPr>
                  <w:r>
                    <w:rPr>
                      <w:sz w:val="18"/>
                      <w:szCs w:val="18"/>
                      <w:highlight w:val="none"/>
                    </w:rPr>
                    <w:t>本次验收规模</w:t>
                  </w:r>
                </w:p>
              </w:tc>
              <w:tc>
                <w:tcPr>
                  <w:tcW w:w="7521" w:type="dxa"/>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非承重普通混凝土空心砖6万平方米、混凝土实心砖3万平方米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5</w:t>
                  </w:r>
                </w:p>
              </w:tc>
              <w:tc>
                <w:tcPr>
                  <w:tcW w:w="1860" w:type="dxa"/>
                  <w:vAlign w:val="center"/>
                </w:tcPr>
                <w:p>
                  <w:pPr>
                    <w:adjustRightInd w:val="0"/>
                    <w:snapToGrid w:val="0"/>
                    <w:jc w:val="center"/>
                    <w:rPr>
                      <w:sz w:val="18"/>
                      <w:szCs w:val="18"/>
                      <w:highlight w:val="none"/>
                    </w:rPr>
                  </w:pPr>
                  <w:r>
                    <w:rPr>
                      <w:sz w:val="18"/>
                      <w:szCs w:val="18"/>
                      <w:highlight w:val="none"/>
                    </w:rPr>
                    <w:t>项目动工时间</w:t>
                  </w:r>
                </w:p>
              </w:tc>
              <w:tc>
                <w:tcPr>
                  <w:tcW w:w="7521" w:type="dxa"/>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2018年9月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6</w:t>
                  </w:r>
                </w:p>
              </w:tc>
              <w:tc>
                <w:tcPr>
                  <w:tcW w:w="1860" w:type="dxa"/>
                  <w:vAlign w:val="center"/>
                </w:tcPr>
                <w:p>
                  <w:pPr>
                    <w:adjustRightInd w:val="0"/>
                    <w:snapToGrid w:val="0"/>
                    <w:jc w:val="center"/>
                    <w:rPr>
                      <w:sz w:val="18"/>
                      <w:szCs w:val="18"/>
                      <w:highlight w:val="none"/>
                    </w:rPr>
                  </w:pPr>
                  <w:r>
                    <w:rPr>
                      <w:sz w:val="18"/>
                      <w:szCs w:val="18"/>
                      <w:highlight w:val="none"/>
                    </w:rPr>
                    <w:t>项目投入试生产时间</w:t>
                  </w:r>
                </w:p>
              </w:tc>
              <w:tc>
                <w:tcPr>
                  <w:tcW w:w="7521" w:type="dxa"/>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2018年12月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7</w:t>
                  </w:r>
                </w:p>
              </w:tc>
              <w:tc>
                <w:tcPr>
                  <w:tcW w:w="1860" w:type="dxa"/>
                  <w:vAlign w:val="center"/>
                </w:tcPr>
                <w:p>
                  <w:pPr>
                    <w:adjustRightInd w:val="0"/>
                    <w:snapToGrid w:val="0"/>
                    <w:jc w:val="center"/>
                    <w:rPr>
                      <w:sz w:val="18"/>
                      <w:szCs w:val="18"/>
                      <w:highlight w:val="none"/>
                    </w:rPr>
                  </w:pPr>
                  <w:r>
                    <w:rPr>
                      <w:sz w:val="18"/>
                      <w:szCs w:val="18"/>
                      <w:highlight w:val="none"/>
                    </w:rPr>
                    <w:t>工程实际建设情况</w:t>
                  </w:r>
                </w:p>
              </w:tc>
              <w:tc>
                <w:tcPr>
                  <w:tcW w:w="7521" w:type="dxa"/>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项目主体工程及环保治理设施已投入运行</w:t>
                  </w:r>
                </w:p>
              </w:tc>
            </w:tr>
          </w:tbl>
          <w:p>
            <w:pPr>
              <w:adjustRightInd w:val="0"/>
              <w:snapToGrid w:val="0"/>
              <w:spacing w:before="120" w:beforeLines="50" w:line="360" w:lineRule="auto"/>
              <w:rPr>
                <w:b/>
                <w:bCs/>
                <w:sz w:val="24"/>
                <w:highlight w:val="none"/>
              </w:rPr>
            </w:pPr>
          </w:p>
          <w:p>
            <w:pPr>
              <w:adjustRightInd w:val="0"/>
              <w:snapToGrid w:val="0"/>
              <w:spacing w:before="120" w:beforeLines="50" w:line="360" w:lineRule="auto"/>
              <w:rPr>
                <w:b/>
                <w:bCs/>
                <w:sz w:val="24"/>
                <w:highlight w:val="none"/>
              </w:rPr>
            </w:pPr>
            <w:r>
              <w:rPr>
                <w:b/>
                <w:bCs/>
                <w:sz w:val="24"/>
                <w:highlight w:val="none"/>
              </w:rPr>
              <w:t>2、验收监测结果</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13</w:t>
            </w:r>
            <w:r>
              <w:rPr>
                <w:rFonts w:hint="eastAsia"/>
                <w:color w:val="000000" w:themeColor="text1"/>
                <w:sz w:val="24"/>
                <w:highlight w:val="none"/>
                <w14:textFill>
                  <w14:solidFill>
                    <w14:schemeClr w14:val="tx1"/>
                  </w14:solidFill>
                </w14:textFill>
              </w:rPr>
              <w:t>日～202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14</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日～202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日验收监测期间，该项目已建成，主体工程和环保治理设施均处于正常运行状态，验收监测期间工况记录见表8-1，验收监测结果如下：</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1、废水</w:t>
            </w:r>
          </w:p>
          <w:p>
            <w:pPr>
              <w:snapToGrid w:val="0"/>
              <w:spacing w:line="360" w:lineRule="auto"/>
              <w:ind w:firstLine="480" w:firstLineChars="200"/>
              <w:jc w:val="left"/>
              <w:rPr>
                <w:sz w:val="24"/>
                <w:szCs w:val="24"/>
              </w:rPr>
            </w:pPr>
            <w:r>
              <w:rPr>
                <w:rFonts w:hint="eastAsia"/>
                <w:sz w:val="24"/>
              </w:rPr>
              <w:t>由上表可知，本项目化学需氧量排放浓度最大值为</w:t>
            </w:r>
            <w:r>
              <w:rPr>
                <w:rFonts w:hint="eastAsia"/>
                <w:sz w:val="24"/>
                <w:lang w:val="en-US" w:eastAsia="zh-CN"/>
              </w:rPr>
              <w:t>97</w:t>
            </w:r>
            <w:r>
              <w:rPr>
                <w:rFonts w:hint="eastAsia"/>
                <w:sz w:val="24"/>
              </w:rPr>
              <w:t>mg/L，悬浮物排放浓度最大值为</w:t>
            </w:r>
            <w:r>
              <w:rPr>
                <w:rFonts w:hint="eastAsia"/>
                <w:sz w:val="24"/>
                <w:szCs w:val="24"/>
                <w:lang w:val="en-US" w:eastAsia="zh-CN"/>
              </w:rPr>
              <w:t>37</w:t>
            </w:r>
            <w:r>
              <w:rPr>
                <w:rFonts w:hint="eastAsia"/>
                <w:sz w:val="24"/>
                <w:szCs w:val="24"/>
              </w:rPr>
              <w:t>mg/L，均满足《污水综合排放标准》（GB8978-1996）表4三级标准，氨氮排放浓度最大值为</w:t>
            </w:r>
            <w:r>
              <w:rPr>
                <w:rFonts w:hint="eastAsia"/>
                <w:sz w:val="24"/>
                <w:szCs w:val="24"/>
                <w:lang w:val="en-US" w:eastAsia="zh-CN"/>
              </w:rPr>
              <w:t>1.10</w:t>
            </w:r>
            <w:r>
              <w:rPr>
                <w:rFonts w:hint="eastAsia"/>
                <w:sz w:val="24"/>
                <w:szCs w:val="24"/>
              </w:rPr>
              <w:t>mg/L，总磷排放浓度最大值为</w:t>
            </w:r>
            <w:r>
              <w:rPr>
                <w:rFonts w:hint="eastAsia"/>
                <w:sz w:val="24"/>
                <w:szCs w:val="24"/>
                <w:lang w:val="en-US" w:eastAsia="zh-CN"/>
              </w:rPr>
              <w:t>0.15</w:t>
            </w:r>
            <w:r>
              <w:rPr>
                <w:rFonts w:hint="eastAsia"/>
                <w:sz w:val="24"/>
                <w:szCs w:val="24"/>
              </w:rPr>
              <w:t>mg/L，总</w:t>
            </w:r>
            <w:r>
              <w:rPr>
                <w:rFonts w:hint="eastAsia"/>
                <w:sz w:val="24"/>
                <w:szCs w:val="24"/>
                <w:lang w:val="en-US" w:eastAsia="zh-CN"/>
              </w:rPr>
              <w:t>氮</w:t>
            </w:r>
            <w:r>
              <w:rPr>
                <w:rFonts w:hint="eastAsia"/>
                <w:sz w:val="24"/>
                <w:szCs w:val="24"/>
              </w:rPr>
              <w:t>排放浓度最大值为</w:t>
            </w:r>
            <w:r>
              <w:rPr>
                <w:rFonts w:hint="eastAsia"/>
                <w:sz w:val="24"/>
                <w:szCs w:val="24"/>
                <w:lang w:val="en-US" w:eastAsia="zh-CN"/>
              </w:rPr>
              <w:t>4.59</w:t>
            </w:r>
            <w:r>
              <w:rPr>
                <w:rFonts w:hint="eastAsia"/>
                <w:sz w:val="24"/>
                <w:szCs w:val="24"/>
              </w:rPr>
              <w:t>mg/L，均满足《污水排入城镇下水道水质标准》（GB/T31962-2015）表1B等级标准。</w:t>
            </w:r>
          </w:p>
          <w:p>
            <w:pPr>
              <w:snapToGrid w:val="0"/>
              <w:spacing w:line="360" w:lineRule="auto"/>
              <w:ind w:firstLine="480" w:firstLineChars="200"/>
              <w:jc w:val="left"/>
              <w:rPr>
                <w:rFonts w:hint="eastAsia"/>
                <w:spacing w:val="-2"/>
                <w:sz w:val="24"/>
                <w:szCs w:val="24"/>
                <w:highlight w:val="none"/>
              </w:rPr>
            </w:pPr>
            <w:r>
              <w:rPr>
                <w:rFonts w:hint="eastAsia"/>
                <w:sz w:val="24"/>
                <w:szCs w:val="24"/>
                <w:highlight w:val="none"/>
                <w:lang w:val="en-US" w:eastAsia="zh-CN"/>
              </w:rPr>
              <w:t>生活污水</w:t>
            </w:r>
            <w:r>
              <w:rPr>
                <w:rFonts w:hint="eastAsia"/>
                <w:sz w:val="24"/>
                <w:szCs w:val="24"/>
                <w:highlight w:val="none"/>
              </w:rPr>
              <w:t>中</w:t>
            </w:r>
            <w:r>
              <w:rPr>
                <w:rFonts w:hint="eastAsia"/>
                <w:sz w:val="24"/>
                <w:szCs w:val="24"/>
                <w:highlight w:val="none"/>
                <w:lang w:val="en-US" w:eastAsia="zh-CN"/>
              </w:rPr>
              <w:t>各污染因子浓度按照均值计算，则</w:t>
            </w:r>
            <w:r>
              <w:rPr>
                <w:rFonts w:hint="eastAsia"/>
                <w:sz w:val="24"/>
                <w:szCs w:val="24"/>
                <w:highlight w:val="none"/>
              </w:rPr>
              <w:t>化学需氧量排放总量为</w:t>
            </w:r>
            <w:r>
              <w:rPr>
                <w:rFonts w:hint="eastAsia" w:cs="Times New Roman"/>
                <w:i w:val="0"/>
                <w:iCs w:val="0"/>
                <w:color w:val="000000"/>
                <w:kern w:val="0"/>
                <w:sz w:val="24"/>
                <w:szCs w:val="24"/>
                <w:u w:val="none"/>
                <w:lang w:val="en-US" w:eastAsia="zh-CN" w:bidi="ar"/>
              </w:rPr>
              <w:t>1.481×10</w:t>
            </w:r>
            <w:r>
              <w:rPr>
                <w:rFonts w:hint="eastAsia" w:cs="Times New Roman"/>
                <w:i w:val="0"/>
                <w:iCs w:val="0"/>
                <w:color w:val="000000"/>
                <w:kern w:val="0"/>
                <w:sz w:val="24"/>
                <w:szCs w:val="24"/>
                <w:u w:val="none"/>
                <w:vertAlign w:val="superscript"/>
                <w:lang w:val="en-US" w:eastAsia="zh-CN" w:bidi="ar"/>
              </w:rPr>
              <w:t>-5</w:t>
            </w:r>
            <w:r>
              <w:rPr>
                <w:rFonts w:hint="eastAsia"/>
                <w:sz w:val="24"/>
                <w:szCs w:val="24"/>
                <w:highlight w:val="none"/>
              </w:rPr>
              <w:t>t/a，</w:t>
            </w:r>
            <w:r>
              <w:rPr>
                <w:rFonts w:hint="eastAsia"/>
                <w:sz w:val="24"/>
                <w:szCs w:val="24"/>
                <w:highlight w:val="none"/>
                <w:lang w:val="en-US" w:eastAsia="zh-CN"/>
              </w:rPr>
              <w:t>悬浮物</w:t>
            </w:r>
            <w:r>
              <w:rPr>
                <w:rFonts w:hint="eastAsia"/>
                <w:sz w:val="24"/>
                <w:szCs w:val="24"/>
                <w:highlight w:val="none"/>
              </w:rPr>
              <w:t>排放总量为</w:t>
            </w:r>
            <w:r>
              <w:rPr>
                <w:rFonts w:hint="eastAsia" w:cs="Times New Roman"/>
                <w:i w:val="0"/>
                <w:iCs w:val="0"/>
                <w:color w:val="000000"/>
                <w:kern w:val="0"/>
                <w:sz w:val="24"/>
                <w:szCs w:val="24"/>
                <w:u w:val="none"/>
                <w:lang w:val="en-US" w:eastAsia="zh-CN" w:bidi="ar"/>
              </w:rPr>
              <w:t>5.661×10</w:t>
            </w:r>
            <w:r>
              <w:rPr>
                <w:rFonts w:hint="eastAsia" w:cs="Times New Roman"/>
                <w:i w:val="0"/>
                <w:iCs w:val="0"/>
                <w:color w:val="000000"/>
                <w:kern w:val="0"/>
                <w:sz w:val="24"/>
                <w:szCs w:val="24"/>
                <w:u w:val="none"/>
                <w:vertAlign w:val="superscript"/>
                <w:lang w:val="en-US" w:eastAsia="zh-CN" w:bidi="ar"/>
              </w:rPr>
              <w:t>-5</w:t>
            </w:r>
            <w:r>
              <w:rPr>
                <w:rFonts w:hint="eastAsia"/>
                <w:sz w:val="24"/>
                <w:szCs w:val="24"/>
                <w:highlight w:val="none"/>
              </w:rPr>
              <w:t>t/a，氨氮排放总量为</w:t>
            </w:r>
            <w:r>
              <w:rPr>
                <w:rFonts w:hint="eastAsia" w:cs="Times New Roman"/>
                <w:i w:val="0"/>
                <w:iCs w:val="0"/>
                <w:color w:val="000000"/>
                <w:kern w:val="0"/>
                <w:sz w:val="24"/>
                <w:szCs w:val="24"/>
                <w:u w:val="none"/>
                <w:lang w:val="en-US" w:eastAsia="zh-CN" w:bidi="ar"/>
              </w:rPr>
              <w:t>1.683×10</w:t>
            </w:r>
            <w:r>
              <w:rPr>
                <w:rFonts w:hint="eastAsia" w:cs="Times New Roman"/>
                <w:i w:val="0"/>
                <w:iCs w:val="0"/>
                <w:color w:val="000000"/>
                <w:kern w:val="0"/>
                <w:sz w:val="24"/>
                <w:szCs w:val="24"/>
                <w:u w:val="none"/>
                <w:vertAlign w:val="superscript"/>
                <w:lang w:val="en-US" w:eastAsia="zh-CN" w:bidi="ar"/>
              </w:rPr>
              <w:t>-11</w:t>
            </w:r>
            <w:r>
              <w:rPr>
                <w:rFonts w:hint="eastAsia"/>
                <w:sz w:val="24"/>
                <w:szCs w:val="24"/>
                <w:highlight w:val="none"/>
              </w:rPr>
              <w:t>t/a，总磷排放总量为</w:t>
            </w:r>
            <w:r>
              <w:rPr>
                <w:rFonts w:hint="eastAsia" w:cs="Times New Roman"/>
                <w:i w:val="0"/>
                <w:iCs w:val="0"/>
                <w:color w:val="000000"/>
                <w:kern w:val="0"/>
                <w:sz w:val="24"/>
                <w:szCs w:val="24"/>
                <w:u w:val="none"/>
                <w:lang w:val="en-US" w:eastAsia="zh-CN" w:bidi="ar"/>
              </w:rPr>
              <w:t>2.295×10</w:t>
            </w:r>
            <w:r>
              <w:rPr>
                <w:rFonts w:hint="eastAsia" w:cs="Times New Roman"/>
                <w:i w:val="0"/>
                <w:iCs w:val="0"/>
                <w:color w:val="000000"/>
                <w:kern w:val="0"/>
                <w:sz w:val="24"/>
                <w:szCs w:val="24"/>
                <w:u w:val="none"/>
                <w:vertAlign w:val="superscript"/>
                <w:lang w:val="en-US" w:eastAsia="zh-CN" w:bidi="ar"/>
              </w:rPr>
              <w:t>-10</w:t>
            </w:r>
            <w:r>
              <w:rPr>
                <w:rFonts w:hint="eastAsia"/>
                <w:sz w:val="24"/>
                <w:szCs w:val="24"/>
                <w:highlight w:val="none"/>
              </w:rPr>
              <w:t>t/a，</w:t>
            </w:r>
            <w:r>
              <w:rPr>
                <w:rFonts w:hint="eastAsia"/>
                <w:sz w:val="24"/>
                <w:szCs w:val="24"/>
                <w:highlight w:val="none"/>
                <w:lang w:val="en-US" w:eastAsia="zh-CN"/>
              </w:rPr>
              <w:t>总氮</w:t>
            </w:r>
            <w:r>
              <w:rPr>
                <w:rFonts w:hint="eastAsia"/>
                <w:sz w:val="24"/>
                <w:szCs w:val="24"/>
                <w:highlight w:val="none"/>
              </w:rPr>
              <w:t>排放总量为</w:t>
            </w:r>
            <w:r>
              <w:rPr>
                <w:rFonts w:hint="eastAsia" w:cs="Times New Roman"/>
                <w:i w:val="0"/>
                <w:iCs w:val="0"/>
                <w:color w:val="000000"/>
                <w:kern w:val="2"/>
                <w:sz w:val="24"/>
                <w:szCs w:val="24"/>
                <w:u w:val="none"/>
                <w:lang w:val="en-US" w:eastAsia="zh-CN" w:bidi="ar-SA"/>
              </w:rPr>
              <w:t>7.0227</w:t>
            </w:r>
            <w:r>
              <w:rPr>
                <w:rFonts w:hint="eastAsia" w:cs="Times New Roman"/>
                <w:i w:val="0"/>
                <w:iCs w:val="0"/>
                <w:color w:val="000000"/>
                <w:kern w:val="0"/>
                <w:sz w:val="24"/>
                <w:szCs w:val="24"/>
                <w:u w:val="none"/>
                <w:lang w:val="en-US" w:eastAsia="zh-CN" w:bidi="ar"/>
              </w:rPr>
              <w:t>×10</w:t>
            </w:r>
            <w:r>
              <w:rPr>
                <w:rFonts w:hint="eastAsia" w:cs="Times New Roman"/>
                <w:i w:val="0"/>
                <w:iCs w:val="0"/>
                <w:color w:val="000000"/>
                <w:kern w:val="0"/>
                <w:sz w:val="24"/>
                <w:szCs w:val="24"/>
                <w:u w:val="none"/>
                <w:vertAlign w:val="superscript"/>
                <w:lang w:val="en-US" w:eastAsia="zh-CN" w:bidi="ar"/>
              </w:rPr>
              <w:t>-7</w:t>
            </w:r>
            <w:r>
              <w:rPr>
                <w:rFonts w:hint="eastAsia"/>
                <w:sz w:val="24"/>
                <w:szCs w:val="24"/>
                <w:highlight w:val="none"/>
              </w:rPr>
              <w:t>t/a</w:t>
            </w:r>
            <w:r>
              <w:rPr>
                <w:rFonts w:hint="eastAsia"/>
                <w:sz w:val="24"/>
                <w:szCs w:val="24"/>
                <w:highlight w:val="none"/>
                <w:lang w:eastAsia="zh-CN"/>
              </w:rPr>
              <w:t>，</w:t>
            </w:r>
            <w:r>
              <w:rPr>
                <w:rFonts w:hint="eastAsia"/>
                <w:sz w:val="24"/>
                <w:szCs w:val="24"/>
                <w:highlight w:val="none"/>
              </w:rPr>
              <w:t>均小于环评预测排放量</w:t>
            </w:r>
            <w:r>
              <w:rPr>
                <w:rFonts w:hint="eastAsia"/>
                <w:spacing w:val="-2"/>
                <w:sz w:val="24"/>
                <w:szCs w:val="24"/>
                <w:highlight w:val="none"/>
              </w:rPr>
              <w:t>。</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2、废气</w:t>
            </w:r>
          </w:p>
          <w:p>
            <w:pPr>
              <w:spacing w:line="360" w:lineRule="auto"/>
              <w:ind w:firstLine="480" w:firstLineChars="200"/>
              <w:rPr>
                <w:rFonts w:hint="eastAsia"/>
                <w:sz w:val="24"/>
              </w:rPr>
            </w:pPr>
            <w:r>
              <w:rPr>
                <w:rFonts w:hint="eastAsia"/>
                <w:sz w:val="24"/>
              </w:rPr>
              <w:t>本项目</w:t>
            </w:r>
            <w:r>
              <w:rPr>
                <w:rFonts w:hint="eastAsia"/>
                <w:sz w:val="24"/>
                <w:lang w:val="en-US" w:eastAsia="zh-CN"/>
              </w:rPr>
              <w:t>的尾气主要为水泥筒仓、搅拌</w:t>
            </w:r>
            <w:r>
              <w:rPr>
                <w:rFonts w:hint="eastAsia"/>
                <w:sz w:val="24"/>
              </w:rPr>
              <w:t>过程</w:t>
            </w:r>
            <w:r>
              <w:rPr>
                <w:rFonts w:hint="eastAsia"/>
                <w:sz w:val="24"/>
                <w:lang w:val="en-US" w:eastAsia="zh-CN"/>
              </w:rPr>
              <w:t>中产生的粉尘（以颗粒物计）</w:t>
            </w:r>
            <w:r>
              <w:rPr>
                <w:rFonts w:hint="eastAsia"/>
                <w:sz w:val="24"/>
                <w:lang w:eastAsia="zh-CN"/>
              </w:rPr>
              <w:t>。</w:t>
            </w:r>
            <w:r>
              <w:rPr>
                <w:rFonts w:hint="eastAsia"/>
                <w:sz w:val="24"/>
              </w:rPr>
              <w:t>水泥筒仓</w:t>
            </w:r>
            <w:r>
              <w:rPr>
                <w:rFonts w:hint="eastAsia"/>
                <w:sz w:val="24"/>
                <w:lang w:eastAsia="zh-CN"/>
              </w:rPr>
              <w:t>、</w:t>
            </w:r>
            <w:r>
              <w:rPr>
                <w:rFonts w:hint="eastAsia"/>
                <w:sz w:val="24"/>
              </w:rPr>
              <w:t>搅拌工段产生</w:t>
            </w:r>
            <w:r>
              <w:rPr>
                <w:rFonts w:hint="eastAsia"/>
                <w:sz w:val="24"/>
                <w:lang w:val="en-US" w:eastAsia="zh-CN"/>
              </w:rPr>
              <w:t>的</w:t>
            </w:r>
            <w:r>
              <w:rPr>
                <w:rFonts w:hint="eastAsia"/>
                <w:sz w:val="24"/>
              </w:rPr>
              <w:t>粉尘经布袋除尘装置处理后，废气经处理后通过15m高1#排气筒达标排放。未捕集的粉尘无组织排放，通过</w:t>
            </w:r>
            <w:r>
              <w:rPr>
                <w:rFonts w:hint="eastAsia"/>
                <w:bCs/>
                <w:snapToGrid w:val="0"/>
                <w:kern w:val="0"/>
                <w:sz w:val="24"/>
                <w:szCs w:val="21"/>
              </w:rPr>
              <w:t>定期洒水抑尘</w:t>
            </w:r>
            <w:r>
              <w:rPr>
                <w:rFonts w:hint="eastAsia"/>
                <w:bCs/>
                <w:snapToGrid w:val="0"/>
                <w:kern w:val="0"/>
                <w:sz w:val="24"/>
                <w:szCs w:val="21"/>
                <w:lang w:eastAsia="zh-CN"/>
              </w:rPr>
              <w:t>，</w:t>
            </w:r>
            <w:r>
              <w:rPr>
                <w:rFonts w:hint="eastAsia"/>
                <w:sz w:val="24"/>
              </w:rPr>
              <w:t>对周围空气影响很小。</w:t>
            </w:r>
          </w:p>
          <w:p>
            <w:pPr>
              <w:pStyle w:val="89"/>
              <w:numPr>
                <w:ilvl w:val="0"/>
                <w:numId w:val="0"/>
              </w:numPr>
              <w:spacing w:before="120" w:beforeLines="50" w:line="360" w:lineRule="auto"/>
              <w:ind w:firstLine="480" w:firstLineChars="200"/>
              <w:jc w:val="both"/>
              <w:rPr>
                <w:rFonts w:hint="default" w:ascii="Times New Roman" w:hAnsi="Times New Roman" w:eastAsia="宋体" w:cs="Times New Roman"/>
                <w:color w:val="000000" w:themeColor="text1"/>
                <w:sz w:val="24"/>
                <w:highlight w:val="cyan"/>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由监测数据可知，通过布袋除尘处理设施，本项目颗粒物排放</w:t>
            </w:r>
            <w:r>
              <w:rPr>
                <w:rFonts w:hint="eastAsia" w:ascii="Times New Roman" w:hAnsi="Times New Roman" w:eastAsia="宋体" w:cs="Times New Roman"/>
                <w:color w:val="000000" w:themeColor="text1"/>
                <w:sz w:val="24"/>
                <w:lang w:eastAsia="zh-CN"/>
                <w14:textFill>
                  <w14:solidFill>
                    <w14:schemeClr w14:val="tx1"/>
                  </w14:solidFill>
                </w14:textFill>
              </w:rPr>
              <w:t>排放浓度</w:t>
            </w:r>
            <w:r>
              <w:rPr>
                <w:rFonts w:hint="eastAsia" w:ascii="Times New Roman" w:hAnsi="Times New Roman" w:eastAsia="宋体" w:cs="Times New Roman"/>
                <w:color w:val="000000" w:themeColor="text1"/>
                <w:sz w:val="24"/>
                <w:lang w:val="en-US" w:eastAsia="zh-CN"/>
                <w14:textFill>
                  <w14:solidFill>
                    <w14:schemeClr w14:val="tx1"/>
                  </w14:solidFill>
                </w14:textFill>
              </w:rPr>
              <w:t>和</w:t>
            </w:r>
            <w:r>
              <w:rPr>
                <w:rFonts w:hint="eastAsia" w:ascii="Times New Roman" w:hAnsi="Times New Roman" w:eastAsia="宋体" w:cs="Times New Roman"/>
                <w:color w:val="000000" w:themeColor="text1"/>
                <w:sz w:val="24"/>
                <w:lang w:eastAsia="zh-CN"/>
                <w14:textFill>
                  <w14:solidFill>
                    <w14:schemeClr w14:val="tx1"/>
                  </w14:solidFill>
                </w14:textFill>
              </w:rPr>
              <w:t>排放速率</w:t>
            </w:r>
            <w:r>
              <w:rPr>
                <w:rFonts w:hint="eastAsia" w:ascii="Times New Roman" w:hAnsi="Times New Roman" w:eastAsia="宋体" w:cs="Times New Roman"/>
                <w:color w:val="000000" w:themeColor="text1"/>
                <w:sz w:val="24"/>
                <w:lang w:val="en-US" w:eastAsia="zh-CN"/>
                <w14:textFill>
                  <w14:solidFill>
                    <w14:schemeClr w14:val="tx1"/>
                  </w14:solidFill>
                </w14:textFill>
              </w:rPr>
              <w:t>极低，可满足《水泥工业大气污染物排放标准》（GB 4915-2013）表2及表3标准。</w:t>
            </w:r>
          </w:p>
          <w:p>
            <w:pPr>
              <w:pStyle w:val="89"/>
              <w:numPr>
                <w:ilvl w:val="0"/>
                <w:numId w:val="0"/>
              </w:numPr>
              <w:spacing w:before="120" w:beforeLines="50" w:line="360" w:lineRule="auto"/>
              <w:ind w:firstLine="480" w:firstLineChars="200"/>
              <w:jc w:val="both"/>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吴江华茂新型建材有限公司</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“2018-320509-41-03-577948年产非承重普通混凝土空心砖6万平方米、混凝土实心砖3万平方米生产技术改造项目”颗粒物有组织排放量合计为</w:t>
            </w:r>
            <w:r>
              <w:rPr>
                <w:rFonts w:hint="eastAsia" w:ascii="Times New Roman" w:hAnsi="Times New Roman" w:eastAsia="宋体" w:cs="Times New Roman"/>
                <w:color w:val="000000" w:themeColor="text1"/>
                <w:kern w:val="0"/>
                <w:sz w:val="24"/>
                <w:szCs w:val="24"/>
                <w:highlight w:val="none"/>
                <w:vertAlign w:val="baseline"/>
                <w:lang w:val="en-US" w:eastAsia="zh-CN" w:bidi="ar-SA"/>
                <w14:textFill>
                  <w14:solidFill>
                    <w14:schemeClr w14:val="tx1"/>
                  </w14:solidFill>
                </w14:textFill>
              </w:rPr>
              <w:t>0.133</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，小于环评批复的0.388t/a处理后</w:t>
            </w:r>
            <w:r>
              <w:rPr>
                <w:rFonts w:hint="eastAsia" w:ascii="Times New Roman" w:hAnsi="Times New Roman" w:eastAsia="宋体" w:cs="Times New Roman"/>
                <w:color w:val="000000" w:themeColor="text1"/>
                <w:sz w:val="24"/>
                <w:lang w:val="en-US" w:eastAsia="zh-CN"/>
                <w14:textFill>
                  <w14:solidFill>
                    <w14:schemeClr w14:val="tx1"/>
                  </w14:solidFill>
                </w14:textFill>
              </w:rPr>
              <w:t>颗粒物</w:t>
            </w:r>
            <w:r>
              <w:rPr>
                <w:rFonts w:hint="eastAsia" w:ascii="Times New Roman" w:hAnsi="Times New Roman" w:eastAsia="宋体" w:cs="Times New Roman"/>
                <w:color w:val="000000" w:themeColor="text1"/>
                <w:sz w:val="24"/>
                <w:lang w:eastAsia="zh-CN"/>
                <w14:textFill>
                  <w14:solidFill>
                    <w14:schemeClr w14:val="tx1"/>
                  </w14:solidFill>
                </w14:textFill>
              </w:rPr>
              <w:t>排放浓度</w:t>
            </w:r>
            <w:r>
              <w:rPr>
                <w:rFonts w:hint="eastAsia" w:ascii="Times New Roman" w:hAnsi="Times New Roman" w:eastAsia="宋体" w:cs="Times New Roman"/>
                <w:color w:val="000000" w:themeColor="text1"/>
                <w:sz w:val="24"/>
                <w:lang w:val="en-US" w:eastAsia="zh-CN"/>
                <w14:textFill>
                  <w14:solidFill>
                    <w14:schemeClr w14:val="tx1"/>
                  </w14:solidFill>
                </w14:textFill>
              </w:rPr>
              <w:t>和</w:t>
            </w:r>
            <w:r>
              <w:rPr>
                <w:rFonts w:hint="eastAsia" w:ascii="Times New Roman" w:hAnsi="Times New Roman" w:eastAsia="宋体" w:cs="Times New Roman"/>
                <w:color w:val="000000" w:themeColor="text1"/>
                <w:sz w:val="24"/>
                <w:lang w:eastAsia="zh-CN"/>
                <w14:textFill>
                  <w14:solidFill>
                    <w14:schemeClr w14:val="tx1"/>
                  </w14:solidFill>
                </w14:textFill>
              </w:rPr>
              <w:t>排放速率</w:t>
            </w:r>
            <w:r>
              <w:rPr>
                <w:rFonts w:hint="eastAsia" w:ascii="Times New Roman" w:hAnsi="Times New Roman" w:eastAsia="宋体" w:cs="Times New Roman"/>
                <w:color w:val="000000" w:themeColor="text1"/>
                <w:sz w:val="24"/>
                <w:lang w:val="en-US" w:eastAsia="zh-CN"/>
                <w14:textFill>
                  <w14:solidFill>
                    <w14:schemeClr w14:val="tx1"/>
                  </w14:solidFill>
                </w14:textFill>
              </w:rPr>
              <w:t>极低，可满足《水泥工业大气污染物排放标准》（GB 4915-2013）表2及表3限值标准。</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3、噪声监测结果</w:t>
            </w:r>
          </w:p>
          <w:p>
            <w:pPr>
              <w:spacing w:line="360" w:lineRule="auto"/>
              <w:ind w:right="105" w:rightChars="50" w:firstLine="480" w:firstLineChars="200"/>
              <w:rPr>
                <w:color w:val="000000" w:themeColor="text1"/>
                <w:sz w:val="24"/>
                <w14:textFill>
                  <w14:solidFill>
                    <w14:schemeClr w14:val="tx1"/>
                  </w14:solidFill>
                </w14:textFill>
              </w:rPr>
            </w:pPr>
            <w:r>
              <w:rPr>
                <w:bCs/>
                <w:color w:val="000000" w:themeColor="text1"/>
                <w:sz w:val="24"/>
                <w:highlight w:val="none"/>
                <w14:textFill>
                  <w14:solidFill>
                    <w14:schemeClr w14:val="tx1"/>
                  </w14:solidFill>
                </w14:textFill>
              </w:rPr>
              <w:t>项目运营期的噪声源主要是</w:t>
            </w:r>
            <w:r>
              <w:rPr>
                <w:rFonts w:hint="eastAsia"/>
                <w:bCs/>
                <w:color w:val="000000" w:themeColor="text1"/>
                <w:sz w:val="24"/>
                <w:highlight w:val="none"/>
                <w14:textFill>
                  <w14:solidFill>
                    <w14:schemeClr w14:val="tx1"/>
                  </w14:solidFill>
                </w14:textFill>
              </w:rPr>
              <w:t>各类机械设备运行时产生的机械噪声</w:t>
            </w:r>
            <w:r>
              <w:rPr>
                <w:bCs/>
                <w:color w:val="000000" w:themeColor="text1"/>
                <w:sz w:val="24"/>
                <w:highlight w:val="none"/>
                <w14:textFill>
                  <w14:solidFill>
                    <w14:schemeClr w14:val="tx1"/>
                  </w14:solidFill>
                </w14:textFill>
              </w:rPr>
              <w:t>，噪声值在</w:t>
            </w:r>
            <w:r>
              <w:rPr>
                <w:rFonts w:hint="eastAsia"/>
                <w:bCs/>
                <w:color w:val="000000" w:themeColor="text1"/>
                <w:sz w:val="24"/>
                <w:highlight w:val="none"/>
                <w:lang w:val="en-US" w:eastAsia="zh-CN"/>
                <w14:textFill>
                  <w14:solidFill>
                    <w14:schemeClr w14:val="tx1"/>
                  </w14:solidFill>
                </w14:textFill>
              </w:rPr>
              <w:t>80</w:t>
            </w:r>
            <w:r>
              <w:rPr>
                <w:bCs/>
                <w:color w:val="000000" w:themeColor="text1"/>
                <w:sz w:val="24"/>
                <w:highlight w:val="none"/>
                <w14:textFill>
                  <w14:solidFill>
                    <w14:schemeClr w14:val="tx1"/>
                  </w14:solidFill>
                </w14:textFill>
              </w:rPr>
              <w:t>dB左右。</w:t>
            </w:r>
            <w:r>
              <w:rPr>
                <w:rFonts w:hint="eastAsia"/>
                <w:bCs/>
                <w:color w:val="000000" w:themeColor="text1"/>
                <w:sz w:val="24"/>
                <w:highlight w:val="none"/>
                <w14:textFill>
                  <w14:solidFill>
                    <w14:schemeClr w14:val="tx1"/>
                  </w14:solidFill>
                </w14:textFill>
              </w:rPr>
              <w:t>本项目选用低噪声动力设备与机械设备，并按照工业设备安装的有关规范进行安装。设备均布置在车间内部，对其进行墙壁隔声。</w:t>
            </w:r>
            <w:r>
              <w:rPr>
                <w:rFonts w:hint="eastAsia"/>
                <w:bCs/>
                <w:color w:val="000000" w:themeColor="text1"/>
                <w:sz w:val="24"/>
                <w:highlight w:val="none"/>
                <w:lang w:val="en-US" w:eastAsia="zh-CN"/>
                <w14:textFill>
                  <w14:solidFill>
                    <w14:schemeClr w14:val="tx1"/>
                  </w14:solidFill>
                </w14:textFill>
              </w:rPr>
              <w:t>高噪声</w:t>
            </w:r>
            <w:r>
              <w:rPr>
                <w:rFonts w:hint="eastAsia"/>
                <w:bCs/>
                <w:color w:val="000000" w:themeColor="text1"/>
                <w:sz w:val="24"/>
                <w:highlight w:val="none"/>
                <w14:textFill>
                  <w14:solidFill>
                    <w14:schemeClr w14:val="tx1"/>
                  </w14:solidFill>
                </w14:textFill>
              </w:rPr>
              <w:t>设备经隔声、减振后</w:t>
            </w:r>
            <w:r>
              <w:rPr>
                <w:color w:val="000000" w:themeColor="text1"/>
                <w:sz w:val="24"/>
                <w:highlight w:val="none"/>
                <w14:textFill>
                  <w14:solidFill>
                    <w14:schemeClr w14:val="tx1"/>
                  </w14:solidFill>
                </w14:textFill>
              </w:rPr>
              <w:t>，厂界噪声均可以达到《工业企业厂界环境噪声排放标准》（GB12348-2008）</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类标准</w:t>
            </w:r>
            <w:r>
              <w:rPr>
                <w:color w:val="000000" w:themeColor="text1"/>
                <w:sz w:val="24"/>
                <w14:textFill>
                  <w14:solidFill>
                    <w14:schemeClr w14:val="tx1"/>
                  </w14:solidFill>
                </w14:textFill>
              </w:rPr>
              <w:t>。</w:t>
            </w:r>
          </w:p>
          <w:p>
            <w:pPr>
              <w:adjustRightInd w:val="0"/>
              <w:snapToGrid w:val="0"/>
              <w:spacing w:line="360" w:lineRule="auto"/>
              <w:ind w:firstLine="480" w:firstLineChars="200"/>
              <w:rPr>
                <w:sz w:val="24"/>
                <w:highlight w:val="none"/>
              </w:rPr>
            </w:pPr>
            <w:r>
              <w:rPr>
                <w:rFonts w:hint="eastAsia"/>
                <w:sz w:val="24"/>
                <w:highlight w:val="none"/>
              </w:rPr>
              <w:t>4、固废处理处置情况</w:t>
            </w:r>
          </w:p>
          <w:p>
            <w:pPr>
              <w:adjustRightInd w:val="0"/>
              <w:snapToGrid w:val="0"/>
              <w:spacing w:line="360" w:lineRule="auto"/>
              <w:ind w:firstLine="464" w:firstLineChars="20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项目营运期产生的固体废物主要包括：</w:t>
            </w:r>
          </w:p>
          <w:p>
            <w:pPr>
              <w:adjustRightInd w:val="0"/>
              <w:snapToGrid w:val="0"/>
              <w:spacing w:line="360" w:lineRule="auto"/>
              <w:ind w:firstLine="480" w:firstLineChars="200"/>
              <w:rPr>
                <w:rFonts w:hint="default"/>
                <w:sz w:val="24"/>
                <w:highlight w:val="none"/>
                <w:lang w:val="en-US" w:eastAsia="zh-CN"/>
              </w:rPr>
            </w:pPr>
            <w:r>
              <w:rPr>
                <w:rFonts w:hint="eastAsia"/>
                <w:sz w:val="24"/>
                <w:highlight w:val="none"/>
                <w:lang w:val="en-US" w:eastAsia="zh-CN"/>
              </w:rPr>
              <w:t>一般固废灰尘回用至搅拌工段。</w:t>
            </w:r>
          </w:p>
          <w:p>
            <w:pPr>
              <w:adjustRightInd w:val="0"/>
              <w:snapToGrid w:val="0"/>
              <w:spacing w:line="360" w:lineRule="auto"/>
              <w:ind w:firstLine="480" w:firstLineChars="200"/>
              <w:rPr>
                <w:rFonts w:hint="default"/>
                <w:sz w:val="24"/>
                <w:highlight w:val="none"/>
                <w:lang w:val="en-US" w:eastAsia="zh-CN"/>
              </w:rPr>
            </w:pPr>
            <w:r>
              <w:rPr>
                <w:rFonts w:hint="eastAsia"/>
                <w:sz w:val="24"/>
                <w:highlight w:val="none"/>
                <w:lang w:val="en-US" w:eastAsia="zh-CN"/>
              </w:rPr>
              <w:t>生活垃圾委托环卫部门清运处置。</w:t>
            </w:r>
          </w:p>
          <w:p>
            <w:pPr>
              <w:adjustRightInd w:val="0"/>
              <w:snapToGrid w:val="0"/>
              <w:spacing w:line="360" w:lineRule="auto"/>
              <w:ind w:firstLine="480" w:firstLineChars="200"/>
              <w:rPr>
                <w:bCs/>
                <w:kern w:val="0"/>
                <w:sz w:val="24"/>
                <w:szCs w:val="21"/>
                <w:highlight w:val="none"/>
              </w:rPr>
            </w:pPr>
            <w:r>
              <w:rPr>
                <w:rFonts w:hint="eastAsia"/>
                <w:sz w:val="24"/>
                <w:highlight w:val="none"/>
              </w:rPr>
              <w:t>所有固废都得到妥善处置，不会产生“二次污染”</w:t>
            </w:r>
            <w:r>
              <w:rPr>
                <w:rFonts w:hint="eastAsia"/>
                <w:bCs/>
                <w:kern w:val="0"/>
                <w:sz w:val="24"/>
                <w:szCs w:val="21"/>
                <w:highlight w:val="none"/>
              </w:rPr>
              <w:t>。</w:t>
            </w:r>
          </w:p>
          <w:p>
            <w:pPr>
              <w:adjustRightInd w:val="0"/>
              <w:snapToGrid w:val="0"/>
              <w:spacing w:line="360" w:lineRule="auto"/>
              <w:ind w:firstLine="480" w:firstLineChars="200"/>
              <w:rPr>
                <w:sz w:val="24"/>
                <w:highlight w:val="none"/>
              </w:rPr>
            </w:pPr>
            <w:r>
              <w:rPr>
                <w:rFonts w:hint="eastAsia"/>
                <w:sz w:val="24"/>
                <w:highlight w:val="none"/>
              </w:rPr>
              <w:t>5、建议</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（1）加强安全生产管理，增强环保意识，确保环境安全；</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（2）建设单位需要继续完善环保管理制度、管理措施，落实长期管理，定期对环保设施做相关监测，确保环保相关法律法规要求；</w:t>
            </w: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（3）项目建设和管理中应严格遵守环保法律法规，未经审批不得擅自扩大规模，落实《环境影响报告表》及其批复</w:t>
            </w:r>
            <w:r>
              <w:rPr>
                <w:rFonts w:hint="eastAsia"/>
                <w:color w:val="000000" w:themeColor="text1"/>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rPr>
                <w:rFonts w:hint="default" w:eastAsia="宋体"/>
                <w:highlight w:val="none"/>
                <w:lang w:val="en-US" w:eastAsia="zh-CN"/>
              </w:rPr>
            </w:pPr>
          </w:p>
        </w:tc>
      </w:tr>
    </w:tbl>
    <w:p>
      <w:pPr>
        <w:pStyle w:val="12"/>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sz w:val="24"/>
          <w:szCs w:val="24"/>
        </w:rPr>
      </w:pPr>
    </w:p>
    <w:sectPr>
      <w:footerReference r:id="rId10" w:type="default"/>
      <w:pgSz w:w="11906" w:h="16838"/>
      <w:pgMar w:top="1361" w:right="1247" w:bottom="1361" w:left="124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-100965</wp:posOffset>
              </wp:positionV>
              <wp:extent cx="229235" cy="232410"/>
              <wp:effectExtent l="0" t="0" r="0" b="0"/>
              <wp:wrapNone/>
              <wp:docPr id="125" name="文本框 1"/>
              <wp:cNvGraphicFramePr/>
              <a:graphic xmlns:a="http://schemas.openxmlformats.org/drawingml/2006/main">
                <a:graphicData uri="http://schemas.microsoft.com/office/word/2010/wordprocessingShape">
                  <wps:wsp>
                    <wps:cNvSpPr txBox="1"/>
                    <wps:spPr>
                      <a:xfrm>
                        <a:off x="0" y="0"/>
                        <a:ext cx="229235" cy="232410"/>
                      </a:xfrm>
                      <a:prstGeom prst="rect">
                        <a:avLst/>
                      </a:prstGeom>
                      <a:noFill/>
                      <a:ln w="6350">
                        <a:noFill/>
                      </a:ln>
                    </wps:spPr>
                    <wps:txbx>
                      <w:txbxContent>
                        <w:p>
                          <w:pPr>
                            <w:pStyle w:val="15"/>
                          </w:pPr>
                          <w:r>
                            <w:fldChar w:fldCharType="begin"/>
                          </w:r>
                          <w:r>
                            <w:instrText xml:space="preserve"> PAGE  \* MERGEFORMAT </w:instrText>
                          </w:r>
                          <w:r>
                            <w:fldChar w:fldCharType="separate"/>
                          </w:r>
                          <w:r>
                            <w:t>32</w:t>
                          </w:r>
                          <w:r>
                            <w:fldChar w:fldCharType="end"/>
                          </w:r>
                        </w:p>
                      </w:txbxContent>
                    </wps:txbx>
                    <wps:bodyPr lIns="0" tIns="0" rIns="0" bIns="0" upright="1"/>
                  </wps:wsp>
                </a:graphicData>
              </a:graphic>
            </wp:anchor>
          </w:drawing>
        </mc:Choice>
        <mc:Fallback>
          <w:pict>
            <v:shape id="文本框 1" o:spid="_x0000_s1026" o:spt="202" type="#_x0000_t202" style="position:absolute;left:0pt;margin-top:-7.95pt;height:18.3pt;width:18.05pt;mso-position-horizontal:center;mso-position-horizontal-relative:margin;z-index:251659264;mso-width-relative:page;mso-height-relative:page;" filled="f" stroked="f" coordsize="21600,21600" o:gfxdata="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IIhl21QAAAAYBAAAPAAAAAAAAAAEAIAAAACIAAABkcnMvZG93bnJldi54&#10;bWxQSwECFAAUAAAACACHTuJAql1sxMQBAAB8AwAADgAAAAAAAAABACAAAAAkAQAAZHJzL2Uyb0Rv&#10;Yy54bWxQSwUGAAAAAAYABgBZAQAAWgUAAAAA&#10;">
              <v:fill on="f" focussize="0,0"/>
              <v:stroke on="f" weight="0.5pt"/>
              <v:imagedata o:title=""/>
              <o:lock v:ext="edit" aspectratio="f"/>
              <v:textbox inset="0mm,0mm,0mm,0mm">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1720"/>
    </w:sdtPr>
    <w:sdtContent>
      <w:p>
        <w:pPr>
          <w:pStyle w:val="15"/>
          <w:jc w:val="center"/>
        </w:pPr>
        <w:r>
          <w:fldChar w:fldCharType="begin"/>
        </w:r>
        <w:r>
          <w:instrText xml:space="preserve"> PAGE   \* MERGEFORMAT </w:instrText>
        </w:r>
        <w:r>
          <w:fldChar w:fldCharType="separate"/>
        </w:r>
        <w:r>
          <w:rPr>
            <w:lang w:val="zh-CN"/>
          </w:rPr>
          <w:t>79</w:t>
        </w:r>
        <w:r>
          <w:rPr>
            <w:lang w:val="zh-CN"/>
          </w:rPr>
          <w:fldChar w:fldCharType="end"/>
        </w:r>
      </w:p>
    </w:sdtContent>
  </w:sdt>
  <w:p>
    <w:pPr>
      <w:pStyle w:val="15"/>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rPr>
      <w:t>中石化江苏苏州石油分公司吴江第二十三加油站迁建项目竣工环境保护验收监测表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8"/>
        <w:szCs w:val="18"/>
      </w:rPr>
    </w:pPr>
    <w:r>
      <w:rPr>
        <w:rFonts w:hint="eastAsia"/>
        <w:sz w:val="18"/>
        <w:szCs w:val="18"/>
        <w:lang w:eastAsia="zh-CN"/>
      </w:rPr>
      <w:t>吴江华茂新型建材有限公司2018-320509-41-03-577948年产非承重普通混凝土空心砖6万平方米、混凝土实心砖3万平方米生产技术改造项目</w:t>
    </w:r>
    <w:r>
      <w:rPr>
        <w:rFonts w:hint="eastAsia"/>
        <w:sz w:val="18"/>
        <w:szCs w:val="18"/>
      </w:rPr>
      <w:t>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4"/>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609F320"/>
    <w:multiLevelType w:val="singleLevel"/>
    <w:tmpl w:val="7609F32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7"/>
    <w:rsid w:val="0000161E"/>
    <w:rsid w:val="00002228"/>
    <w:rsid w:val="000027A2"/>
    <w:rsid w:val="00002A05"/>
    <w:rsid w:val="00002A80"/>
    <w:rsid w:val="00002AD1"/>
    <w:rsid w:val="0000376A"/>
    <w:rsid w:val="000038CA"/>
    <w:rsid w:val="00003CC3"/>
    <w:rsid w:val="00004B41"/>
    <w:rsid w:val="00005439"/>
    <w:rsid w:val="00005470"/>
    <w:rsid w:val="00005751"/>
    <w:rsid w:val="00006853"/>
    <w:rsid w:val="00006C08"/>
    <w:rsid w:val="00006C75"/>
    <w:rsid w:val="00010D68"/>
    <w:rsid w:val="0001115E"/>
    <w:rsid w:val="00011236"/>
    <w:rsid w:val="000114F2"/>
    <w:rsid w:val="00011639"/>
    <w:rsid w:val="00011951"/>
    <w:rsid w:val="0001201C"/>
    <w:rsid w:val="000124E9"/>
    <w:rsid w:val="0001272C"/>
    <w:rsid w:val="00012B20"/>
    <w:rsid w:val="00012DD3"/>
    <w:rsid w:val="00012EBE"/>
    <w:rsid w:val="00014B14"/>
    <w:rsid w:val="00015EAF"/>
    <w:rsid w:val="000172CE"/>
    <w:rsid w:val="000175E7"/>
    <w:rsid w:val="00017C8D"/>
    <w:rsid w:val="00020B34"/>
    <w:rsid w:val="00020DFE"/>
    <w:rsid w:val="00020E48"/>
    <w:rsid w:val="00021523"/>
    <w:rsid w:val="00021F09"/>
    <w:rsid w:val="00022B0B"/>
    <w:rsid w:val="00022DDE"/>
    <w:rsid w:val="00023197"/>
    <w:rsid w:val="0002363D"/>
    <w:rsid w:val="00023A74"/>
    <w:rsid w:val="00023BE5"/>
    <w:rsid w:val="00024D0A"/>
    <w:rsid w:val="00024F02"/>
    <w:rsid w:val="000252B2"/>
    <w:rsid w:val="000253C2"/>
    <w:rsid w:val="0002785D"/>
    <w:rsid w:val="00027979"/>
    <w:rsid w:val="000308F1"/>
    <w:rsid w:val="00030C22"/>
    <w:rsid w:val="00030D49"/>
    <w:rsid w:val="00030EF0"/>
    <w:rsid w:val="0003191B"/>
    <w:rsid w:val="00031CFA"/>
    <w:rsid w:val="00032315"/>
    <w:rsid w:val="00032848"/>
    <w:rsid w:val="0003299D"/>
    <w:rsid w:val="00032CEE"/>
    <w:rsid w:val="00033338"/>
    <w:rsid w:val="00034065"/>
    <w:rsid w:val="000344A3"/>
    <w:rsid w:val="000345F5"/>
    <w:rsid w:val="00034C25"/>
    <w:rsid w:val="00035921"/>
    <w:rsid w:val="00035B0A"/>
    <w:rsid w:val="00035EAB"/>
    <w:rsid w:val="000364A9"/>
    <w:rsid w:val="00036995"/>
    <w:rsid w:val="00036A6E"/>
    <w:rsid w:val="00036B8A"/>
    <w:rsid w:val="0003733F"/>
    <w:rsid w:val="0003740B"/>
    <w:rsid w:val="00037C01"/>
    <w:rsid w:val="00037C5F"/>
    <w:rsid w:val="000417B2"/>
    <w:rsid w:val="000419EC"/>
    <w:rsid w:val="00042419"/>
    <w:rsid w:val="0004338E"/>
    <w:rsid w:val="00043AE2"/>
    <w:rsid w:val="00043F16"/>
    <w:rsid w:val="00043F8E"/>
    <w:rsid w:val="000441EC"/>
    <w:rsid w:val="0004477B"/>
    <w:rsid w:val="000448C3"/>
    <w:rsid w:val="00044B2C"/>
    <w:rsid w:val="00045182"/>
    <w:rsid w:val="000459AA"/>
    <w:rsid w:val="00045C11"/>
    <w:rsid w:val="00046329"/>
    <w:rsid w:val="000471EC"/>
    <w:rsid w:val="000471F2"/>
    <w:rsid w:val="000472CB"/>
    <w:rsid w:val="0005097F"/>
    <w:rsid w:val="00050A08"/>
    <w:rsid w:val="00050E0F"/>
    <w:rsid w:val="0005111F"/>
    <w:rsid w:val="00051123"/>
    <w:rsid w:val="0005178B"/>
    <w:rsid w:val="000518B6"/>
    <w:rsid w:val="00051B6B"/>
    <w:rsid w:val="0005224C"/>
    <w:rsid w:val="00052503"/>
    <w:rsid w:val="000532F0"/>
    <w:rsid w:val="00053C6A"/>
    <w:rsid w:val="00053CCD"/>
    <w:rsid w:val="000541E4"/>
    <w:rsid w:val="000549B5"/>
    <w:rsid w:val="00054C08"/>
    <w:rsid w:val="00054D66"/>
    <w:rsid w:val="0005549C"/>
    <w:rsid w:val="000559CC"/>
    <w:rsid w:val="00055EF9"/>
    <w:rsid w:val="00056498"/>
    <w:rsid w:val="00056C8E"/>
    <w:rsid w:val="0005734B"/>
    <w:rsid w:val="000577B2"/>
    <w:rsid w:val="000577F6"/>
    <w:rsid w:val="00057A5B"/>
    <w:rsid w:val="00057AA1"/>
    <w:rsid w:val="00060C55"/>
    <w:rsid w:val="00060EA6"/>
    <w:rsid w:val="00061166"/>
    <w:rsid w:val="000614DD"/>
    <w:rsid w:val="00061772"/>
    <w:rsid w:val="000622E1"/>
    <w:rsid w:val="00063F41"/>
    <w:rsid w:val="00064039"/>
    <w:rsid w:val="00064F03"/>
    <w:rsid w:val="00065054"/>
    <w:rsid w:val="00065C74"/>
    <w:rsid w:val="00065F18"/>
    <w:rsid w:val="00066037"/>
    <w:rsid w:val="00066603"/>
    <w:rsid w:val="00066692"/>
    <w:rsid w:val="00066DD9"/>
    <w:rsid w:val="00067856"/>
    <w:rsid w:val="0006787B"/>
    <w:rsid w:val="00067DF5"/>
    <w:rsid w:val="000705AF"/>
    <w:rsid w:val="00071ACB"/>
    <w:rsid w:val="00071DFA"/>
    <w:rsid w:val="000722C7"/>
    <w:rsid w:val="000745E6"/>
    <w:rsid w:val="0007460E"/>
    <w:rsid w:val="00075560"/>
    <w:rsid w:val="0007564A"/>
    <w:rsid w:val="00077F24"/>
    <w:rsid w:val="0008053E"/>
    <w:rsid w:val="000813A2"/>
    <w:rsid w:val="00081467"/>
    <w:rsid w:val="000814D4"/>
    <w:rsid w:val="000816B3"/>
    <w:rsid w:val="00081B29"/>
    <w:rsid w:val="000834E6"/>
    <w:rsid w:val="0008402D"/>
    <w:rsid w:val="00084342"/>
    <w:rsid w:val="00085447"/>
    <w:rsid w:val="00085D0A"/>
    <w:rsid w:val="00086361"/>
    <w:rsid w:val="000864DE"/>
    <w:rsid w:val="00086BA1"/>
    <w:rsid w:val="00087BAA"/>
    <w:rsid w:val="00087DB2"/>
    <w:rsid w:val="000902F5"/>
    <w:rsid w:val="00091B42"/>
    <w:rsid w:val="00091D9E"/>
    <w:rsid w:val="00091F39"/>
    <w:rsid w:val="0009275E"/>
    <w:rsid w:val="00093F3A"/>
    <w:rsid w:val="00094B30"/>
    <w:rsid w:val="0009573F"/>
    <w:rsid w:val="00095CB8"/>
    <w:rsid w:val="00095E3D"/>
    <w:rsid w:val="0009608A"/>
    <w:rsid w:val="00096BAD"/>
    <w:rsid w:val="000973B5"/>
    <w:rsid w:val="00097511"/>
    <w:rsid w:val="00097784"/>
    <w:rsid w:val="00097F2B"/>
    <w:rsid w:val="000A0B96"/>
    <w:rsid w:val="000A0F8D"/>
    <w:rsid w:val="000A0F99"/>
    <w:rsid w:val="000A16FB"/>
    <w:rsid w:val="000A22B4"/>
    <w:rsid w:val="000A2F93"/>
    <w:rsid w:val="000A34E1"/>
    <w:rsid w:val="000A3528"/>
    <w:rsid w:val="000A45C6"/>
    <w:rsid w:val="000A4E0F"/>
    <w:rsid w:val="000A4ED0"/>
    <w:rsid w:val="000A51F6"/>
    <w:rsid w:val="000A5366"/>
    <w:rsid w:val="000A5530"/>
    <w:rsid w:val="000A5C8C"/>
    <w:rsid w:val="000A681F"/>
    <w:rsid w:val="000A68C1"/>
    <w:rsid w:val="000A7762"/>
    <w:rsid w:val="000A7B0E"/>
    <w:rsid w:val="000A7C91"/>
    <w:rsid w:val="000A7F2C"/>
    <w:rsid w:val="000B02E9"/>
    <w:rsid w:val="000B035E"/>
    <w:rsid w:val="000B0714"/>
    <w:rsid w:val="000B09DB"/>
    <w:rsid w:val="000B123E"/>
    <w:rsid w:val="000B12C2"/>
    <w:rsid w:val="000B1714"/>
    <w:rsid w:val="000B1914"/>
    <w:rsid w:val="000B1E1B"/>
    <w:rsid w:val="000B3BB4"/>
    <w:rsid w:val="000B3BEA"/>
    <w:rsid w:val="000B4513"/>
    <w:rsid w:val="000B45CE"/>
    <w:rsid w:val="000B4B43"/>
    <w:rsid w:val="000B544C"/>
    <w:rsid w:val="000B59DE"/>
    <w:rsid w:val="000B6846"/>
    <w:rsid w:val="000B69D5"/>
    <w:rsid w:val="000B7099"/>
    <w:rsid w:val="000B739B"/>
    <w:rsid w:val="000B7AB5"/>
    <w:rsid w:val="000B7F96"/>
    <w:rsid w:val="000C094C"/>
    <w:rsid w:val="000C095A"/>
    <w:rsid w:val="000C0AA6"/>
    <w:rsid w:val="000C1588"/>
    <w:rsid w:val="000C1779"/>
    <w:rsid w:val="000C1FA5"/>
    <w:rsid w:val="000C27FC"/>
    <w:rsid w:val="000C2A2C"/>
    <w:rsid w:val="000C2C9E"/>
    <w:rsid w:val="000C3253"/>
    <w:rsid w:val="000C3B4E"/>
    <w:rsid w:val="000C41A8"/>
    <w:rsid w:val="000C44D4"/>
    <w:rsid w:val="000C4E2A"/>
    <w:rsid w:val="000C613D"/>
    <w:rsid w:val="000C699C"/>
    <w:rsid w:val="000C6F20"/>
    <w:rsid w:val="000C71E7"/>
    <w:rsid w:val="000C743E"/>
    <w:rsid w:val="000C76B5"/>
    <w:rsid w:val="000D0045"/>
    <w:rsid w:val="000D01C8"/>
    <w:rsid w:val="000D0B53"/>
    <w:rsid w:val="000D0FAA"/>
    <w:rsid w:val="000D1060"/>
    <w:rsid w:val="000D1101"/>
    <w:rsid w:val="000D13AB"/>
    <w:rsid w:val="000D15C7"/>
    <w:rsid w:val="000D2A44"/>
    <w:rsid w:val="000D3871"/>
    <w:rsid w:val="000D3F8E"/>
    <w:rsid w:val="000D401A"/>
    <w:rsid w:val="000D42CC"/>
    <w:rsid w:val="000D4F22"/>
    <w:rsid w:val="000D5068"/>
    <w:rsid w:val="000D6871"/>
    <w:rsid w:val="000D74D3"/>
    <w:rsid w:val="000D7AF1"/>
    <w:rsid w:val="000D7AFA"/>
    <w:rsid w:val="000D7BB4"/>
    <w:rsid w:val="000D7CF1"/>
    <w:rsid w:val="000E07B2"/>
    <w:rsid w:val="000E0D16"/>
    <w:rsid w:val="000E0D90"/>
    <w:rsid w:val="000E0DAC"/>
    <w:rsid w:val="000E1C85"/>
    <w:rsid w:val="000E2378"/>
    <w:rsid w:val="000E35A2"/>
    <w:rsid w:val="000E4548"/>
    <w:rsid w:val="000E45C1"/>
    <w:rsid w:val="000E4734"/>
    <w:rsid w:val="000E482B"/>
    <w:rsid w:val="000E495D"/>
    <w:rsid w:val="000E5186"/>
    <w:rsid w:val="000E52AD"/>
    <w:rsid w:val="000E5778"/>
    <w:rsid w:val="000E6360"/>
    <w:rsid w:val="000E65DF"/>
    <w:rsid w:val="000E6A8A"/>
    <w:rsid w:val="000E6B58"/>
    <w:rsid w:val="000E6F68"/>
    <w:rsid w:val="000E7139"/>
    <w:rsid w:val="000E75CF"/>
    <w:rsid w:val="000E7955"/>
    <w:rsid w:val="000F0417"/>
    <w:rsid w:val="000F0785"/>
    <w:rsid w:val="000F111E"/>
    <w:rsid w:val="000F12DB"/>
    <w:rsid w:val="000F16CC"/>
    <w:rsid w:val="000F180E"/>
    <w:rsid w:val="000F18A3"/>
    <w:rsid w:val="000F2111"/>
    <w:rsid w:val="000F2E6C"/>
    <w:rsid w:val="000F33F5"/>
    <w:rsid w:val="000F3886"/>
    <w:rsid w:val="000F4DC1"/>
    <w:rsid w:val="000F6951"/>
    <w:rsid w:val="000F71BF"/>
    <w:rsid w:val="000F752F"/>
    <w:rsid w:val="000F773D"/>
    <w:rsid w:val="000F7F60"/>
    <w:rsid w:val="00100983"/>
    <w:rsid w:val="00100FF4"/>
    <w:rsid w:val="0010149B"/>
    <w:rsid w:val="00101E7F"/>
    <w:rsid w:val="0010248E"/>
    <w:rsid w:val="001024EC"/>
    <w:rsid w:val="00102A16"/>
    <w:rsid w:val="00102E78"/>
    <w:rsid w:val="001031DA"/>
    <w:rsid w:val="00103391"/>
    <w:rsid w:val="00104092"/>
    <w:rsid w:val="00104676"/>
    <w:rsid w:val="001046BD"/>
    <w:rsid w:val="001048AB"/>
    <w:rsid w:val="00104F37"/>
    <w:rsid w:val="00105372"/>
    <w:rsid w:val="001053F5"/>
    <w:rsid w:val="0010577A"/>
    <w:rsid w:val="001063ED"/>
    <w:rsid w:val="0010666C"/>
    <w:rsid w:val="00106C65"/>
    <w:rsid w:val="00106EED"/>
    <w:rsid w:val="00106EFD"/>
    <w:rsid w:val="001072E7"/>
    <w:rsid w:val="00107A6C"/>
    <w:rsid w:val="00107C58"/>
    <w:rsid w:val="00111E8F"/>
    <w:rsid w:val="00112396"/>
    <w:rsid w:val="00112587"/>
    <w:rsid w:val="00112C1A"/>
    <w:rsid w:val="00112C69"/>
    <w:rsid w:val="00113399"/>
    <w:rsid w:val="001133A5"/>
    <w:rsid w:val="00113589"/>
    <w:rsid w:val="00113E59"/>
    <w:rsid w:val="0011503E"/>
    <w:rsid w:val="00115070"/>
    <w:rsid w:val="00115AB3"/>
    <w:rsid w:val="00115FC5"/>
    <w:rsid w:val="00116387"/>
    <w:rsid w:val="00116554"/>
    <w:rsid w:val="00116DDE"/>
    <w:rsid w:val="00116F2E"/>
    <w:rsid w:val="0011761F"/>
    <w:rsid w:val="001179AD"/>
    <w:rsid w:val="0012008D"/>
    <w:rsid w:val="001200CA"/>
    <w:rsid w:val="001203BC"/>
    <w:rsid w:val="001207FA"/>
    <w:rsid w:val="0012095B"/>
    <w:rsid w:val="00120E44"/>
    <w:rsid w:val="001212FF"/>
    <w:rsid w:val="001216D1"/>
    <w:rsid w:val="00121B71"/>
    <w:rsid w:val="00121BCC"/>
    <w:rsid w:val="001223EE"/>
    <w:rsid w:val="00122CAB"/>
    <w:rsid w:val="001231DA"/>
    <w:rsid w:val="00123750"/>
    <w:rsid w:val="00123AE0"/>
    <w:rsid w:val="00123F88"/>
    <w:rsid w:val="001247E0"/>
    <w:rsid w:val="001249DD"/>
    <w:rsid w:val="00124FD9"/>
    <w:rsid w:val="001258A8"/>
    <w:rsid w:val="001259BF"/>
    <w:rsid w:val="00125CD5"/>
    <w:rsid w:val="0012630C"/>
    <w:rsid w:val="00126EB3"/>
    <w:rsid w:val="001270DC"/>
    <w:rsid w:val="00127731"/>
    <w:rsid w:val="001278BD"/>
    <w:rsid w:val="001301BF"/>
    <w:rsid w:val="0013020F"/>
    <w:rsid w:val="001305AB"/>
    <w:rsid w:val="001315AD"/>
    <w:rsid w:val="00131A66"/>
    <w:rsid w:val="00131B88"/>
    <w:rsid w:val="00131BDD"/>
    <w:rsid w:val="00132184"/>
    <w:rsid w:val="001327D6"/>
    <w:rsid w:val="00134077"/>
    <w:rsid w:val="001344C2"/>
    <w:rsid w:val="0013469D"/>
    <w:rsid w:val="00134A38"/>
    <w:rsid w:val="00134A93"/>
    <w:rsid w:val="00134F77"/>
    <w:rsid w:val="00134FB0"/>
    <w:rsid w:val="001350A9"/>
    <w:rsid w:val="0013519B"/>
    <w:rsid w:val="00135842"/>
    <w:rsid w:val="001360D2"/>
    <w:rsid w:val="00136344"/>
    <w:rsid w:val="00136E52"/>
    <w:rsid w:val="00137424"/>
    <w:rsid w:val="001378F4"/>
    <w:rsid w:val="00137996"/>
    <w:rsid w:val="00137B94"/>
    <w:rsid w:val="001400E8"/>
    <w:rsid w:val="0014150E"/>
    <w:rsid w:val="001418F0"/>
    <w:rsid w:val="0014204D"/>
    <w:rsid w:val="001420D5"/>
    <w:rsid w:val="00142343"/>
    <w:rsid w:val="0014254F"/>
    <w:rsid w:val="00142EF2"/>
    <w:rsid w:val="0014303F"/>
    <w:rsid w:val="001431A1"/>
    <w:rsid w:val="00143300"/>
    <w:rsid w:val="00143659"/>
    <w:rsid w:val="00143877"/>
    <w:rsid w:val="001440E1"/>
    <w:rsid w:val="001444B9"/>
    <w:rsid w:val="00144B1A"/>
    <w:rsid w:val="00144C14"/>
    <w:rsid w:val="001459FF"/>
    <w:rsid w:val="00146208"/>
    <w:rsid w:val="00146508"/>
    <w:rsid w:val="0014696F"/>
    <w:rsid w:val="00146EB4"/>
    <w:rsid w:val="00146F9C"/>
    <w:rsid w:val="00147533"/>
    <w:rsid w:val="00147928"/>
    <w:rsid w:val="00147D8B"/>
    <w:rsid w:val="00150264"/>
    <w:rsid w:val="00151543"/>
    <w:rsid w:val="00151614"/>
    <w:rsid w:val="00151E93"/>
    <w:rsid w:val="00152236"/>
    <w:rsid w:val="001524A4"/>
    <w:rsid w:val="00153503"/>
    <w:rsid w:val="001540FC"/>
    <w:rsid w:val="00154D13"/>
    <w:rsid w:val="00155170"/>
    <w:rsid w:val="001552F2"/>
    <w:rsid w:val="00155CE0"/>
    <w:rsid w:val="00156162"/>
    <w:rsid w:val="00160008"/>
    <w:rsid w:val="001602F3"/>
    <w:rsid w:val="0016079B"/>
    <w:rsid w:val="00160BB0"/>
    <w:rsid w:val="00161997"/>
    <w:rsid w:val="00163AE8"/>
    <w:rsid w:val="00163CF1"/>
    <w:rsid w:val="00163DB7"/>
    <w:rsid w:val="00163F9C"/>
    <w:rsid w:val="00164076"/>
    <w:rsid w:val="00164426"/>
    <w:rsid w:val="001644BC"/>
    <w:rsid w:val="00164767"/>
    <w:rsid w:val="00164782"/>
    <w:rsid w:val="00164791"/>
    <w:rsid w:val="0016502B"/>
    <w:rsid w:val="0016518F"/>
    <w:rsid w:val="001655BD"/>
    <w:rsid w:val="0016569B"/>
    <w:rsid w:val="00165EFF"/>
    <w:rsid w:val="0016600A"/>
    <w:rsid w:val="0016623E"/>
    <w:rsid w:val="001665A2"/>
    <w:rsid w:val="0016676C"/>
    <w:rsid w:val="00166784"/>
    <w:rsid w:val="001668C1"/>
    <w:rsid w:val="00166988"/>
    <w:rsid w:val="00166BEA"/>
    <w:rsid w:val="00166D0F"/>
    <w:rsid w:val="0016729F"/>
    <w:rsid w:val="00167C45"/>
    <w:rsid w:val="001702B5"/>
    <w:rsid w:val="001702D6"/>
    <w:rsid w:val="0017059C"/>
    <w:rsid w:val="001710E9"/>
    <w:rsid w:val="001713A2"/>
    <w:rsid w:val="00171A1E"/>
    <w:rsid w:val="00171ED2"/>
    <w:rsid w:val="001723E6"/>
    <w:rsid w:val="0017294B"/>
    <w:rsid w:val="00172A27"/>
    <w:rsid w:val="001731F9"/>
    <w:rsid w:val="0017334F"/>
    <w:rsid w:val="00173440"/>
    <w:rsid w:val="0017346C"/>
    <w:rsid w:val="00173476"/>
    <w:rsid w:val="001739F2"/>
    <w:rsid w:val="00173DD9"/>
    <w:rsid w:val="00173E21"/>
    <w:rsid w:val="00173F88"/>
    <w:rsid w:val="0017519A"/>
    <w:rsid w:val="0017595E"/>
    <w:rsid w:val="00175A81"/>
    <w:rsid w:val="00175E47"/>
    <w:rsid w:val="001763A5"/>
    <w:rsid w:val="001763C5"/>
    <w:rsid w:val="00176D18"/>
    <w:rsid w:val="00177236"/>
    <w:rsid w:val="00177325"/>
    <w:rsid w:val="0017771B"/>
    <w:rsid w:val="001779B6"/>
    <w:rsid w:val="001779D0"/>
    <w:rsid w:val="00177B47"/>
    <w:rsid w:val="001801B1"/>
    <w:rsid w:val="00180BE1"/>
    <w:rsid w:val="00181416"/>
    <w:rsid w:val="00182276"/>
    <w:rsid w:val="001825E7"/>
    <w:rsid w:val="00183182"/>
    <w:rsid w:val="001835F0"/>
    <w:rsid w:val="001837DF"/>
    <w:rsid w:val="001838D1"/>
    <w:rsid w:val="0018447E"/>
    <w:rsid w:val="001848CD"/>
    <w:rsid w:val="001849CD"/>
    <w:rsid w:val="00184C12"/>
    <w:rsid w:val="00185214"/>
    <w:rsid w:val="00185E4C"/>
    <w:rsid w:val="001863A5"/>
    <w:rsid w:val="0018670C"/>
    <w:rsid w:val="00186A98"/>
    <w:rsid w:val="0018753F"/>
    <w:rsid w:val="00187C5E"/>
    <w:rsid w:val="00187CB6"/>
    <w:rsid w:val="00187F40"/>
    <w:rsid w:val="001901EE"/>
    <w:rsid w:val="00190517"/>
    <w:rsid w:val="00190782"/>
    <w:rsid w:val="00190D94"/>
    <w:rsid w:val="00190DA1"/>
    <w:rsid w:val="00190E09"/>
    <w:rsid w:val="0019136C"/>
    <w:rsid w:val="00191534"/>
    <w:rsid w:val="0019428B"/>
    <w:rsid w:val="0019456B"/>
    <w:rsid w:val="00195109"/>
    <w:rsid w:val="00195855"/>
    <w:rsid w:val="001962A6"/>
    <w:rsid w:val="0019668E"/>
    <w:rsid w:val="00196CF6"/>
    <w:rsid w:val="00196DFE"/>
    <w:rsid w:val="00196E22"/>
    <w:rsid w:val="00196E2D"/>
    <w:rsid w:val="00197000"/>
    <w:rsid w:val="001974BD"/>
    <w:rsid w:val="001975DD"/>
    <w:rsid w:val="0019761C"/>
    <w:rsid w:val="001A0242"/>
    <w:rsid w:val="001A09A1"/>
    <w:rsid w:val="001A1BC9"/>
    <w:rsid w:val="001A26DA"/>
    <w:rsid w:val="001A270D"/>
    <w:rsid w:val="001A3A70"/>
    <w:rsid w:val="001A3AA0"/>
    <w:rsid w:val="001A3B7F"/>
    <w:rsid w:val="001A3BD4"/>
    <w:rsid w:val="001A3EE1"/>
    <w:rsid w:val="001A41C6"/>
    <w:rsid w:val="001A4531"/>
    <w:rsid w:val="001A456E"/>
    <w:rsid w:val="001A487E"/>
    <w:rsid w:val="001A5014"/>
    <w:rsid w:val="001A583B"/>
    <w:rsid w:val="001A59DE"/>
    <w:rsid w:val="001A62BD"/>
    <w:rsid w:val="001A630A"/>
    <w:rsid w:val="001A647D"/>
    <w:rsid w:val="001A64E2"/>
    <w:rsid w:val="001A65CD"/>
    <w:rsid w:val="001A6853"/>
    <w:rsid w:val="001A6FC5"/>
    <w:rsid w:val="001A7131"/>
    <w:rsid w:val="001A71D8"/>
    <w:rsid w:val="001A75E8"/>
    <w:rsid w:val="001A7838"/>
    <w:rsid w:val="001A7B57"/>
    <w:rsid w:val="001A7D05"/>
    <w:rsid w:val="001B0097"/>
    <w:rsid w:val="001B16BA"/>
    <w:rsid w:val="001B174B"/>
    <w:rsid w:val="001B180B"/>
    <w:rsid w:val="001B22F1"/>
    <w:rsid w:val="001B346A"/>
    <w:rsid w:val="001B40B5"/>
    <w:rsid w:val="001B5625"/>
    <w:rsid w:val="001B57F2"/>
    <w:rsid w:val="001B5FB0"/>
    <w:rsid w:val="001B607B"/>
    <w:rsid w:val="001B6410"/>
    <w:rsid w:val="001B66B6"/>
    <w:rsid w:val="001B6995"/>
    <w:rsid w:val="001B6C46"/>
    <w:rsid w:val="001B7240"/>
    <w:rsid w:val="001B72C4"/>
    <w:rsid w:val="001C000B"/>
    <w:rsid w:val="001C0834"/>
    <w:rsid w:val="001C1128"/>
    <w:rsid w:val="001C1B10"/>
    <w:rsid w:val="001C1B8F"/>
    <w:rsid w:val="001C2618"/>
    <w:rsid w:val="001C2A45"/>
    <w:rsid w:val="001C2AB7"/>
    <w:rsid w:val="001C32C5"/>
    <w:rsid w:val="001C35E9"/>
    <w:rsid w:val="001C361C"/>
    <w:rsid w:val="001C3856"/>
    <w:rsid w:val="001C3912"/>
    <w:rsid w:val="001C395A"/>
    <w:rsid w:val="001C3EC7"/>
    <w:rsid w:val="001C47CD"/>
    <w:rsid w:val="001C4B42"/>
    <w:rsid w:val="001C506C"/>
    <w:rsid w:val="001C555F"/>
    <w:rsid w:val="001C5A99"/>
    <w:rsid w:val="001C7451"/>
    <w:rsid w:val="001D03FB"/>
    <w:rsid w:val="001D04DD"/>
    <w:rsid w:val="001D065F"/>
    <w:rsid w:val="001D1134"/>
    <w:rsid w:val="001D1FEF"/>
    <w:rsid w:val="001D24FF"/>
    <w:rsid w:val="001D2C4D"/>
    <w:rsid w:val="001D2C53"/>
    <w:rsid w:val="001D35B1"/>
    <w:rsid w:val="001D38BC"/>
    <w:rsid w:val="001D3A3D"/>
    <w:rsid w:val="001D4285"/>
    <w:rsid w:val="001D42AA"/>
    <w:rsid w:val="001D49A7"/>
    <w:rsid w:val="001D5988"/>
    <w:rsid w:val="001D5AF2"/>
    <w:rsid w:val="001D6315"/>
    <w:rsid w:val="001D65C4"/>
    <w:rsid w:val="001D66D9"/>
    <w:rsid w:val="001D6932"/>
    <w:rsid w:val="001D6ADA"/>
    <w:rsid w:val="001D6DB5"/>
    <w:rsid w:val="001D7460"/>
    <w:rsid w:val="001E0056"/>
    <w:rsid w:val="001E04D4"/>
    <w:rsid w:val="001E06A7"/>
    <w:rsid w:val="001E1815"/>
    <w:rsid w:val="001E213D"/>
    <w:rsid w:val="001E22D5"/>
    <w:rsid w:val="001E277D"/>
    <w:rsid w:val="001E3004"/>
    <w:rsid w:val="001E376D"/>
    <w:rsid w:val="001E3861"/>
    <w:rsid w:val="001E3FC6"/>
    <w:rsid w:val="001E4148"/>
    <w:rsid w:val="001E49E1"/>
    <w:rsid w:val="001E50D5"/>
    <w:rsid w:val="001E51BF"/>
    <w:rsid w:val="001E575C"/>
    <w:rsid w:val="001E5D55"/>
    <w:rsid w:val="001E726B"/>
    <w:rsid w:val="001E7561"/>
    <w:rsid w:val="001E7B17"/>
    <w:rsid w:val="001F00E0"/>
    <w:rsid w:val="001F078B"/>
    <w:rsid w:val="001F0A27"/>
    <w:rsid w:val="001F0F68"/>
    <w:rsid w:val="001F124C"/>
    <w:rsid w:val="001F16AE"/>
    <w:rsid w:val="001F16D2"/>
    <w:rsid w:val="001F17B3"/>
    <w:rsid w:val="001F204D"/>
    <w:rsid w:val="001F2744"/>
    <w:rsid w:val="001F2780"/>
    <w:rsid w:val="001F2942"/>
    <w:rsid w:val="001F302A"/>
    <w:rsid w:val="001F3314"/>
    <w:rsid w:val="001F38FD"/>
    <w:rsid w:val="001F4A24"/>
    <w:rsid w:val="001F4F0D"/>
    <w:rsid w:val="001F56A0"/>
    <w:rsid w:val="001F60B5"/>
    <w:rsid w:val="001F68D2"/>
    <w:rsid w:val="001F72D2"/>
    <w:rsid w:val="0020002D"/>
    <w:rsid w:val="002007B4"/>
    <w:rsid w:val="002008D6"/>
    <w:rsid w:val="00200CEE"/>
    <w:rsid w:val="00200E8A"/>
    <w:rsid w:val="00200E8B"/>
    <w:rsid w:val="0020295E"/>
    <w:rsid w:val="002046B0"/>
    <w:rsid w:val="00204882"/>
    <w:rsid w:val="0020550A"/>
    <w:rsid w:val="00205D24"/>
    <w:rsid w:val="00205E30"/>
    <w:rsid w:val="00206363"/>
    <w:rsid w:val="002064F0"/>
    <w:rsid w:val="0020686F"/>
    <w:rsid w:val="002069C4"/>
    <w:rsid w:val="00206A4D"/>
    <w:rsid w:val="002072C4"/>
    <w:rsid w:val="002075ED"/>
    <w:rsid w:val="00207BE1"/>
    <w:rsid w:val="00207CFA"/>
    <w:rsid w:val="00207F5A"/>
    <w:rsid w:val="00210223"/>
    <w:rsid w:val="00210A0C"/>
    <w:rsid w:val="00210FF1"/>
    <w:rsid w:val="00211A86"/>
    <w:rsid w:val="00211D81"/>
    <w:rsid w:val="00211F5A"/>
    <w:rsid w:val="00212529"/>
    <w:rsid w:val="00212DC2"/>
    <w:rsid w:val="00212DDA"/>
    <w:rsid w:val="0021322F"/>
    <w:rsid w:val="002136FE"/>
    <w:rsid w:val="00213A85"/>
    <w:rsid w:val="00213DB8"/>
    <w:rsid w:val="002141C5"/>
    <w:rsid w:val="00215444"/>
    <w:rsid w:val="00215A49"/>
    <w:rsid w:val="00215B23"/>
    <w:rsid w:val="00215D49"/>
    <w:rsid w:val="00215E66"/>
    <w:rsid w:val="002160D6"/>
    <w:rsid w:val="00216A2B"/>
    <w:rsid w:val="00216CCE"/>
    <w:rsid w:val="0021763D"/>
    <w:rsid w:val="002177FA"/>
    <w:rsid w:val="00217B54"/>
    <w:rsid w:val="00220005"/>
    <w:rsid w:val="0022090E"/>
    <w:rsid w:val="00220C7C"/>
    <w:rsid w:val="00220FA4"/>
    <w:rsid w:val="002216AA"/>
    <w:rsid w:val="00221A53"/>
    <w:rsid w:val="00221CCC"/>
    <w:rsid w:val="00222163"/>
    <w:rsid w:val="002236E1"/>
    <w:rsid w:val="002236E9"/>
    <w:rsid w:val="00223D55"/>
    <w:rsid w:val="00224956"/>
    <w:rsid w:val="00224C33"/>
    <w:rsid w:val="0022566B"/>
    <w:rsid w:val="0022569D"/>
    <w:rsid w:val="00225DE4"/>
    <w:rsid w:val="00226102"/>
    <w:rsid w:val="00226260"/>
    <w:rsid w:val="0022642C"/>
    <w:rsid w:val="00227158"/>
    <w:rsid w:val="00227EE0"/>
    <w:rsid w:val="00230421"/>
    <w:rsid w:val="002304A3"/>
    <w:rsid w:val="0023060B"/>
    <w:rsid w:val="0023063E"/>
    <w:rsid w:val="00230BA8"/>
    <w:rsid w:val="0023109A"/>
    <w:rsid w:val="002312AB"/>
    <w:rsid w:val="0023164B"/>
    <w:rsid w:val="00231696"/>
    <w:rsid w:val="00231930"/>
    <w:rsid w:val="002319AE"/>
    <w:rsid w:val="00231C9C"/>
    <w:rsid w:val="00231F76"/>
    <w:rsid w:val="00232983"/>
    <w:rsid w:val="00232F47"/>
    <w:rsid w:val="002331FA"/>
    <w:rsid w:val="00233758"/>
    <w:rsid w:val="0023389D"/>
    <w:rsid w:val="002348D1"/>
    <w:rsid w:val="00234BF3"/>
    <w:rsid w:val="0023509F"/>
    <w:rsid w:val="00235C65"/>
    <w:rsid w:val="00235D2F"/>
    <w:rsid w:val="002365DB"/>
    <w:rsid w:val="0024250E"/>
    <w:rsid w:val="00242554"/>
    <w:rsid w:val="00242648"/>
    <w:rsid w:val="002439AB"/>
    <w:rsid w:val="0024400D"/>
    <w:rsid w:val="00244B73"/>
    <w:rsid w:val="0024527F"/>
    <w:rsid w:val="002454D6"/>
    <w:rsid w:val="00245505"/>
    <w:rsid w:val="002462C6"/>
    <w:rsid w:val="00246362"/>
    <w:rsid w:val="00247117"/>
    <w:rsid w:val="00247409"/>
    <w:rsid w:val="00247470"/>
    <w:rsid w:val="002506AF"/>
    <w:rsid w:val="002507A1"/>
    <w:rsid w:val="00250850"/>
    <w:rsid w:val="002512FE"/>
    <w:rsid w:val="0025198E"/>
    <w:rsid w:val="00252E65"/>
    <w:rsid w:val="002539C7"/>
    <w:rsid w:val="00253C56"/>
    <w:rsid w:val="00254097"/>
    <w:rsid w:val="00254729"/>
    <w:rsid w:val="00254C28"/>
    <w:rsid w:val="00255142"/>
    <w:rsid w:val="002551DD"/>
    <w:rsid w:val="0025675E"/>
    <w:rsid w:val="00257208"/>
    <w:rsid w:val="00257268"/>
    <w:rsid w:val="002573C4"/>
    <w:rsid w:val="00257827"/>
    <w:rsid w:val="00257A92"/>
    <w:rsid w:val="00257E77"/>
    <w:rsid w:val="00260B71"/>
    <w:rsid w:val="00260D98"/>
    <w:rsid w:val="00261313"/>
    <w:rsid w:val="002613F4"/>
    <w:rsid w:val="00261561"/>
    <w:rsid w:val="00261976"/>
    <w:rsid w:val="00262271"/>
    <w:rsid w:val="0026241B"/>
    <w:rsid w:val="002626E5"/>
    <w:rsid w:val="002637FD"/>
    <w:rsid w:val="00263BBD"/>
    <w:rsid w:val="00263C8B"/>
    <w:rsid w:val="00263EC7"/>
    <w:rsid w:val="00264DC4"/>
    <w:rsid w:val="00265991"/>
    <w:rsid w:val="0026668B"/>
    <w:rsid w:val="002667FF"/>
    <w:rsid w:val="002678BE"/>
    <w:rsid w:val="0027053C"/>
    <w:rsid w:val="002708F1"/>
    <w:rsid w:val="00270B03"/>
    <w:rsid w:val="00271103"/>
    <w:rsid w:val="00271451"/>
    <w:rsid w:val="00271875"/>
    <w:rsid w:val="00271E05"/>
    <w:rsid w:val="002720E7"/>
    <w:rsid w:val="0027218E"/>
    <w:rsid w:val="00272880"/>
    <w:rsid w:val="00272AD5"/>
    <w:rsid w:val="00272C4C"/>
    <w:rsid w:val="00272CEB"/>
    <w:rsid w:val="00272E9F"/>
    <w:rsid w:val="00273614"/>
    <w:rsid w:val="00273744"/>
    <w:rsid w:val="00273EB5"/>
    <w:rsid w:val="00274072"/>
    <w:rsid w:val="00274157"/>
    <w:rsid w:val="0027435E"/>
    <w:rsid w:val="002751B4"/>
    <w:rsid w:val="002751F2"/>
    <w:rsid w:val="002753BF"/>
    <w:rsid w:val="00275AA4"/>
    <w:rsid w:val="00276280"/>
    <w:rsid w:val="00276C6A"/>
    <w:rsid w:val="00277A22"/>
    <w:rsid w:val="00277BAB"/>
    <w:rsid w:val="00277F47"/>
    <w:rsid w:val="00280162"/>
    <w:rsid w:val="00281951"/>
    <w:rsid w:val="00281E07"/>
    <w:rsid w:val="00282DEF"/>
    <w:rsid w:val="00283611"/>
    <w:rsid w:val="002851F8"/>
    <w:rsid w:val="00285D6C"/>
    <w:rsid w:val="00285EAA"/>
    <w:rsid w:val="00286263"/>
    <w:rsid w:val="00286290"/>
    <w:rsid w:val="00286752"/>
    <w:rsid w:val="0028776D"/>
    <w:rsid w:val="002878F5"/>
    <w:rsid w:val="00290117"/>
    <w:rsid w:val="002903E8"/>
    <w:rsid w:val="002909A6"/>
    <w:rsid w:val="00290CC2"/>
    <w:rsid w:val="0029171B"/>
    <w:rsid w:val="0029229C"/>
    <w:rsid w:val="00292B00"/>
    <w:rsid w:val="00292BD9"/>
    <w:rsid w:val="0029328E"/>
    <w:rsid w:val="002937A0"/>
    <w:rsid w:val="00293F01"/>
    <w:rsid w:val="00294245"/>
    <w:rsid w:val="00294894"/>
    <w:rsid w:val="0029587C"/>
    <w:rsid w:val="00295D73"/>
    <w:rsid w:val="002962F3"/>
    <w:rsid w:val="00296BBA"/>
    <w:rsid w:val="00297036"/>
    <w:rsid w:val="0029706A"/>
    <w:rsid w:val="00297367"/>
    <w:rsid w:val="00297941"/>
    <w:rsid w:val="002979EB"/>
    <w:rsid w:val="002A050B"/>
    <w:rsid w:val="002A1B48"/>
    <w:rsid w:val="002A2220"/>
    <w:rsid w:val="002A2280"/>
    <w:rsid w:val="002A2B37"/>
    <w:rsid w:val="002A3347"/>
    <w:rsid w:val="002A33C4"/>
    <w:rsid w:val="002A3D8B"/>
    <w:rsid w:val="002A445C"/>
    <w:rsid w:val="002A4AA0"/>
    <w:rsid w:val="002A5014"/>
    <w:rsid w:val="002A5192"/>
    <w:rsid w:val="002A68D2"/>
    <w:rsid w:val="002A6971"/>
    <w:rsid w:val="002A6FDD"/>
    <w:rsid w:val="002A6FEC"/>
    <w:rsid w:val="002A7426"/>
    <w:rsid w:val="002A743A"/>
    <w:rsid w:val="002A794F"/>
    <w:rsid w:val="002B04E7"/>
    <w:rsid w:val="002B0CCC"/>
    <w:rsid w:val="002B11FA"/>
    <w:rsid w:val="002B1578"/>
    <w:rsid w:val="002B1974"/>
    <w:rsid w:val="002B1D00"/>
    <w:rsid w:val="002B1E54"/>
    <w:rsid w:val="002B2DFC"/>
    <w:rsid w:val="002B3144"/>
    <w:rsid w:val="002B35D1"/>
    <w:rsid w:val="002B499E"/>
    <w:rsid w:val="002B648F"/>
    <w:rsid w:val="002B6548"/>
    <w:rsid w:val="002B6BE4"/>
    <w:rsid w:val="002B7356"/>
    <w:rsid w:val="002B78A9"/>
    <w:rsid w:val="002B7A28"/>
    <w:rsid w:val="002C01F0"/>
    <w:rsid w:val="002C08FE"/>
    <w:rsid w:val="002C0F50"/>
    <w:rsid w:val="002C19AB"/>
    <w:rsid w:val="002C255F"/>
    <w:rsid w:val="002C27D7"/>
    <w:rsid w:val="002C309B"/>
    <w:rsid w:val="002C361A"/>
    <w:rsid w:val="002C3CFE"/>
    <w:rsid w:val="002C3E3F"/>
    <w:rsid w:val="002C3E58"/>
    <w:rsid w:val="002C4B6C"/>
    <w:rsid w:val="002C4CF5"/>
    <w:rsid w:val="002C5503"/>
    <w:rsid w:val="002C5AE6"/>
    <w:rsid w:val="002C6656"/>
    <w:rsid w:val="002C6745"/>
    <w:rsid w:val="002C72C9"/>
    <w:rsid w:val="002C7835"/>
    <w:rsid w:val="002D0316"/>
    <w:rsid w:val="002D067A"/>
    <w:rsid w:val="002D0C7D"/>
    <w:rsid w:val="002D0EB2"/>
    <w:rsid w:val="002D0F22"/>
    <w:rsid w:val="002D0FD0"/>
    <w:rsid w:val="002D11D3"/>
    <w:rsid w:val="002D27BD"/>
    <w:rsid w:val="002D2822"/>
    <w:rsid w:val="002D2C99"/>
    <w:rsid w:val="002D2D67"/>
    <w:rsid w:val="002D2E7D"/>
    <w:rsid w:val="002D2F56"/>
    <w:rsid w:val="002D3A85"/>
    <w:rsid w:val="002D3D0A"/>
    <w:rsid w:val="002D432B"/>
    <w:rsid w:val="002D4744"/>
    <w:rsid w:val="002D49FF"/>
    <w:rsid w:val="002D4B64"/>
    <w:rsid w:val="002D5392"/>
    <w:rsid w:val="002D64AB"/>
    <w:rsid w:val="002D6A04"/>
    <w:rsid w:val="002D6E08"/>
    <w:rsid w:val="002D75CB"/>
    <w:rsid w:val="002D798C"/>
    <w:rsid w:val="002E077B"/>
    <w:rsid w:val="002E0781"/>
    <w:rsid w:val="002E0887"/>
    <w:rsid w:val="002E0DBC"/>
    <w:rsid w:val="002E13C2"/>
    <w:rsid w:val="002E22B1"/>
    <w:rsid w:val="002E2D38"/>
    <w:rsid w:val="002E2F16"/>
    <w:rsid w:val="002E37FA"/>
    <w:rsid w:val="002E44FA"/>
    <w:rsid w:val="002E4C86"/>
    <w:rsid w:val="002E630E"/>
    <w:rsid w:val="002E6C2C"/>
    <w:rsid w:val="002E6D4E"/>
    <w:rsid w:val="002E70D1"/>
    <w:rsid w:val="002E7953"/>
    <w:rsid w:val="002E7974"/>
    <w:rsid w:val="002E79C8"/>
    <w:rsid w:val="002E7D17"/>
    <w:rsid w:val="002E7FBD"/>
    <w:rsid w:val="002F028D"/>
    <w:rsid w:val="002F088B"/>
    <w:rsid w:val="002F0D1A"/>
    <w:rsid w:val="002F1862"/>
    <w:rsid w:val="002F1C28"/>
    <w:rsid w:val="002F1FE5"/>
    <w:rsid w:val="002F2076"/>
    <w:rsid w:val="002F2145"/>
    <w:rsid w:val="002F2C65"/>
    <w:rsid w:val="002F381A"/>
    <w:rsid w:val="002F4061"/>
    <w:rsid w:val="002F4F00"/>
    <w:rsid w:val="002F6166"/>
    <w:rsid w:val="002F62CC"/>
    <w:rsid w:val="002F66B5"/>
    <w:rsid w:val="002F7087"/>
    <w:rsid w:val="002F70CF"/>
    <w:rsid w:val="002F73F1"/>
    <w:rsid w:val="002F7E51"/>
    <w:rsid w:val="0030068C"/>
    <w:rsid w:val="00300FA3"/>
    <w:rsid w:val="00301122"/>
    <w:rsid w:val="0030154E"/>
    <w:rsid w:val="0030166E"/>
    <w:rsid w:val="003017DF"/>
    <w:rsid w:val="00301D8E"/>
    <w:rsid w:val="00302042"/>
    <w:rsid w:val="003027AA"/>
    <w:rsid w:val="00302903"/>
    <w:rsid w:val="0030322D"/>
    <w:rsid w:val="00303489"/>
    <w:rsid w:val="003034EF"/>
    <w:rsid w:val="0030372E"/>
    <w:rsid w:val="00303AC2"/>
    <w:rsid w:val="00303C6D"/>
    <w:rsid w:val="00303ED0"/>
    <w:rsid w:val="00304DAA"/>
    <w:rsid w:val="00305325"/>
    <w:rsid w:val="003056C1"/>
    <w:rsid w:val="00305EEA"/>
    <w:rsid w:val="0030630E"/>
    <w:rsid w:val="00306417"/>
    <w:rsid w:val="00307D75"/>
    <w:rsid w:val="003101D9"/>
    <w:rsid w:val="0031180C"/>
    <w:rsid w:val="00311F66"/>
    <w:rsid w:val="0031248C"/>
    <w:rsid w:val="00312BAD"/>
    <w:rsid w:val="00312C0A"/>
    <w:rsid w:val="00312F7A"/>
    <w:rsid w:val="00313506"/>
    <w:rsid w:val="0031398A"/>
    <w:rsid w:val="00313ECB"/>
    <w:rsid w:val="0031475E"/>
    <w:rsid w:val="003153DF"/>
    <w:rsid w:val="003157A1"/>
    <w:rsid w:val="003159C2"/>
    <w:rsid w:val="00316177"/>
    <w:rsid w:val="00316256"/>
    <w:rsid w:val="00316791"/>
    <w:rsid w:val="003167F7"/>
    <w:rsid w:val="00316D4D"/>
    <w:rsid w:val="0031745C"/>
    <w:rsid w:val="00317C92"/>
    <w:rsid w:val="0032008A"/>
    <w:rsid w:val="00320170"/>
    <w:rsid w:val="00320390"/>
    <w:rsid w:val="00320592"/>
    <w:rsid w:val="0032099C"/>
    <w:rsid w:val="00320E59"/>
    <w:rsid w:val="003212C0"/>
    <w:rsid w:val="00321559"/>
    <w:rsid w:val="00321668"/>
    <w:rsid w:val="003216E3"/>
    <w:rsid w:val="00322631"/>
    <w:rsid w:val="00322B9C"/>
    <w:rsid w:val="003230AE"/>
    <w:rsid w:val="00324E16"/>
    <w:rsid w:val="003253CF"/>
    <w:rsid w:val="00325BCB"/>
    <w:rsid w:val="003264A2"/>
    <w:rsid w:val="00326AD1"/>
    <w:rsid w:val="00326D6D"/>
    <w:rsid w:val="00326EF6"/>
    <w:rsid w:val="003276A2"/>
    <w:rsid w:val="0033094A"/>
    <w:rsid w:val="00330C1E"/>
    <w:rsid w:val="00330CF5"/>
    <w:rsid w:val="003316DE"/>
    <w:rsid w:val="00331D72"/>
    <w:rsid w:val="00332284"/>
    <w:rsid w:val="003324B6"/>
    <w:rsid w:val="00332EF5"/>
    <w:rsid w:val="0033336A"/>
    <w:rsid w:val="00333417"/>
    <w:rsid w:val="0033359A"/>
    <w:rsid w:val="003335C5"/>
    <w:rsid w:val="00333AA1"/>
    <w:rsid w:val="00333EF5"/>
    <w:rsid w:val="00334745"/>
    <w:rsid w:val="00334B28"/>
    <w:rsid w:val="003351A1"/>
    <w:rsid w:val="00335773"/>
    <w:rsid w:val="00335AA4"/>
    <w:rsid w:val="003363F4"/>
    <w:rsid w:val="003367CA"/>
    <w:rsid w:val="003368A4"/>
    <w:rsid w:val="00336FBD"/>
    <w:rsid w:val="00337AC7"/>
    <w:rsid w:val="00340230"/>
    <w:rsid w:val="00340249"/>
    <w:rsid w:val="0034031B"/>
    <w:rsid w:val="00340789"/>
    <w:rsid w:val="00340D18"/>
    <w:rsid w:val="00341098"/>
    <w:rsid w:val="0034151E"/>
    <w:rsid w:val="00342340"/>
    <w:rsid w:val="00342664"/>
    <w:rsid w:val="0034298E"/>
    <w:rsid w:val="00342CDC"/>
    <w:rsid w:val="0034315C"/>
    <w:rsid w:val="00343D3B"/>
    <w:rsid w:val="00344682"/>
    <w:rsid w:val="00344E71"/>
    <w:rsid w:val="0034506A"/>
    <w:rsid w:val="003451B7"/>
    <w:rsid w:val="0034523F"/>
    <w:rsid w:val="003453AD"/>
    <w:rsid w:val="00345B88"/>
    <w:rsid w:val="0034665B"/>
    <w:rsid w:val="00347263"/>
    <w:rsid w:val="00347685"/>
    <w:rsid w:val="003476F6"/>
    <w:rsid w:val="00347F80"/>
    <w:rsid w:val="0035090C"/>
    <w:rsid w:val="003509E9"/>
    <w:rsid w:val="00350C15"/>
    <w:rsid w:val="00351E50"/>
    <w:rsid w:val="00352301"/>
    <w:rsid w:val="003525EE"/>
    <w:rsid w:val="00352817"/>
    <w:rsid w:val="00352E6D"/>
    <w:rsid w:val="0035313F"/>
    <w:rsid w:val="0035332B"/>
    <w:rsid w:val="00353922"/>
    <w:rsid w:val="00354AC8"/>
    <w:rsid w:val="00355185"/>
    <w:rsid w:val="0035570F"/>
    <w:rsid w:val="00355EC9"/>
    <w:rsid w:val="0035612C"/>
    <w:rsid w:val="00357261"/>
    <w:rsid w:val="00357E19"/>
    <w:rsid w:val="00357F6C"/>
    <w:rsid w:val="00360987"/>
    <w:rsid w:val="003610E8"/>
    <w:rsid w:val="00361230"/>
    <w:rsid w:val="003612FE"/>
    <w:rsid w:val="0036175F"/>
    <w:rsid w:val="00361769"/>
    <w:rsid w:val="00361DA1"/>
    <w:rsid w:val="00361EF6"/>
    <w:rsid w:val="00362759"/>
    <w:rsid w:val="00363EB8"/>
    <w:rsid w:val="00363EF6"/>
    <w:rsid w:val="00363F46"/>
    <w:rsid w:val="0036442E"/>
    <w:rsid w:val="00364ACD"/>
    <w:rsid w:val="0036595D"/>
    <w:rsid w:val="00365F25"/>
    <w:rsid w:val="00366C3E"/>
    <w:rsid w:val="0036725F"/>
    <w:rsid w:val="00367291"/>
    <w:rsid w:val="003673C3"/>
    <w:rsid w:val="00367A97"/>
    <w:rsid w:val="003702C7"/>
    <w:rsid w:val="003705E4"/>
    <w:rsid w:val="00370632"/>
    <w:rsid w:val="003706B8"/>
    <w:rsid w:val="00370D21"/>
    <w:rsid w:val="00370E87"/>
    <w:rsid w:val="00370F76"/>
    <w:rsid w:val="0037166C"/>
    <w:rsid w:val="0037190C"/>
    <w:rsid w:val="00371A3F"/>
    <w:rsid w:val="00371AD1"/>
    <w:rsid w:val="00371B27"/>
    <w:rsid w:val="00371FDA"/>
    <w:rsid w:val="00372274"/>
    <w:rsid w:val="0037290B"/>
    <w:rsid w:val="00372E80"/>
    <w:rsid w:val="00373007"/>
    <w:rsid w:val="00373158"/>
    <w:rsid w:val="003732AE"/>
    <w:rsid w:val="003734C3"/>
    <w:rsid w:val="003736E8"/>
    <w:rsid w:val="0037443D"/>
    <w:rsid w:val="00374470"/>
    <w:rsid w:val="00374740"/>
    <w:rsid w:val="003748BB"/>
    <w:rsid w:val="00374920"/>
    <w:rsid w:val="00374DB8"/>
    <w:rsid w:val="003750F9"/>
    <w:rsid w:val="003751A7"/>
    <w:rsid w:val="003754ED"/>
    <w:rsid w:val="003758D9"/>
    <w:rsid w:val="00376056"/>
    <w:rsid w:val="0037635B"/>
    <w:rsid w:val="003768AD"/>
    <w:rsid w:val="00376DA6"/>
    <w:rsid w:val="00376E16"/>
    <w:rsid w:val="00377835"/>
    <w:rsid w:val="00377877"/>
    <w:rsid w:val="00380274"/>
    <w:rsid w:val="0038030E"/>
    <w:rsid w:val="00380A26"/>
    <w:rsid w:val="00380BC9"/>
    <w:rsid w:val="00380C4F"/>
    <w:rsid w:val="00381BCA"/>
    <w:rsid w:val="00381ED6"/>
    <w:rsid w:val="00381FE0"/>
    <w:rsid w:val="003820D1"/>
    <w:rsid w:val="00382E14"/>
    <w:rsid w:val="00382E42"/>
    <w:rsid w:val="003834B6"/>
    <w:rsid w:val="00383BF2"/>
    <w:rsid w:val="00383E9D"/>
    <w:rsid w:val="0038423A"/>
    <w:rsid w:val="0038472A"/>
    <w:rsid w:val="0038475D"/>
    <w:rsid w:val="00384844"/>
    <w:rsid w:val="00384DDF"/>
    <w:rsid w:val="00384F28"/>
    <w:rsid w:val="00385A38"/>
    <w:rsid w:val="00386982"/>
    <w:rsid w:val="00386D81"/>
    <w:rsid w:val="0038747E"/>
    <w:rsid w:val="0038748E"/>
    <w:rsid w:val="00387635"/>
    <w:rsid w:val="00387898"/>
    <w:rsid w:val="0039012B"/>
    <w:rsid w:val="0039053B"/>
    <w:rsid w:val="00390670"/>
    <w:rsid w:val="00390785"/>
    <w:rsid w:val="00390B0F"/>
    <w:rsid w:val="00390C9C"/>
    <w:rsid w:val="00390E16"/>
    <w:rsid w:val="00391692"/>
    <w:rsid w:val="00391804"/>
    <w:rsid w:val="00391B17"/>
    <w:rsid w:val="00391EF1"/>
    <w:rsid w:val="00391EF2"/>
    <w:rsid w:val="00392889"/>
    <w:rsid w:val="00392C01"/>
    <w:rsid w:val="00392DF9"/>
    <w:rsid w:val="00393604"/>
    <w:rsid w:val="00393F75"/>
    <w:rsid w:val="003940D5"/>
    <w:rsid w:val="0039544F"/>
    <w:rsid w:val="00395F14"/>
    <w:rsid w:val="003968A7"/>
    <w:rsid w:val="00397412"/>
    <w:rsid w:val="00397B0D"/>
    <w:rsid w:val="00397EC5"/>
    <w:rsid w:val="003A01E8"/>
    <w:rsid w:val="003A096F"/>
    <w:rsid w:val="003A1106"/>
    <w:rsid w:val="003A1173"/>
    <w:rsid w:val="003A1270"/>
    <w:rsid w:val="003A1B5D"/>
    <w:rsid w:val="003A2754"/>
    <w:rsid w:val="003A2F56"/>
    <w:rsid w:val="003A3A68"/>
    <w:rsid w:val="003A3F3C"/>
    <w:rsid w:val="003A6604"/>
    <w:rsid w:val="003A67B2"/>
    <w:rsid w:val="003A6A44"/>
    <w:rsid w:val="003A7055"/>
    <w:rsid w:val="003A726F"/>
    <w:rsid w:val="003B0331"/>
    <w:rsid w:val="003B1166"/>
    <w:rsid w:val="003B11CA"/>
    <w:rsid w:val="003B144D"/>
    <w:rsid w:val="003B16A8"/>
    <w:rsid w:val="003B1A2E"/>
    <w:rsid w:val="003B1AA3"/>
    <w:rsid w:val="003B1B22"/>
    <w:rsid w:val="003B1E2A"/>
    <w:rsid w:val="003B23E9"/>
    <w:rsid w:val="003B2B79"/>
    <w:rsid w:val="003B322B"/>
    <w:rsid w:val="003B324D"/>
    <w:rsid w:val="003B3333"/>
    <w:rsid w:val="003B4455"/>
    <w:rsid w:val="003B469B"/>
    <w:rsid w:val="003B4968"/>
    <w:rsid w:val="003B4CA2"/>
    <w:rsid w:val="003B55D6"/>
    <w:rsid w:val="003B5EF2"/>
    <w:rsid w:val="003B5FE0"/>
    <w:rsid w:val="003B6130"/>
    <w:rsid w:val="003B66C6"/>
    <w:rsid w:val="003B6A64"/>
    <w:rsid w:val="003B7163"/>
    <w:rsid w:val="003B74F1"/>
    <w:rsid w:val="003B7B37"/>
    <w:rsid w:val="003C0549"/>
    <w:rsid w:val="003C0BE8"/>
    <w:rsid w:val="003C100F"/>
    <w:rsid w:val="003C1017"/>
    <w:rsid w:val="003C1112"/>
    <w:rsid w:val="003C14CC"/>
    <w:rsid w:val="003C1589"/>
    <w:rsid w:val="003C16B9"/>
    <w:rsid w:val="003C17E1"/>
    <w:rsid w:val="003C1D46"/>
    <w:rsid w:val="003C1DB6"/>
    <w:rsid w:val="003C2043"/>
    <w:rsid w:val="003C206D"/>
    <w:rsid w:val="003C24E8"/>
    <w:rsid w:val="003C251A"/>
    <w:rsid w:val="003C2B2E"/>
    <w:rsid w:val="003C2EE1"/>
    <w:rsid w:val="003C3087"/>
    <w:rsid w:val="003C3290"/>
    <w:rsid w:val="003C3549"/>
    <w:rsid w:val="003C36B7"/>
    <w:rsid w:val="003C394C"/>
    <w:rsid w:val="003C3D40"/>
    <w:rsid w:val="003C43F8"/>
    <w:rsid w:val="003C4442"/>
    <w:rsid w:val="003C446D"/>
    <w:rsid w:val="003C45C5"/>
    <w:rsid w:val="003C51D5"/>
    <w:rsid w:val="003C55AA"/>
    <w:rsid w:val="003C5E54"/>
    <w:rsid w:val="003C630F"/>
    <w:rsid w:val="003C6458"/>
    <w:rsid w:val="003C6D12"/>
    <w:rsid w:val="003C6E65"/>
    <w:rsid w:val="003C6E82"/>
    <w:rsid w:val="003C7BAB"/>
    <w:rsid w:val="003D0017"/>
    <w:rsid w:val="003D04AE"/>
    <w:rsid w:val="003D10CC"/>
    <w:rsid w:val="003D1679"/>
    <w:rsid w:val="003D1D12"/>
    <w:rsid w:val="003D2B32"/>
    <w:rsid w:val="003D2E72"/>
    <w:rsid w:val="003D35BC"/>
    <w:rsid w:val="003D3800"/>
    <w:rsid w:val="003D3B7E"/>
    <w:rsid w:val="003D4063"/>
    <w:rsid w:val="003D496F"/>
    <w:rsid w:val="003D4BD2"/>
    <w:rsid w:val="003D4D20"/>
    <w:rsid w:val="003D5073"/>
    <w:rsid w:val="003D579B"/>
    <w:rsid w:val="003D5F14"/>
    <w:rsid w:val="003D6960"/>
    <w:rsid w:val="003D6D02"/>
    <w:rsid w:val="003D703E"/>
    <w:rsid w:val="003D709D"/>
    <w:rsid w:val="003D727B"/>
    <w:rsid w:val="003D7317"/>
    <w:rsid w:val="003D77B7"/>
    <w:rsid w:val="003E07EB"/>
    <w:rsid w:val="003E0FE3"/>
    <w:rsid w:val="003E1526"/>
    <w:rsid w:val="003E1CB0"/>
    <w:rsid w:val="003E1F35"/>
    <w:rsid w:val="003E2474"/>
    <w:rsid w:val="003E25B0"/>
    <w:rsid w:val="003E265B"/>
    <w:rsid w:val="003E352D"/>
    <w:rsid w:val="003E3650"/>
    <w:rsid w:val="003E3BA4"/>
    <w:rsid w:val="003E512E"/>
    <w:rsid w:val="003E5620"/>
    <w:rsid w:val="003E5847"/>
    <w:rsid w:val="003E6782"/>
    <w:rsid w:val="003E6935"/>
    <w:rsid w:val="003E6D0C"/>
    <w:rsid w:val="003E6D72"/>
    <w:rsid w:val="003E6F0E"/>
    <w:rsid w:val="003E6F7F"/>
    <w:rsid w:val="003E71CA"/>
    <w:rsid w:val="003E72DD"/>
    <w:rsid w:val="003E7BBA"/>
    <w:rsid w:val="003E7E84"/>
    <w:rsid w:val="003F05D1"/>
    <w:rsid w:val="003F1061"/>
    <w:rsid w:val="003F15FE"/>
    <w:rsid w:val="003F185B"/>
    <w:rsid w:val="003F2473"/>
    <w:rsid w:val="003F26DE"/>
    <w:rsid w:val="003F2C87"/>
    <w:rsid w:val="003F2CF5"/>
    <w:rsid w:val="003F3031"/>
    <w:rsid w:val="003F33A2"/>
    <w:rsid w:val="003F3BEB"/>
    <w:rsid w:val="003F3D98"/>
    <w:rsid w:val="003F5692"/>
    <w:rsid w:val="003F5B13"/>
    <w:rsid w:val="003F5D0E"/>
    <w:rsid w:val="003F5DFC"/>
    <w:rsid w:val="003F62D4"/>
    <w:rsid w:val="003F6924"/>
    <w:rsid w:val="003F7C39"/>
    <w:rsid w:val="003F7DB0"/>
    <w:rsid w:val="00400416"/>
    <w:rsid w:val="004005AE"/>
    <w:rsid w:val="00400886"/>
    <w:rsid w:val="00400D3A"/>
    <w:rsid w:val="0040149D"/>
    <w:rsid w:val="004017F5"/>
    <w:rsid w:val="00401815"/>
    <w:rsid w:val="00401925"/>
    <w:rsid w:val="00401F35"/>
    <w:rsid w:val="004021E3"/>
    <w:rsid w:val="004021E7"/>
    <w:rsid w:val="004023B1"/>
    <w:rsid w:val="00402A19"/>
    <w:rsid w:val="00402C13"/>
    <w:rsid w:val="004030C9"/>
    <w:rsid w:val="0040448C"/>
    <w:rsid w:val="004045B6"/>
    <w:rsid w:val="00404D72"/>
    <w:rsid w:val="004059C5"/>
    <w:rsid w:val="00405AA6"/>
    <w:rsid w:val="00405C94"/>
    <w:rsid w:val="004062E4"/>
    <w:rsid w:val="004064E0"/>
    <w:rsid w:val="00406545"/>
    <w:rsid w:val="00406DAB"/>
    <w:rsid w:val="0041059E"/>
    <w:rsid w:val="004105AF"/>
    <w:rsid w:val="00410F13"/>
    <w:rsid w:val="00411080"/>
    <w:rsid w:val="00411177"/>
    <w:rsid w:val="00411D32"/>
    <w:rsid w:val="00412C3D"/>
    <w:rsid w:val="00412D75"/>
    <w:rsid w:val="004138A6"/>
    <w:rsid w:val="00413A0A"/>
    <w:rsid w:val="00413CC5"/>
    <w:rsid w:val="0041450A"/>
    <w:rsid w:val="00414865"/>
    <w:rsid w:val="00414905"/>
    <w:rsid w:val="00414915"/>
    <w:rsid w:val="00414CEC"/>
    <w:rsid w:val="00414F88"/>
    <w:rsid w:val="0041549C"/>
    <w:rsid w:val="004162AC"/>
    <w:rsid w:val="00416535"/>
    <w:rsid w:val="00416671"/>
    <w:rsid w:val="00416800"/>
    <w:rsid w:val="0041756D"/>
    <w:rsid w:val="00417BF0"/>
    <w:rsid w:val="00417C8C"/>
    <w:rsid w:val="00420584"/>
    <w:rsid w:val="00420AC5"/>
    <w:rsid w:val="00420B38"/>
    <w:rsid w:val="00420C3F"/>
    <w:rsid w:val="00420E0F"/>
    <w:rsid w:val="004219F9"/>
    <w:rsid w:val="00421C6E"/>
    <w:rsid w:val="004220F9"/>
    <w:rsid w:val="00422BA2"/>
    <w:rsid w:val="00423D60"/>
    <w:rsid w:val="00423E33"/>
    <w:rsid w:val="00424043"/>
    <w:rsid w:val="004242D6"/>
    <w:rsid w:val="004246E1"/>
    <w:rsid w:val="00425167"/>
    <w:rsid w:val="00425279"/>
    <w:rsid w:val="004256E5"/>
    <w:rsid w:val="0042594B"/>
    <w:rsid w:val="00425958"/>
    <w:rsid w:val="00426123"/>
    <w:rsid w:val="0042621A"/>
    <w:rsid w:val="004269A1"/>
    <w:rsid w:val="004270F9"/>
    <w:rsid w:val="00427446"/>
    <w:rsid w:val="0042764C"/>
    <w:rsid w:val="004279D9"/>
    <w:rsid w:val="00427BF7"/>
    <w:rsid w:val="004301E2"/>
    <w:rsid w:val="0043029B"/>
    <w:rsid w:val="004306E9"/>
    <w:rsid w:val="004308AE"/>
    <w:rsid w:val="004311EB"/>
    <w:rsid w:val="00431250"/>
    <w:rsid w:val="0043132B"/>
    <w:rsid w:val="00431548"/>
    <w:rsid w:val="0043191F"/>
    <w:rsid w:val="004319DF"/>
    <w:rsid w:val="004319F2"/>
    <w:rsid w:val="00431A64"/>
    <w:rsid w:val="00431B13"/>
    <w:rsid w:val="004323BC"/>
    <w:rsid w:val="004324C2"/>
    <w:rsid w:val="00432542"/>
    <w:rsid w:val="00432D12"/>
    <w:rsid w:val="00432F07"/>
    <w:rsid w:val="00433161"/>
    <w:rsid w:val="00433281"/>
    <w:rsid w:val="0043348F"/>
    <w:rsid w:val="004337A8"/>
    <w:rsid w:val="00433816"/>
    <w:rsid w:val="00433C49"/>
    <w:rsid w:val="00433D39"/>
    <w:rsid w:val="00433D50"/>
    <w:rsid w:val="00434B4D"/>
    <w:rsid w:val="00435377"/>
    <w:rsid w:val="004353BE"/>
    <w:rsid w:val="004356C5"/>
    <w:rsid w:val="0043578F"/>
    <w:rsid w:val="00435B69"/>
    <w:rsid w:val="00435DBB"/>
    <w:rsid w:val="00436029"/>
    <w:rsid w:val="00436108"/>
    <w:rsid w:val="00436FF0"/>
    <w:rsid w:val="00437F9F"/>
    <w:rsid w:val="00440018"/>
    <w:rsid w:val="00440071"/>
    <w:rsid w:val="00440388"/>
    <w:rsid w:val="004404A0"/>
    <w:rsid w:val="00441167"/>
    <w:rsid w:val="004434F0"/>
    <w:rsid w:val="00444F4F"/>
    <w:rsid w:val="004455AD"/>
    <w:rsid w:val="004457F8"/>
    <w:rsid w:val="00446C50"/>
    <w:rsid w:val="00447980"/>
    <w:rsid w:val="0045002C"/>
    <w:rsid w:val="0045021F"/>
    <w:rsid w:val="00450339"/>
    <w:rsid w:val="004507AA"/>
    <w:rsid w:val="00450BA5"/>
    <w:rsid w:val="0045115C"/>
    <w:rsid w:val="00451474"/>
    <w:rsid w:val="004515A8"/>
    <w:rsid w:val="004517E1"/>
    <w:rsid w:val="00451E9F"/>
    <w:rsid w:val="00452B23"/>
    <w:rsid w:val="00452F84"/>
    <w:rsid w:val="0045315F"/>
    <w:rsid w:val="004531CE"/>
    <w:rsid w:val="0045326B"/>
    <w:rsid w:val="00453861"/>
    <w:rsid w:val="00453FF1"/>
    <w:rsid w:val="004544D8"/>
    <w:rsid w:val="00454715"/>
    <w:rsid w:val="0045496D"/>
    <w:rsid w:val="0045609A"/>
    <w:rsid w:val="004562C0"/>
    <w:rsid w:val="00456C76"/>
    <w:rsid w:val="0045726B"/>
    <w:rsid w:val="004579EE"/>
    <w:rsid w:val="00460207"/>
    <w:rsid w:val="004607EB"/>
    <w:rsid w:val="0046094A"/>
    <w:rsid w:val="00460F4B"/>
    <w:rsid w:val="004615AE"/>
    <w:rsid w:val="00462959"/>
    <w:rsid w:val="0046346F"/>
    <w:rsid w:val="00463829"/>
    <w:rsid w:val="004646C8"/>
    <w:rsid w:val="00464DB3"/>
    <w:rsid w:val="00464EB2"/>
    <w:rsid w:val="00465F76"/>
    <w:rsid w:val="004661AF"/>
    <w:rsid w:val="00466491"/>
    <w:rsid w:val="004672A8"/>
    <w:rsid w:val="00467816"/>
    <w:rsid w:val="00470612"/>
    <w:rsid w:val="00471194"/>
    <w:rsid w:val="00471473"/>
    <w:rsid w:val="004719D2"/>
    <w:rsid w:val="00471FB4"/>
    <w:rsid w:val="0047200F"/>
    <w:rsid w:val="0047269C"/>
    <w:rsid w:val="00472BE9"/>
    <w:rsid w:val="0047335E"/>
    <w:rsid w:val="00474231"/>
    <w:rsid w:val="004742ED"/>
    <w:rsid w:val="0047445D"/>
    <w:rsid w:val="00474ECE"/>
    <w:rsid w:val="00475B5F"/>
    <w:rsid w:val="004760D1"/>
    <w:rsid w:val="00477228"/>
    <w:rsid w:val="004776C3"/>
    <w:rsid w:val="004800F4"/>
    <w:rsid w:val="00480510"/>
    <w:rsid w:val="00480524"/>
    <w:rsid w:val="0048067E"/>
    <w:rsid w:val="00480BC0"/>
    <w:rsid w:val="00480C0D"/>
    <w:rsid w:val="00481267"/>
    <w:rsid w:val="0048163C"/>
    <w:rsid w:val="00481918"/>
    <w:rsid w:val="004821B5"/>
    <w:rsid w:val="004829DC"/>
    <w:rsid w:val="00482F03"/>
    <w:rsid w:val="00483C60"/>
    <w:rsid w:val="00483C91"/>
    <w:rsid w:val="00483D5F"/>
    <w:rsid w:val="00483E19"/>
    <w:rsid w:val="00484047"/>
    <w:rsid w:val="00484582"/>
    <w:rsid w:val="004846CB"/>
    <w:rsid w:val="00484B92"/>
    <w:rsid w:val="00484F1D"/>
    <w:rsid w:val="00485F12"/>
    <w:rsid w:val="00486360"/>
    <w:rsid w:val="00486B44"/>
    <w:rsid w:val="00486BD2"/>
    <w:rsid w:val="004874E4"/>
    <w:rsid w:val="00487710"/>
    <w:rsid w:val="00490695"/>
    <w:rsid w:val="0049085E"/>
    <w:rsid w:val="00490FA5"/>
    <w:rsid w:val="004915D2"/>
    <w:rsid w:val="00491759"/>
    <w:rsid w:val="00491969"/>
    <w:rsid w:val="00492FA3"/>
    <w:rsid w:val="004943C8"/>
    <w:rsid w:val="004946AC"/>
    <w:rsid w:val="00494C27"/>
    <w:rsid w:val="004953AD"/>
    <w:rsid w:val="00495857"/>
    <w:rsid w:val="00495B06"/>
    <w:rsid w:val="00496A96"/>
    <w:rsid w:val="00497B0E"/>
    <w:rsid w:val="00497EE6"/>
    <w:rsid w:val="004A06B3"/>
    <w:rsid w:val="004A153A"/>
    <w:rsid w:val="004A162F"/>
    <w:rsid w:val="004A22ED"/>
    <w:rsid w:val="004A2687"/>
    <w:rsid w:val="004A2A6B"/>
    <w:rsid w:val="004A2E6B"/>
    <w:rsid w:val="004A3C74"/>
    <w:rsid w:val="004A4020"/>
    <w:rsid w:val="004A40ED"/>
    <w:rsid w:val="004A46B5"/>
    <w:rsid w:val="004A54C7"/>
    <w:rsid w:val="004A5A3C"/>
    <w:rsid w:val="004A6064"/>
    <w:rsid w:val="004A7140"/>
    <w:rsid w:val="004A7641"/>
    <w:rsid w:val="004A7678"/>
    <w:rsid w:val="004A77D8"/>
    <w:rsid w:val="004A7FD2"/>
    <w:rsid w:val="004B06A7"/>
    <w:rsid w:val="004B114D"/>
    <w:rsid w:val="004B1FAC"/>
    <w:rsid w:val="004B2549"/>
    <w:rsid w:val="004B3083"/>
    <w:rsid w:val="004B35B3"/>
    <w:rsid w:val="004B385D"/>
    <w:rsid w:val="004B398A"/>
    <w:rsid w:val="004B3C4C"/>
    <w:rsid w:val="004B4039"/>
    <w:rsid w:val="004B4681"/>
    <w:rsid w:val="004B4745"/>
    <w:rsid w:val="004B487A"/>
    <w:rsid w:val="004B5181"/>
    <w:rsid w:val="004B545B"/>
    <w:rsid w:val="004B548A"/>
    <w:rsid w:val="004B5D10"/>
    <w:rsid w:val="004B6587"/>
    <w:rsid w:val="004B691F"/>
    <w:rsid w:val="004B720C"/>
    <w:rsid w:val="004B721C"/>
    <w:rsid w:val="004B72CD"/>
    <w:rsid w:val="004B7325"/>
    <w:rsid w:val="004B7443"/>
    <w:rsid w:val="004B7553"/>
    <w:rsid w:val="004B79A7"/>
    <w:rsid w:val="004B7BEF"/>
    <w:rsid w:val="004C0C86"/>
    <w:rsid w:val="004C1F84"/>
    <w:rsid w:val="004C2233"/>
    <w:rsid w:val="004C2C45"/>
    <w:rsid w:val="004C3086"/>
    <w:rsid w:val="004C33FC"/>
    <w:rsid w:val="004C3589"/>
    <w:rsid w:val="004C35F4"/>
    <w:rsid w:val="004C3F8C"/>
    <w:rsid w:val="004C4AF8"/>
    <w:rsid w:val="004C4C70"/>
    <w:rsid w:val="004C4E4C"/>
    <w:rsid w:val="004C5216"/>
    <w:rsid w:val="004C536B"/>
    <w:rsid w:val="004C55E7"/>
    <w:rsid w:val="004C5761"/>
    <w:rsid w:val="004C5848"/>
    <w:rsid w:val="004C5BC4"/>
    <w:rsid w:val="004C5E2A"/>
    <w:rsid w:val="004C5F80"/>
    <w:rsid w:val="004C68DE"/>
    <w:rsid w:val="004C694B"/>
    <w:rsid w:val="004C7E12"/>
    <w:rsid w:val="004D03DA"/>
    <w:rsid w:val="004D04D8"/>
    <w:rsid w:val="004D0872"/>
    <w:rsid w:val="004D09E5"/>
    <w:rsid w:val="004D0A5B"/>
    <w:rsid w:val="004D0C13"/>
    <w:rsid w:val="004D15C2"/>
    <w:rsid w:val="004D1EF2"/>
    <w:rsid w:val="004D3820"/>
    <w:rsid w:val="004D3875"/>
    <w:rsid w:val="004D38EA"/>
    <w:rsid w:val="004D5A08"/>
    <w:rsid w:val="004D5ACF"/>
    <w:rsid w:val="004D5FB0"/>
    <w:rsid w:val="004D66AE"/>
    <w:rsid w:val="004D6C76"/>
    <w:rsid w:val="004D744B"/>
    <w:rsid w:val="004D77E1"/>
    <w:rsid w:val="004D7D4F"/>
    <w:rsid w:val="004E0011"/>
    <w:rsid w:val="004E04F0"/>
    <w:rsid w:val="004E1577"/>
    <w:rsid w:val="004E196C"/>
    <w:rsid w:val="004E2F05"/>
    <w:rsid w:val="004E30C9"/>
    <w:rsid w:val="004E3226"/>
    <w:rsid w:val="004E33B0"/>
    <w:rsid w:val="004E4118"/>
    <w:rsid w:val="004E46AB"/>
    <w:rsid w:val="004E47A7"/>
    <w:rsid w:val="004E4A74"/>
    <w:rsid w:val="004E55BF"/>
    <w:rsid w:val="004E5E72"/>
    <w:rsid w:val="004E61A0"/>
    <w:rsid w:val="004E61F4"/>
    <w:rsid w:val="004E65F3"/>
    <w:rsid w:val="004E76DB"/>
    <w:rsid w:val="004E79C1"/>
    <w:rsid w:val="004E7DED"/>
    <w:rsid w:val="004F00CF"/>
    <w:rsid w:val="004F026B"/>
    <w:rsid w:val="004F0FB7"/>
    <w:rsid w:val="004F1133"/>
    <w:rsid w:val="004F1B8A"/>
    <w:rsid w:val="004F1CB3"/>
    <w:rsid w:val="004F21CF"/>
    <w:rsid w:val="004F2815"/>
    <w:rsid w:val="004F32FA"/>
    <w:rsid w:val="004F3571"/>
    <w:rsid w:val="004F3EDE"/>
    <w:rsid w:val="004F493B"/>
    <w:rsid w:val="004F4998"/>
    <w:rsid w:val="004F5918"/>
    <w:rsid w:val="004F7652"/>
    <w:rsid w:val="005008C3"/>
    <w:rsid w:val="00500DCA"/>
    <w:rsid w:val="0050115C"/>
    <w:rsid w:val="005012C1"/>
    <w:rsid w:val="005017F6"/>
    <w:rsid w:val="00501852"/>
    <w:rsid w:val="005020FC"/>
    <w:rsid w:val="0050237E"/>
    <w:rsid w:val="00502F92"/>
    <w:rsid w:val="00503714"/>
    <w:rsid w:val="00503C6A"/>
    <w:rsid w:val="0050421C"/>
    <w:rsid w:val="00504940"/>
    <w:rsid w:val="00504B9C"/>
    <w:rsid w:val="00505062"/>
    <w:rsid w:val="00505808"/>
    <w:rsid w:val="00505CFC"/>
    <w:rsid w:val="0050607A"/>
    <w:rsid w:val="00506504"/>
    <w:rsid w:val="00506EE2"/>
    <w:rsid w:val="0050789B"/>
    <w:rsid w:val="00510328"/>
    <w:rsid w:val="00510384"/>
    <w:rsid w:val="00511886"/>
    <w:rsid w:val="00511BAF"/>
    <w:rsid w:val="00512301"/>
    <w:rsid w:val="00512583"/>
    <w:rsid w:val="00512ADC"/>
    <w:rsid w:val="0051315B"/>
    <w:rsid w:val="0051412B"/>
    <w:rsid w:val="00514B0C"/>
    <w:rsid w:val="00514B5F"/>
    <w:rsid w:val="00514F2F"/>
    <w:rsid w:val="00514F58"/>
    <w:rsid w:val="0051516E"/>
    <w:rsid w:val="005168F0"/>
    <w:rsid w:val="00516B3E"/>
    <w:rsid w:val="00516F3A"/>
    <w:rsid w:val="00517DC5"/>
    <w:rsid w:val="00517F0B"/>
    <w:rsid w:val="00520346"/>
    <w:rsid w:val="005203BB"/>
    <w:rsid w:val="005208C6"/>
    <w:rsid w:val="00521701"/>
    <w:rsid w:val="00521C6C"/>
    <w:rsid w:val="00521E33"/>
    <w:rsid w:val="005220D1"/>
    <w:rsid w:val="005224A2"/>
    <w:rsid w:val="00522F95"/>
    <w:rsid w:val="00523108"/>
    <w:rsid w:val="005240ED"/>
    <w:rsid w:val="0052462B"/>
    <w:rsid w:val="005248BA"/>
    <w:rsid w:val="00524C94"/>
    <w:rsid w:val="005253EA"/>
    <w:rsid w:val="005263E4"/>
    <w:rsid w:val="0052687B"/>
    <w:rsid w:val="00527008"/>
    <w:rsid w:val="00527159"/>
    <w:rsid w:val="00527218"/>
    <w:rsid w:val="0052734C"/>
    <w:rsid w:val="0052769B"/>
    <w:rsid w:val="0052770B"/>
    <w:rsid w:val="005277F0"/>
    <w:rsid w:val="0053036B"/>
    <w:rsid w:val="00530451"/>
    <w:rsid w:val="005305F5"/>
    <w:rsid w:val="00530690"/>
    <w:rsid w:val="00530EA5"/>
    <w:rsid w:val="00530FD4"/>
    <w:rsid w:val="005310C7"/>
    <w:rsid w:val="005315A4"/>
    <w:rsid w:val="00531639"/>
    <w:rsid w:val="005316E8"/>
    <w:rsid w:val="0053185C"/>
    <w:rsid w:val="00531AF2"/>
    <w:rsid w:val="005323D8"/>
    <w:rsid w:val="00532456"/>
    <w:rsid w:val="0053355A"/>
    <w:rsid w:val="005336A4"/>
    <w:rsid w:val="00533CE5"/>
    <w:rsid w:val="00534050"/>
    <w:rsid w:val="0053407B"/>
    <w:rsid w:val="0053427A"/>
    <w:rsid w:val="00534E17"/>
    <w:rsid w:val="00534F17"/>
    <w:rsid w:val="00534FE4"/>
    <w:rsid w:val="00535D83"/>
    <w:rsid w:val="00536437"/>
    <w:rsid w:val="00536480"/>
    <w:rsid w:val="00537308"/>
    <w:rsid w:val="005409FA"/>
    <w:rsid w:val="00540FF7"/>
    <w:rsid w:val="00541867"/>
    <w:rsid w:val="00541945"/>
    <w:rsid w:val="005427BC"/>
    <w:rsid w:val="0054386F"/>
    <w:rsid w:val="00543F53"/>
    <w:rsid w:val="00544B74"/>
    <w:rsid w:val="005450D2"/>
    <w:rsid w:val="00545820"/>
    <w:rsid w:val="00545B57"/>
    <w:rsid w:val="005463C6"/>
    <w:rsid w:val="0054657E"/>
    <w:rsid w:val="00546D1B"/>
    <w:rsid w:val="0054706C"/>
    <w:rsid w:val="00547B27"/>
    <w:rsid w:val="00547D11"/>
    <w:rsid w:val="005500D4"/>
    <w:rsid w:val="00550654"/>
    <w:rsid w:val="005507C1"/>
    <w:rsid w:val="00550953"/>
    <w:rsid w:val="00550CBA"/>
    <w:rsid w:val="005517A3"/>
    <w:rsid w:val="005519F9"/>
    <w:rsid w:val="00551F02"/>
    <w:rsid w:val="00552027"/>
    <w:rsid w:val="00552DE3"/>
    <w:rsid w:val="00553DEF"/>
    <w:rsid w:val="00554D1D"/>
    <w:rsid w:val="00554E38"/>
    <w:rsid w:val="00555137"/>
    <w:rsid w:val="0055546E"/>
    <w:rsid w:val="00555B9D"/>
    <w:rsid w:val="00555CF4"/>
    <w:rsid w:val="00556C30"/>
    <w:rsid w:val="00557E78"/>
    <w:rsid w:val="00560298"/>
    <w:rsid w:val="0056060F"/>
    <w:rsid w:val="00561094"/>
    <w:rsid w:val="005610D5"/>
    <w:rsid w:val="0056125F"/>
    <w:rsid w:val="005617BC"/>
    <w:rsid w:val="005618C4"/>
    <w:rsid w:val="00561A71"/>
    <w:rsid w:val="00562CB9"/>
    <w:rsid w:val="00562DCE"/>
    <w:rsid w:val="00563FC2"/>
    <w:rsid w:val="005647A5"/>
    <w:rsid w:val="00564AC9"/>
    <w:rsid w:val="00564B87"/>
    <w:rsid w:val="00564E2C"/>
    <w:rsid w:val="0056514E"/>
    <w:rsid w:val="00565615"/>
    <w:rsid w:val="005657B8"/>
    <w:rsid w:val="00565C73"/>
    <w:rsid w:val="00565DC3"/>
    <w:rsid w:val="005665AF"/>
    <w:rsid w:val="00566893"/>
    <w:rsid w:val="005669A1"/>
    <w:rsid w:val="00566AA3"/>
    <w:rsid w:val="00566CB3"/>
    <w:rsid w:val="00566CB8"/>
    <w:rsid w:val="00567039"/>
    <w:rsid w:val="005670D0"/>
    <w:rsid w:val="00567A23"/>
    <w:rsid w:val="0057012B"/>
    <w:rsid w:val="005701DD"/>
    <w:rsid w:val="00570722"/>
    <w:rsid w:val="00570A4C"/>
    <w:rsid w:val="00570DE6"/>
    <w:rsid w:val="00570F94"/>
    <w:rsid w:val="0057155C"/>
    <w:rsid w:val="005715F6"/>
    <w:rsid w:val="0057298C"/>
    <w:rsid w:val="00572B60"/>
    <w:rsid w:val="00572C30"/>
    <w:rsid w:val="00573339"/>
    <w:rsid w:val="00573F4E"/>
    <w:rsid w:val="00574522"/>
    <w:rsid w:val="00574656"/>
    <w:rsid w:val="005746B5"/>
    <w:rsid w:val="00574B96"/>
    <w:rsid w:val="00574E8B"/>
    <w:rsid w:val="00574EB7"/>
    <w:rsid w:val="005755A6"/>
    <w:rsid w:val="0057644A"/>
    <w:rsid w:val="0057760A"/>
    <w:rsid w:val="005809EB"/>
    <w:rsid w:val="00581079"/>
    <w:rsid w:val="0058180D"/>
    <w:rsid w:val="00581C7D"/>
    <w:rsid w:val="00582310"/>
    <w:rsid w:val="00582E29"/>
    <w:rsid w:val="00583061"/>
    <w:rsid w:val="005830CD"/>
    <w:rsid w:val="0058314B"/>
    <w:rsid w:val="005840CD"/>
    <w:rsid w:val="00584374"/>
    <w:rsid w:val="005848AD"/>
    <w:rsid w:val="00585447"/>
    <w:rsid w:val="00585D5F"/>
    <w:rsid w:val="005860DD"/>
    <w:rsid w:val="00586332"/>
    <w:rsid w:val="0058637B"/>
    <w:rsid w:val="00586C3B"/>
    <w:rsid w:val="00587378"/>
    <w:rsid w:val="0058773B"/>
    <w:rsid w:val="0059190B"/>
    <w:rsid w:val="00591D0B"/>
    <w:rsid w:val="00591E61"/>
    <w:rsid w:val="005920E5"/>
    <w:rsid w:val="005921FF"/>
    <w:rsid w:val="005927E7"/>
    <w:rsid w:val="00592A84"/>
    <w:rsid w:val="00592AB1"/>
    <w:rsid w:val="00593033"/>
    <w:rsid w:val="0059385B"/>
    <w:rsid w:val="00594926"/>
    <w:rsid w:val="00594E52"/>
    <w:rsid w:val="00594E60"/>
    <w:rsid w:val="00594F4C"/>
    <w:rsid w:val="0059530D"/>
    <w:rsid w:val="005955C8"/>
    <w:rsid w:val="005955E7"/>
    <w:rsid w:val="00595914"/>
    <w:rsid w:val="00595FE1"/>
    <w:rsid w:val="005960B0"/>
    <w:rsid w:val="00596384"/>
    <w:rsid w:val="00596B30"/>
    <w:rsid w:val="00596C5C"/>
    <w:rsid w:val="0059776F"/>
    <w:rsid w:val="00597B54"/>
    <w:rsid w:val="00597C67"/>
    <w:rsid w:val="00597D03"/>
    <w:rsid w:val="00597FF1"/>
    <w:rsid w:val="005A0544"/>
    <w:rsid w:val="005A09BB"/>
    <w:rsid w:val="005A11A0"/>
    <w:rsid w:val="005A14E7"/>
    <w:rsid w:val="005A1689"/>
    <w:rsid w:val="005A2B55"/>
    <w:rsid w:val="005A2F7A"/>
    <w:rsid w:val="005A2F91"/>
    <w:rsid w:val="005A30E4"/>
    <w:rsid w:val="005A3200"/>
    <w:rsid w:val="005A36A5"/>
    <w:rsid w:val="005A38B2"/>
    <w:rsid w:val="005A48EB"/>
    <w:rsid w:val="005A4BF2"/>
    <w:rsid w:val="005A51D6"/>
    <w:rsid w:val="005A5630"/>
    <w:rsid w:val="005A58D8"/>
    <w:rsid w:val="005A5F2F"/>
    <w:rsid w:val="005A7F89"/>
    <w:rsid w:val="005B066E"/>
    <w:rsid w:val="005B0A43"/>
    <w:rsid w:val="005B0DD1"/>
    <w:rsid w:val="005B178A"/>
    <w:rsid w:val="005B1DAF"/>
    <w:rsid w:val="005B20F3"/>
    <w:rsid w:val="005B212F"/>
    <w:rsid w:val="005B2296"/>
    <w:rsid w:val="005B26A3"/>
    <w:rsid w:val="005B2EF4"/>
    <w:rsid w:val="005B3D74"/>
    <w:rsid w:val="005B3DA5"/>
    <w:rsid w:val="005B3E33"/>
    <w:rsid w:val="005B420D"/>
    <w:rsid w:val="005B43A0"/>
    <w:rsid w:val="005B4AF1"/>
    <w:rsid w:val="005B4C79"/>
    <w:rsid w:val="005B4ECC"/>
    <w:rsid w:val="005B522A"/>
    <w:rsid w:val="005B54CA"/>
    <w:rsid w:val="005B5B0E"/>
    <w:rsid w:val="005B68D3"/>
    <w:rsid w:val="005C0050"/>
    <w:rsid w:val="005C0098"/>
    <w:rsid w:val="005C088C"/>
    <w:rsid w:val="005C0B89"/>
    <w:rsid w:val="005C0EE4"/>
    <w:rsid w:val="005C16B1"/>
    <w:rsid w:val="005C1895"/>
    <w:rsid w:val="005C1BF4"/>
    <w:rsid w:val="005C1E78"/>
    <w:rsid w:val="005C273F"/>
    <w:rsid w:val="005C2923"/>
    <w:rsid w:val="005C2F87"/>
    <w:rsid w:val="005C33E5"/>
    <w:rsid w:val="005C3D79"/>
    <w:rsid w:val="005C4DF8"/>
    <w:rsid w:val="005C5091"/>
    <w:rsid w:val="005C57BF"/>
    <w:rsid w:val="005C5B6C"/>
    <w:rsid w:val="005C624C"/>
    <w:rsid w:val="005C67B8"/>
    <w:rsid w:val="005C6993"/>
    <w:rsid w:val="005C7E0D"/>
    <w:rsid w:val="005D0177"/>
    <w:rsid w:val="005D027E"/>
    <w:rsid w:val="005D0CD0"/>
    <w:rsid w:val="005D121B"/>
    <w:rsid w:val="005D2018"/>
    <w:rsid w:val="005D2694"/>
    <w:rsid w:val="005D31DE"/>
    <w:rsid w:val="005D486D"/>
    <w:rsid w:val="005D4A94"/>
    <w:rsid w:val="005D4C5E"/>
    <w:rsid w:val="005D5339"/>
    <w:rsid w:val="005D5B3D"/>
    <w:rsid w:val="005D5F65"/>
    <w:rsid w:val="005D6FB2"/>
    <w:rsid w:val="005D7095"/>
    <w:rsid w:val="005D7B03"/>
    <w:rsid w:val="005D7C6B"/>
    <w:rsid w:val="005D7D78"/>
    <w:rsid w:val="005E0152"/>
    <w:rsid w:val="005E0544"/>
    <w:rsid w:val="005E05CB"/>
    <w:rsid w:val="005E0C90"/>
    <w:rsid w:val="005E0D7F"/>
    <w:rsid w:val="005E1283"/>
    <w:rsid w:val="005E19EE"/>
    <w:rsid w:val="005E1E25"/>
    <w:rsid w:val="005E202B"/>
    <w:rsid w:val="005E239A"/>
    <w:rsid w:val="005E26DE"/>
    <w:rsid w:val="005E3856"/>
    <w:rsid w:val="005E3C39"/>
    <w:rsid w:val="005E3F1D"/>
    <w:rsid w:val="005E45B7"/>
    <w:rsid w:val="005E494A"/>
    <w:rsid w:val="005E4EE8"/>
    <w:rsid w:val="005E4FAD"/>
    <w:rsid w:val="005E643D"/>
    <w:rsid w:val="005E70B0"/>
    <w:rsid w:val="005E70FC"/>
    <w:rsid w:val="005E713F"/>
    <w:rsid w:val="005E7339"/>
    <w:rsid w:val="005E746A"/>
    <w:rsid w:val="005E76CF"/>
    <w:rsid w:val="005E7B5E"/>
    <w:rsid w:val="005F0114"/>
    <w:rsid w:val="005F041D"/>
    <w:rsid w:val="005F0633"/>
    <w:rsid w:val="005F0CF6"/>
    <w:rsid w:val="005F0E23"/>
    <w:rsid w:val="005F112B"/>
    <w:rsid w:val="005F1BEB"/>
    <w:rsid w:val="005F1ED1"/>
    <w:rsid w:val="005F284B"/>
    <w:rsid w:val="005F3112"/>
    <w:rsid w:val="005F356D"/>
    <w:rsid w:val="005F37FE"/>
    <w:rsid w:val="005F4104"/>
    <w:rsid w:val="005F42AC"/>
    <w:rsid w:val="005F4A1B"/>
    <w:rsid w:val="005F4DCE"/>
    <w:rsid w:val="005F5915"/>
    <w:rsid w:val="005F6160"/>
    <w:rsid w:val="005F6198"/>
    <w:rsid w:val="005F7445"/>
    <w:rsid w:val="005F74C0"/>
    <w:rsid w:val="00600259"/>
    <w:rsid w:val="006016B5"/>
    <w:rsid w:val="006017E7"/>
    <w:rsid w:val="00602804"/>
    <w:rsid w:val="006039D6"/>
    <w:rsid w:val="00603B78"/>
    <w:rsid w:val="00604397"/>
    <w:rsid w:val="006049B9"/>
    <w:rsid w:val="00604CF2"/>
    <w:rsid w:val="006059E9"/>
    <w:rsid w:val="00606179"/>
    <w:rsid w:val="006062AE"/>
    <w:rsid w:val="0060669B"/>
    <w:rsid w:val="006069CB"/>
    <w:rsid w:val="00606A31"/>
    <w:rsid w:val="00606DDD"/>
    <w:rsid w:val="006071E1"/>
    <w:rsid w:val="00610964"/>
    <w:rsid w:val="00610CC4"/>
    <w:rsid w:val="00610DBF"/>
    <w:rsid w:val="00612B1B"/>
    <w:rsid w:val="00612E0D"/>
    <w:rsid w:val="0061359D"/>
    <w:rsid w:val="006137CD"/>
    <w:rsid w:val="00613E47"/>
    <w:rsid w:val="00614038"/>
    <w:rsid w:val="0061440F"/>
    <w:rsid w:val="00614EEA"/>
    <w:rsid w:val="00615C09"/>
    <w:rsid w:val="006163BF"/>
    <w:rsid w:val="00616A48"/>
    <w:rsid w:val="006172D8"/>
    <w:rsid w:val="006177B3"/>
    <w:rsid w:val="0062019E"/>
    <w:rsid w:val="006202F8"/>
    <w:rsid w:val="006205EE"/>
    <w:rsid w:val="006215B5"/>
    <w:rsid w:val="006217ED"/>
    <w:rsid w:val="00621A4B"/>
    <w:rsid w:val="00621E5D"/>
    <w:rsid w:val="00623977"/>
    <w:rsid w:val="006240AB"/>
    <w:rsid w:val="006240D2"/>
    <w:rsid w:val="00624F0E"/>
    <w:rsid w:val="00625185"/>
    <w:rsid w:val="0062529B"/>
    <w:rsid w:val="006252A4"/>
    <w:rsid w:val="00625371"/>
    <w:rsid w:val="00626BA3"/>
    <w:rsid w:val="006270DA"/>
    <w:rsid w:val="006275D7"/>
    <w:rsid w:val="0062764A"/>
    <w:rsid w:val="00627727"/>
    <w:rsid w:val="00627C93"/>
    <w:rsid w:val="0063002C"/>
    <w:rsid w:val="00630182"/>
    <w:rsid w:val="006303CF"/>
    <w:rsid w:val="00630BED"/>
    <w:rsid w:val="0063127F"/>
    <w:rsid w:val="00631AB7"/>
    <w:rsid w:val="006322CC"/>
    <w:rsid w:val="006326A7"/>
    <w:rsid w:val="006329D0"/>
    <w:rsid w:val="00632F8D"/>
    <w:rsid w:val="006332E3"/>
    <w:rsid w:val="00633698"/>
    <w:rsid w:val="00634ABF"/>
    <w:rsid w:val="00634ADC"/>
    <w:rsid w:val="006357AB"/>
    <w:rsid w:val="00636C21"/>
    <w:rsid w:val="00636D57"/>
    <w:rsid w:val="00636E56"/>
    <w:rsid w:val="00636FE2"/>
    <w:rsid w:val="006370FA"/>
    <w:rsid w:val="00637669"/>
    <w:rsid w:val="00637E40"/>
    <w:rsid w:val="00637E4A"/>
    <w:rsid w:val="00640C05"/>
    <w:rsid w:val="006410AE"/>
    <w:rsid w:val="00641794"/>
    <w:rsid w:val="006419B9"/>
    <w:rsid w:val="00641AEA"/>
    <w:rsid w:val="006426C2"/>
    <w:rsid w:val="0064280D"/>
    <w:rsid w:val="0064286A"/>
    <w:rsid w:val="00642D4B"/>
    <w:rsid w:val="00642E1E"/>
    <w:rsid w:val="0064331E"/>
    <w:rsid w:val="006436E3"/>
    <w:rsid w:val="00643BA0"/>
    <w:rsid w:val="00644206"/>
    <w:rsid w:val="00644266"/>
    <w:rsid w:val="0064430F"/>
    <w:rsid w:val="00645C6C"/>
    <w:rsid w:val="006467CC"/>
    <w:rsid w:val="00646A8A"/>
    <w:rsid w:val="00647033"/>
    <w:rsid w:val="006471B3"/>
    <w:rsid w:val="006473AB"/>
    <w:rsid w:val="0065067F"/>
    <w:rsid w:val="00651635"/>
    <w:rsid w:val="00651876"/>
    <w:rsid w:val="00651E6C"/>
    <w:rsid w:val="006527C7"/>
    <w:rsid w:val="00652E83"/>
    <w:rsid w:val="00652FFE"/>
    <w:rsid w:val="0065385F"/>
    <w:rsid w:val="00653C84"/>
    <w:rsid w:val="00653E4D"/>
    <w:rsid w:val="00654F8B"/>
    <w:rsid w:val="00655374"/>
    <w:rsid w:val="00655419"/>
    <w:rsid w:val="00655844"/>
    <w:rsid w:val="006562A2"/>
    <w:rsid w:val="00656591"/>
    <w:rsid w:val="0065663A"/>
    <w:rsid w:val="00656BED"/>
    <w:rsid w:val="00656CF8"/>
    <w:rsid w:val="0065713B"/>
    <w:rsid w:val="00657CC6"/>
    <w:rsid w:val="00660168"/>
    <w:rsid w:val="00661150"/>
    <w:rsid w:val="00661797"/>
    <w:rsid w:val="00661B04"/>
    <w:rsid w:val="00661C83"/>
    <w:rsid w:val="0066235D"/>
    <w:rsid w:val="0066248F"/>
    <w:rsid w:val="00663552"/>
    <w:rsid w:val="0066389E"/>
    <w:rsid w:val="00663A88"/>
    <w:rsid w:val="00663AEF"/>
    <w:rsid w:val="00663C0C"/>
    <w:rsid w:val="0066472F"/>
    <w:rsid w:val="00664B89"/>
    <w:rsid w:val="00665E41"/>
    <w:rsid w:val="00666289"/>
    <w:rsid w:val="00666302"/>
    <w:rsid w:val="006669C6"/>
    <w:rsid w:val="00666A78"/>
    <w:rsid w:val="0066725E"/>
    <w:rsid w:val="00667D73"/>
    <w:rsid w:val="00670895"/>
    <w:rsid w:val="00670B0A"/>
    <w:rsid w:val="00671E92"/>
    <w:rsid w:val="00672ACE"/>
    <w:rsid w:val="00672C65"/>
    <w:rsid w:val="00672DDE"/>
    <w:rsid w:val="00672E85"/>
    <w:rsid w:val="0067329E"/>
    <w:rsid w:val="00673859"/>
    <w:rsid w:val="00673FEE"/>
    <w:rsid w:val="006754F5"/>
    <w:rsid w:val="006765F8"/>
    <w:rsid w:val="00676FC4"/>
    <w:rsid w:val="0067777D"/>
    <w:rsid w:val="00677C40"/>
    <w:rsid w:val="00677E37"/>
    <w:rsid w:val="006806CE"/>
    <w:rsid w:val="00680853"/>
    <w:rsid w:val="00680B46"/>
    <w:rsid w:val="00680E22"/>
    <w:rsid w:val="0068258D"/>
    <w:rsid w:val="00682AFA"/>
    <w:rsid w:val="00682E3B"/>
    <w:rsid w:val="00683BDF"/>
    <w:rsid w:val="00684717"/>
    <w:rsid w:val="006849E1"/>
    <w:rsid w:val="00684C0A"/>
    <w:rsid w:val="0068534C"/>
    <w:rsid w:val="006853F0"/>
    <w:rsid w:val="0068542C"/>
    <w:rsid w:val="00685E78"/>
    <w:rsid w:val="0068619C"/>
    <w:rsid w:val="00686656"/>
    <w:rsid w:val="00686FD2"/>
    <w:rsid w:val="006900C6"/>
    <w:rsid w:val="00691079"/>
    <w:rsid w:val="00691DB5"/>
    <w:rsid w:val="00691E46"/>
    <w:rsid w:val="0069206F"/>
    <w:rsid w:val="00692239"/>
    <w:rsid w:val="00692A47"/>
    <w:rsid w:val="00692BD7"/>
    <w:rsid w:val="00692D66"/>
    <w:rsid w:val="006945C4"/>
    <w:rsid w:val="0069462C"/>
    <w:rsid w:val="006949F4"/>
    <w:rsid w:val="00694A43"/>
    <w:rsid w:val="00695C38"/>
    <w:rsid w:val="00695DB6"/>
    <w:rsid w:val="00696216"/>
    <w:rsid w:val="006967CE"/>
    <w:rsid w:val="006967FE"/>
    <w:rsid w:val="006977A4"/>
    <w:rsid w:val="006979D4"/>
    <w:rsid w:val="006A0D45"/>
    <w:rsid w:val="006A1E76"/>
    <w:rsid w:val="006A2CA0"/>
    <w:rsid w:val="006A3282"/>
    <w:rsid w:val="006A32DA"/>
    <w:rsid w:val="006A33A2"/>
    <w:rsid w:val="006A402E"/>
    <w:rsid w:val="006A4656"/>
    <w:rsid w:val="006A521D"/>
    <w:rsid w:val="006A55CA"/>
    <w:rsid w:val="006A625D"/>
    <w:rsid w:val="006A698F"/>
    <w:rsid w:val="006A6A8E"/>
    <w:rsid w:val="006A6C10"/>
    <w:rsid w:val="006A6C54"/>
    <w:rsid w:val="006A749E"/>
    <w:rsid w:val="006A7698"/>
    <w:rsid w:val="006A7DB0"/>
    <w:rsid w:val="006A7E2D"/>
    <w:rsid w:val="006B07E6"/>
    <w:rsid w:val="006B0D51"/>
    <w:rsid w:val="006B127B"/>
    <w:rsid w:val="006B1288"/>
    <w:rsid w:val="006B1AA2"/>
    <w:rsid w:val="006B1F33"/>
    <w:rsid w:val="006B2314"/>
    <w:rsid w:val="006B2A9B"/>
    <w:rsid w:val="006B35AA"/>
    <w:rsid w:val="006B3CA8"/>
    <w:rsid w:val="006B3D8B"/>
    <w:rsid w:val="006B4511"/>
    <w:rsid w:val="006B4599"/>
    <w:rsid w:val="006B464C"/>
    <w:rsid w:val="006B4EA9"/>
    <w:rsid w:val="006B571F"/>
    <w:rsid w:val="006B6433"/>
    <w:rsid w:val="006B75E0"/>
    <w:rsid w:val="006B7D18"/>
    <w:rsid w:val="006C0711"/>
    <w:rsid w:val="006C07E3"/>
    <w:rsid w:val="006C08D8"/>
    <w:rsid w:val="006C0B87"/>
    <w:rsid w:val="006C2FD1"/>
    <w:rsid w:val="006C317A"/>
    <w:rsid w:val="006C3B5F"/>
    <w:rsid w:val="006C4C40"/>
    <w:rsid w:val="006C5875"/>
    <w:rsid w:val="006C60B6"/>
    <w:rsid w:val="006C6814"/>
    <w:rsid w:val="006C6C07"/>
    <w:rsid w:val="006C6F2B"/>
    <w:rsid w:val="006C7A8D"/>
    <w:rsid w:val="006D0491"/>
    <w:rsid w:val="006D107C"/>
    <w:rsid w:val="006D162E"/>
    <w:rsid w:val="006D208A"/>
    <w:rsid w:val="006D2A2F"/>
    <w:rsid w:val="006D2E5B"/>
    <w:rsid w:val="006D35A5"/>
    <w:rsid w:val="006D3C65"/>
    <w:rsid w:val="006D4A65"/>
    <w:rsid w:val="006D4B06"/>
    <w:rsid w:val="006D5287"/>
    <w:rsid w:val="006D56BB"/>
    <w:rsid w:val="006D5788"/>
    <w:rsid w:val="006D58A8"/>
    <w:rsid w:val="006D5F12"/>
    <w:rsid w:val="006D7B39"/>
    <w:rsid w:val="006D7CC5"/>
    <w:rsid w:val="006D7EFF"/>
    <w:rsid w:val="006D7F5B"/>
    <w:rsid w:val="006E051C"/>
    <w:rsid w:val="006E05CF"/>
    <w:rsid w:val="006E1A75"/>
    <w:rsid w:val="006E25F2"/>
    <w:rsid w:val="006E2913"/>
    <w:rsid w:val="006E2995"/>
    <w:rsid w:val="006E30B1"/>
    <w:rsid w:val="006E3793"/>
    <w:rsid w:val="006E388E"/>
    <w:rsid w:val="006E44D4"/>
    <w:rsid w:val="006E4788"/>
    <w:rsid w:val="006E4D4D"/>
    <w:rsid w:val="006E53D5"/>
    <w:rsid w:val="006E5EED"/>
    <w:rsid w:val="006E6359"/>
    <w:rsid w:val="006E656D"/>
    <w:rsid w:val="006E665B"/>
    <w:rsid w:val="006E66B0"/>
    <w:rsid w:val="006E689A"/>
    <w:rsid w:val="006E6B33"/>
    <w:rsid w:val="006E6CD2"/>
    <w:rsid w:val="006E6F57"/>
    <w:rsid w:val="006E7037"/>
    <w:rsid w:val="006E72AB"/>
    <w:rsid w:val="006E75D6"/>
    <w:rsid w:val="006E7806"/>
    <w:rsid w:val="006E7B65"/>
    <w:rsid w:val="006E7B94"/>
    <w:rsid w:val="006F0BCE"/>
    <w:rsid w:val="006F0EBB"/>
    <w:rsid w:val="006F0F76"/>
    <w:rsid w:val="006F2053"/>
    <w:rsid w:val="006F2477"/>
    <w:rsid w:val="006F2640"/>
    <w:rsid w:val="006F2820"/>
    <w:rsid w:val="006F2C7B"/>
    <w:rsid w:val="006F2DD7"/>
    <w:rsid w:val="006F32E6"/>
    <w:rsid w:val="006F36A5"/>
    <w:rsid w:val="006F4791"/>
    <w:rsid w:val="006F4B81"/>
    <w:rsid w:val="006F5242"/>
    <w:rsid w:val="006F52F6"/>
    <w:rsid w:val="006F5EF6"/>
    <w:rsid w:val="006F653F"/>
    <w:rsid w:val="006F6CFB"/>
    <w:rsid w:val="006F6D51"/>
    <w:rsid w:val="006F773B"/>
    <w:rsid w:val="006F7EBC"/>
    <w:rsid w:val="00700251"/>
    <w:rsid w:val="00701DB0"/>
    <w:rsid w:val="0070283C"/>
    <w:rsid w:val="0070510F"/>
    <w:rsid w:val="00705BAD"/>
    <w:rsid w:val="00705CD8"/>
    <w:rsid w:val="00705DF7"/>
    <w:rsid w:val="007060D4"/>
    <w:rsid w:val="007066C4"/>
    <w:rsid w:val="00706CAF"/>
    <w:rsid w:val="00706FDD"/>
    <w:rsid w:val="00707130"/>
    <w:rsid w:val="00707851"/>
    <w:rsid w:val="00710194"/>
    <w:rsid w:val="00710AD5"/>
    <w:rsid w:val="0071100D"/>
    <w:rsid w:val="007110D4"/>
    <w:rsid w:val="00711E3D"/>
    <w:rsid w:val="00711EB1"/>
    <w:rsid w:val="007123FB"/>
    <w:rsid w:val="007124E4"/>
    <w:rsid w:val="0071350C"/>
    <w:rsid w:val="0071372E"/>
    <w:rsid w:val="00713A6D"/>
    <w:rsid w:val="00713E1F"/>
    <w:rsid w:val="00713F94"/>
    <w:rsid w:val="00714091"/>
    <w:rsid w:val="007146AB"/>
    <w:rsid w:val="00715013"/>
    <w:rsid w:val="007152CA"/>
    <w:rsid w:val="007153EF"/>
    <w:rsid w:val="007156F3"/>
    <w:rsid w:val="00715E4A"/>
    <w:rsid w:val="007167A2"/>
    <w:rsid w:val="00716806"/>
    <w:rsid w:val="00716BB4"/>
    <w:rsid w:val="007177FB"/>
    <w:rsid w:val="00717BC8"/>
    <w:rsid w:val="00717C90"/>
    <w:rsid w:val="00717F05"/>
    <w:rsid w:val="007209FB"/>
    <w:rsid w:val="00720C7C"/>
    <w:rsid w:val="00720D21"/>
    <w:rsid w:val="00721F85"/>
    <w:rsid w:val="00722420"/>
    <w:rsid w:val="00722A51"/>
    <w:rsid w:val="007230F5"/>
    <w:rsid w:val="0072340E"/>
    <w:rsid w:val="00723CA1"/>
    <w:rsid w:val="00723DD7"/>
    <w:rsid w:val="00724144"/>
    <w:rsid w:val="00724711"/>
    <w:rsid w:val="00724D2F"/>
    <w:rsid w:val="00724F70"/>
    <w:rsid w:val="0072504B"/>
    <w:rsid w:val="00726451"/>
    <w:rsid w:val="0072666D"/>
    <w:rsid w:val="00726CC3"/>
    <w:rsid w:val="00726FAD"/>
    <w:rsid w:val="00727AED"/>
    <w:rsid w:val="00727B7A"/>
    <w:rsid w:val="0073007B"/>
    <w:rsid w:val="0073064A"/>
    <w:rsid w:val="0073172B"/>
    <w:rsid w:val="00731AA0"/>
    <w:rsid w:val="00731ACB"/>
    <w:rsid w:val="00731B43"/>
    <w:rsid w:val="00731C01"/>
    <w:rsid w:val="00731F9A"/>
    <w:rsid w:val="00732828"/>
    <w:rsid w:val="00732910"/>
    <w:rsid w:val="0073355A"/>
    <w:rsid w:val="007335BC"/>
    <w:rsid w:val="0073364B"/>
    <w:rsid w:val="0073448B"/>
    <w:rsid w:val="00734AB2"/>
    <w:rsid w:val="00735558"/>
    <w:rsid w:val="00735F20"/>
    <w:rsid w:val="00735F88"/>
    <w:rsid w:val="007369F3"/>
    <w:rsid w:val="00737AA8"/>
    <w:rsid w:val="00740AC4"/>
    <w:rsid w:val="00740B33"/>
    <w:rsid w:val="00740E49"/>
    <w:rsid w:val="00740E82"/>
    <w:rsid w:val="007429D7"/>
    <w:rsid w:val="00742A6F"/>
    <w:rsid w:val="00742B5B"/>
    <w:rsid w:val="00742CD2"/>
    <w:rsid w:val="00742EA9"/>
    <w:rsid w:val="00743FC6"/>
    <w:rsid w:val="00744160"/>
    <w:rsid w:val="00744A6D"/>
    <w:rsid w:val="00744B3A"/>
    <w:rsid w:val="00744E9F"/>
    <w:rsid w:val="00744F99"/>
    <w:rsid w:val="007457E8"/>
    <w:rsid w:val="007459B0"/>
    <w:rsid w:val="00747480"/>
    <w:rsid w:val="00747879"/>
    <w:rsid w:val="00750233"/>
    <w:rsid w:val="0075032F"/>
    <w:rsid w:val="00750EE1"/>
    <w:rsid w:val="00751AA9"/>
    <w:rsid w:val="007521B9"/>
    <w:rsid w:val="0075277D"/>
    <w:rsid w:val="007527F6"/>
    <w:rsid w:val="007533F9"/>
    <w:rsid w:val="00753C69"/>
    <w:rsid w:val="007542EC"/>
    <w:rsid w:val="00755028"/>
    <w:rsid w:val="00755A51"/>
    <w:rsid w:val="00756CC9"/>
    <w:rsid w:val="007572E3"/>
    <w:rsid w:val="00757454"/>
    <w:rsid w:val="0075795F"/>
    <w:rsid w:val="007603B8"/>
    <w:rsid w:val="00761431"/>
    <w:rsid w:val="00761627"/>
    <w:rsid w:val="00761D5B"/>
    <w:rsid w:val="00762736"/>
    <w:rsid w:val="00762817"/>
    <w:rsid w:val="007632A5"/>
    <w:rsid w:val="00763FBD"/>
    <w:rsid w:val="007642F7"/>
    <w:rsid w:val="0076446E"/>
    <w:rsid w:val="00765640"/>
    <w:rsid w:val="00765F68"/>
    <w:rsid w:val="00766490"/>
    <w:rsid w:val="00766C29"/>
    <w:rsid w:val="00766F95"/>
    <w:rsid w:val="007672EF"/>
    <w:rsid w:val="00767570"/>
    <w:rsid w:val="00767712"/>
    <w:rsid w:val="00767ED2"/>
    <w:rsid w:val="007702AC"/>
    <w:rsid w:val="00770722"/>
    <w:rsid w:val="00770BF7"/>
    <w:rsid w:val="007718DC"/>
    <w:rsid w:val="007719B3"/>
    <w:rsid w:val="0077268F"/>
    <w:rsid w:val="00772868"/>
    <w:rsid w:val="00772B4A"/>
    <w:rsid w:val="00772E24"/>
    <w:rsid w:val="007738CF"/>
    <w:rsid w:val="00773DDA"/>
    <w:rsid w:val="00773E39"/>
    <w:rsid w:val="00774008"/>
    <w:rsid w:val="007744DE"/>
    <w:rsid w:val="00774A6F"/>
    <w:rsid w:val="00775655"/>
    <w:rsid w:val="00775EB0"/>
    <w:rsid w:val="00776099"/>
    <w:rsid w:val="00777104"/>
    <w:rsid w:val="00777416"/>
    <w:rsid w:val="00777D5B"/>
    <w:rsid w:val="00777F85"/>
    <w:rsid w:val="007808EA"/>
    <w:rsid w:val="00781271"/>
    <w:rsid w:val="00781C3D"/>
    <w:rsid w:val="00781F7C"/>
    <w:rsid w:val="00781F7D"/>
    <w:rsid w:val="0078224F"/>
    <w:rsid w:val="0078241D"/>
    <w:rsid w:val="0078242A"/>
    <w:rsid w:val="007827AD"/>
    <w:rsid w:val="00782971"/>
    <w:rsid w:val="00782FB8"/>
    <w:rsid w:val="007838C4"/>
    <w:rsid w:val="00784B7E"/>
    <w:rsid w:val="00785C7D"/>
    <w:rsid w:val="00786A83"/>
    <w:rsid w:val="00786ECC"/>
    <w:rsid w:val="00786EFB"/>
    <w:rsid w:val="00787F60"/>
    <w:rsid w:val="00790183"/>
    <w:rsid w:val="00790918"/>
    <w:rsid w:val="007909CF"/>
    <w:rsid w:val="00790DC6"/>
    <w:rsid w:val="0079113B"/>
    <w:rsid w:val="00791BF8"/>
    <w:rsid w:val="00792526"/>
    <w:rsid w:val="00792883"/>
    <w:rsid w:val="007928F3"/>
    <w:rsid w:val="00792B9A"/>
    <w:rsid w:val="00792D3E"/>
    <w:rsid w:val="00793253"/>
    <w:rsid w:val="007933E9"/>
    <w:rsid w:val="00794663"/>
    <w:rsid w:val="007956BB"/>
    <w:rsid w:val="00796244"/>
    <w:rsid w:val="00796F6F"/>
    <w:rsid w:val="0079794C"/>
    <w:rsid w:val="00797D76"/>
    <w:rsid w:val="007A07B8"/>
    <w:rsid w:val="007A1AE0"/>
    <w:rsid w:val="007A2597"/>
    <w:rsid w:val="007A2D20"/>
    <w:rsid w:val="007A3A29"/>
    <w:rsid w:val="007A3D60"/>
    <w:rsid w:val="007A550D"/>
    <w:rsid w:val="007A551F"/>
    <w:rsid w:val="007A55D6"/>
    <w:rsid w:val="007A57EA"/>
    <w:rsid w:val="007A5BE7"/>
    <w:rsid w:val="007A5E03"/>
    <w:rsid w:val="007A74C8"/>
    <w:rsid w:val="007A797B"/>
    <w:rsid w:val="007A7CCF"/>
    <w:rsid w:val="007B1AC9"/>
    <w:rsid w:val="007B261B"/>
    <w:rsid w:val="007B2839"/>
    <w:rsid w:val="007B32C3"/>
    <w:rsid w:val="007B348B"/>
    <w:rsid w:val="007B42A8"/>
    <w:rsid w:val="007B4B0B"/>
    <w:rsid w:val="007B501C"/>
    <w:rsid w:val="007B52F2"/>
    <w:rsid w:val="007B5AD6"/>
    <w:rsid w:val="007B62BE"/>
    <w:rsid w:val="007B64DE"/>
    <w:rsid w:val="007B71E7"/>
    <w:rsid w:val="007C006F"/>
    <w:rsid w:val="007C0090"/>
    <w:rsid w:val="007C00D9"/>
    <w:rsid w:val="007C069E"/>
    <w:rsid w:val="007C1503"/>
    <w:rsid w:val="007C1BF6"/>
    <w:rsid w:val="007C1DA3"/>
    <w:rsid w:val="007C22CF"/>
    <w:rsid w:val="007C2EAE"/>
    <w:rsid w:val="007C3320"/>
    <w:rsid w:val="007C3AFF"/>
    <w:rsid w:val="007C4E77"/>
    <w:rsid w:val="007C4EDC"/>
    <w:rsid w:val="007C4EFB"/>
    <w:rsid w:val="007C5362"/>
    <w:rsid w:val="007C5B4D"/>
    <w:rsid w:val="007C5B86"/>
    <w:rsid w:val="007C5D85"/>
    <w:rsid w:val="007C6DE2"/>
    <w:rsid w:val="007C7390"/>
    <w:rsid w:val="007C778E"/>
    <w:rsid w:val="007C7D73"/>
    <w:rsid w:val="007C7F38"/>
    <w:rsid w:val="007D000F"/>
    <w:rsid w:val="007D019A"/>
    <w:rsid w:val="007D03D7"/>
    <w:rsid w:val="007D09C7"/>
    <w:rsid w:val="007D0BB1"/>
    <w:rsid w:val="007D1008"/>
    <w:rsid w:val="007D13D0"/>
    <w:rsid w:val="007D28BF"/>
    <w:rsid w:val="007D2A10"/>
    <w:rsid w:val="007D2AA1"/>
    <w:rsid w:val="007D2CD6"/>
    <w:rsid w:val="007D3021"/>
    <w:rsid w:val="007D34CE"/>
    <w:rsid w:val="007D4011"/>
    <w:rsid w:val="007D4299"/>
    <w:rsid w:val="007D4437"/>
    <w:rsid w:val="007D4E0B"/>
    <w:rsid w:val="007D5124"/>
    <w:rsid w:val="007D558F"/>
    <w:rsid w:val="007D5BB1"/>
    <w:rsid w:val="007D67F5"/>
    <w:rsid w:val="007D6E01"/>
    <w:rsid w:val="007D7E29"/>
    <w:rsid w:val="007D7E89"/>
    <w:rsid w:val="007E0572"/>
    <w:rsid w:val="007E0659"/>
    <w:rsid w:val="007E0E3B"/>
    <w:rsid w:val="007E1068"/>
    <w:rsid w:val="007E164E"/>
    <w:rsid w:val="007E182B"/>
    <w:rsid w:val="007E1853"/>
    <w:rsid w:val="007E25F7"/>
    <w:rsid w:val="007E2919"/>
    <w:rsid w:val="007E3468"/>
    <w:rsid w:val="007E48E8"/>
    <w:rsid w:val="007E4A1E"/>
    <w:rsid w:val="007E52D6"/>
    <w:rsid w:val="007E5CE4"/>
    <w:rsid w:val="007E5D87"/>
    <w:rsid w:val="007E5E5F"/>
    <w:rsid w:val="007E6938"/>
    <w:rsid w:val="007E698A"/>
    <w:rsid w:val="007E70D0"/>
    <w:rsid w:val="007E7250"/>
    <w:rsid w:val="007E7697"/>
    <w:rsid w:val="007E7A30"/>
    <w:rsid w:val="007E7E2F"/>
    <w:rsid w:val="007F0395"/>
    <w:rsid w:val="007F06D4"/>
    <w:rsid w:val="007F08F7"/>
    <w:rsid w:val="007F137D"/>
    <w:rsid w:val="007F1744"/>
    <w:rsid w:val="007F2066"/>
    <w:rsid w:val="007F2403"/>
    <w:rsid w:val="007F241A"/>
    <w:rsid w:val="007F2B20"/>
    <w:rsid w:val="007F2C80"/>
    <w:rsid w:val="007F2CCF"/>
    <w:rsid w:val="007F2E96"/>
    <w:rsid w:val="007F3205"/>
    <w:rsid w:val="007F35EC"/>
    <w:rsid w:val="007F3778"/>
    <w:rsid w:val="007F3B4B"/>
    <w:rsid w:val="007F3DC3"/>
    <w:rsid w:val="007F4039"/>
    <w:rsid w:val="007F44F6"/>
    <w:rsid w:val="007F4912"/>
    <w:rsid w:val="007F4C6A"/>
    <w:rsid w:val="007F4D19"/>
    <w:rsid w:val="007F573C"/>
    <w:rsid w:val="007F5A39"/>
    <w:rsid w:val="007F5ABC"/>
    <w:rsid w:val="007F5D6E"/>
    <w:rsid w:val="007F6372"/>
    <w:rsid w:val="007F682D"/>
    <w:rsid w:val="007F68B4"/>
    <w:rsid w:val="007F6BEC"/>
    <w:rsid w:val="007F6F12"/>
    <w:rsid w:val="007F726E"/>
    <w:rsid w:val="007F72B0"/>
    <w:rsid w:val="007F72B7"/>
    <w:rsid w:val="007F767E"/>
    <w:rsid w:val="00800303"/>
    <w:rsid w:val="0080067C"/>
    <w:rsid w:val="00800CCE"/>
    <w:rsid w:val="0080117D"/>
    <w:rsid w:val="00801620"/>
    <w:rsid w:val="00801834"/>
    <w:rsid w:val="00801A59"/>
    <w:rsid w:val="00801C26"/>
    <w:rsid w:val="00801C67"/>
    <w:rsid w:val="00802460"/>
    <w:rsid w:val="0080278B"/>
    <w:rsid w:val="00802AD4"/>
    <w:rsid w:val="00802C3F"/>
    <w:rsid w:val="00802FF3"/>
    <w:rsid w:val="00803543"/>
    <w:rsid w:val="008037FA"/>
    <w:rsid w:val="00803B4A"/>
    <w:rsid w:val="00804350"/>
    <w:rsid w:val="008045B2"/>
    <w:rsid w:val="0080492F"/>
    <w:rsid w:val="008054C0"/>
    <w:rsid w:val="008057E4"/>
    <w:rsid w:val="00805CF4"/>
    <w:rsid w:val="008068D1"/>
    <w:rsid w:val="00806A3D"/>
    <w:rsid w:val="00807922"/>
    <w:rsid w:val="00807D94"/>
    <w:rsid w:val="00807E47"/>
    <w:rsid w:val="00807F21"/>
    <w:rsid w:val="00810C03"/>
    <w:rsid w:val="008114CF"/>
    <w:rsid w:val="008121B0"/>
    <w:rsid w:val="0081230A"/>
    <w:rsid w:val="00813816"/>
    <w:rsid w:val="00813984"/>
    <w:rsid w:val="00813CE0"/>
    <w:rsid w:val="00813E8A"/>
    <w:rsid w:val="00814A81"/>
    <w:rsid w:val="00815CB8"/>
    <w:rsid w:val="00816798"/>
    <w:rsid w:val="00816F12"/>
    <w:rsid w:val="00817132"/>
    <w:rsid w:val="00817B56"/>
    <w:rsid w:val="00817E28"/>
    <w:rsid w:val="0082081C"/>
    <w:rsid w:val="00820C2B"/>
    <w:rsid w:val="00820C2D"/>
    <w:rsid w:val="00820E25"/>
    <w:rsid w:val="00821189"/>
    <w:rsid w:val="0082123E"/>
    <w:rsid w:val="008219F1"/>
    <w:rsid w:val="008221CD"/>
    <w:rsid w:val="008225E3"/>
    <w:rsid w:val="00822BC2"/>
    <w:rsid w:val="00822DD2"/>
    <w:rsid w:val="008241EB"/>
    <w:rsid w:val="008244CD"/>
    <w:rsid w:val="008245C7"/>
    <w:rsid w:val="00824E1B"/>
    <w:rsid w:val="00826070"/>
    <w:rsid w:val="00826640"/>
    <w:rsid w:val="00826A68"/>
    <w:rsid w:val="00826AB8"/>
    <w:rsid w:val="00826F51"/>
    <w:rsid w:val="00827CB9"/>
    <w:rsid w:val="008313A1"/>
    <w:rsid w:val="00831C8F"/>
    <w:rsid w:val="00831DE6"/>
    <w:rsid w:val="00831E48"/>
    <w:rsid w:val="00832024"/>
    <w:rsid w:val="00832EDE"/>
    <w:rsid w:val="00834931"/>
    <w:rsid w:val="00834BDD"/>
    <w:rsid w:val="00835108"/>
    <w:rsid w:val="0083521F"/>
    <w:rsid w:val="0083536B"/>
    <w:rsid w:val="00835FB4"/>
    <w:rsid w:val="00836EB2"/>
    <w:rsid w:val="008378BB"/>
    <w:rsid w:val="00837F56"/>
    <w:rsid w:val="00840473"/>
    <w:rsid w:val="0084053B"/>
    <w:rsid w:val="0084056A"/>
    <w:rsid w:val="00840949"/>
    <w:rsid w:val="008409CC"/>
    <w:rsid w:val="00840C88"/>
    <w:rsid w:val="00841F74"/>
    <w:rsid w:val="0084217C"/>
    <w:rsid w:val="00842496"/>
    <w:rsid w:val="00842CD8"/>
    <w:rsid w:val="00842DE8"/>
    <w:rsid w:val="0084345A"/>
    <w:rsid w:val="00843675"/>
    <w:rsid w:val="00843BF9"/>
    <w:rsid w:val="00843EDA"/>
    <w:rsid w:val="00843F47"/>
    <w:rsid w:val="00844220"/>
    <w:rsid w:val="008448DB"/>
    <w:rsid w:val="00845444"/>
    <w:rsid w:val="00845500"/>
    <w:rsid w:val="008456F6"/>
    <w:rsid w:val="008457DA"/>
    <w:rsid w:val="00845885"/>
    <w:rsid w:val="00845986"/>
    <w:rsid w:val="00845C01"/>
    <w:rsid w:val="0084630B"/>
    <w:rsid w:val="0084651F"/>
    <w:rsid w:val="008500E1"/>
    <w:rsid w:val="008501C8"/>
    <w:rsid w:val="0085077E"/>
    <w:rsid w:val="00850AA1"/>
    <w:rsid w:val="008510FC"/>
    <w:rsid w:val="00851779"/>
    <w:rsid w:val="008517FD"/>
    <w:rsid w:val="008518EC"/>
    <w:rsid w:val="00851BAA"/>
    <w:rsid w:val="0085233F"/>
    <w:rsid w:val="00852511"/>
    <w:rsid w:val="00852AB6"/>
    <w:rsid w:val="00852C72"/>
    <w:rsid w:val="00852D60"/>
    <w:rsid w:val="00852ED2"/>
    <w:rsid w:val="00852F93"/>
    <w:rsid w:val="008535F9"/>
    <w:rsid w:val="00854A24"/>
    <w:rsid w:val="0085558C"/>
    <w:rsid w:val="00855706"/>
    <w:rsid w:val="0085594E"/>
    <w:rsid w:val="0085616B"/>
    <w:rsid w:val="0085633A"/>
    <w:rsid w:val="008565C5"/>
    <w:rsid w:val="00856711"/>
    <w:rsid w:val="0085697D"/>
    <w:rsid w:val="00857417"/>
    <w:rsid w:val="008574AB"/>
    <w:rsid w:val="00860179"/>
    <w:rsid w:val="0086076B"/>
    <w:rsid w:val="00860CED"/>
    <w:rsid w:val="008612D3"/>
    <w:rsid w:val="008617D0"/>
    <w:rsid w:val="00861B8F"/>
    <w:rsid w:val="0086215B"/>
    <w:rsid w:val="00862169"/>
    <w:rsid w:val="008625DF"/>
    <w:rsid w:val="00862CA4"/>
    <w:rsid w:val="008633E6"/>
    <w:rsid w:val="00864374"/>
    <w:rsid w:val="00864611"/>
    <w:rsid w:val="00864813"/>
    <w:rsid w:val="00864B3A"/>
    <w:rsid w:val="00865205"/>
    <w:rsid w:val="008661A1"/>
    <w:rsid w:val="0086651C"/>
    <w:rsid w:val="008666A9"/>
    <w:rsid w:val="008668B4"/>
    <w:rsid w:val="00866FBD"/>
    <w:rsid w:val="008670EA"/>
    <w:rsid w:val="00867153"/>
    <w:rsid w:val="00867314"/>
    <w:rsid w:val="0086741F"/>
    <w:rsid w:val="0087050C"/>
    <w:rsid w:val="008709E5"/>
    <w:rsid w:val="00871E92"/>
    <w:rsid w:val="0087254E"/>
    <w:rsid w:val="0087261C"/>
    <w:rsid w:val="00873209"/>
    <w:rsid w:val="008736E7"/>
    <w:rsid w:val="00873F88"/>
    <w:rsid w:val="00873FF4"/>
    <w:rsid w:val="00874699"/>
    <w:rsid w:val="008746C3"/>
    <w:rsid w:val="00874AB0"/>
    <w:rsid w:val="00874C5F"/>
    <w:rsid w:val="00874D0A"/>
    <w:rsid w:val="00874DE0"/>
    <w:rsid w:val="008751FD"/>
    <w:rsid w:val="00875F6B"/>
    <w:rsid w:val="00876570"/>
    <w:rsid w:val="00876AA5"/>
    <w:rsid w:val="00877096"/>
    <w:rsid w:val="00880128"/>
    <w:rsid w:val="008805E0"/>
    <w:rsid w:val="00880671"/>
    <w:rsid w:val="008807C0"/>
    <w:rsid w:val="00880D57"/>
    <w:rsid w:val="00881B04"/>
    <w:rsid w:val="0088214C"/>
    <w:rsid w:val="00882537"/>
    <w:rsid w:val="008825EF"/>
    <w:rsid w:val="0088291A"/>
    <w:rsid w:val="00882FD8"/>
    <w:rsid w:val="008836F6"/>
    <w:rsid w:val="00884084"/>
    <w:rsid w:val="00884111"/>
    <w:rsid w:val="00884918"/>
    <w:rsid w:val="008863C7"/>
    <w:rsid w:val="00886679"/>
    <w:rsid w:val="0088671D"/>
    <w:rsid w:val="008874C8"/>
    <w:rsid w:val="00887867"/>
    <w:rsid w:val="008878D2"/>
    <w:rsid w:val="00887995"/>
    <w:rsid w:val="00887F83"/>
    <w:rsid w:val="00890FD9"/>
    <w:rsid w:val="0089107A"/>
    <w:rsid w:val="0089128A"/>
    <w:rsid w:val="0089190D"/>
    <w:rsid w:val="00891FB7"/>
    <w:rsid w:val="008921E1"/>
    <w:rsid w:val="00893366"/>
    <w:rsid w:val="008933B8"/>
    <w:rsid w:val="008938FA"/>
    <w:rsid w:val="00893E4D"/>
    <w:rsid w:val="0089422C"/>
    <w:rsid w:val="008946E7"/>
    <w:rsid w:val="00894EB3"/>
    <w:rsid w:val="008951BD"/>
    <w:rsid w:val="008965D1"/>
    <w:rsid w:val="00897019"/>
    <w:rsid w:val="008A020D"/>
    <w:rsid w:val="008A0724"/>
    <w:rsid w:val="008A127A"/>
    <w:rsid w:val="008A1AC0"/>
    <w:rsid w:val="008A1BDB"/>
    <w:rsid w:val="008A21A9"/>
    <w:rsid w:val="008A21DD"/>
    <w:rsid w:val="008A245D"/>
    <w:rsid w:val="008A298C"/>
    <w:rsid w:val="008A2FE4"/>
    <w:rsid w:val="008A318B"/>
    <w:rsid w:val="008A3CB8"/>
    <w:rsid w:val="008A3DC5"/>
    <w:rsid w:val="008A3ED5"/>
    <w:rsid w:val="008A5066"/>
    <w:rsid w:val="008A50A2"/>
    <w:rsid w:val="008A64EA"/>
    <w:rsid w:val="008A6ACE"/>
    <w:rsid w:val="008A6CE5"/>
    <w:rsid w:val="008B08C5"/>
    <w:rsid w:val="008B1668"/>
    <w:rsid w:val="008B1DFD"/>
    <w:rsid w:val="008B2161"/>
    <w:rsid w:val="008B23AC"/>
    <w:rsid w:val="008B24CE"/>
    <w:rsid w:val="008B4538"/>
    <w:rsid w:val="008B481B"/>
    <w:rsid w:val="008B4BFF"/>
    <w:rsid w:val="008B4E5A"/>
    <w:rsid w:val="008B52F0"/>
    <w:rsid w:val="008B530C"/>
    <w:rsid w:val="008B5AD3"/>
    <w:rsid w:val="008B6FEF"/>
    <w:rsid w:val="008B7619"/>
    <w:rsid w:val="008B7C4F"/>
    <w:rsid w:val="008C178F"/>
    <w:rsid w:val="008C1A5E"/>
    <w:rsid w:val="008C2A28"/>
    <w:rsid w:val="008C2CE6"/>
    <w:rsid w:val="008C2CE8"/>
    <w:rsid w:val="008C2E71"/>
    <w:rsid w:val="008C2F83"/>
    <w:rsid w:val="008C36BF"/>
    <w:rsid w:val="008C3E6E"/>
    <w:rsid w:val="008C43E7"/>
    <w:rsid w:val="008C47A5"/>
    <w:rsid w:val="008C4946"/>
    <w:rsid w:val="008C5AD3"/>
    <w:rsid w:val="008C60F3"/>
    <w:rsid w:val="008C6E67"/>
    <w:rsid w:val="008C7DBF"/>
    <w:rsid w:val="008D0202"/>
    <w:rsid w:val="008D0716"/>
    <w:rsid w:val="008D18D5"/>
    <w:rsid w:val="008D1A2D"/>
    <w:rsid w:val="008D4384"/>
    <w:rsid w:val="008D51AF"/>
    <w:rsid w:val="008D58E0"/>
    <w:rsid w:val="008D6B61"/>
    <w:rsid w:val="008D6E04"/>
    <w:rsid w:val="008D73C9"/>
    <w:rsid w:val="008D7789"/>
    <w:rsid w:val="008D7A5C"/>
    <w:rsid w:val="008D7BEE"/>
    <w:rsid w:val="008D7E39"/>
    <w:rsid w:val="008E0128"/>
    <w:rsid w:val="008E0573"/>
    <w:rsid w:val="008E07F6"/>
    <w:rsid w:val="008E087B"/>
    <w:rsid w:val="008E1CBC"/>
    <w:rsid w:val="008E248C"/>
    <w:rsid w:val="008E27AF"/>
    <w:rsid w:val="008E3F41"/>
    <w:rsid w:val="008E40C6"/>
    <w:rsid w:val="008E44A2"/>
    <w:rsid w:val="008E4957"/>
    <w:rsid w:val="008E4F69"/>
    <w:rsid w:val="008E598A"/>
    <w:rsid w:val="008E5B6B"/>
    <w:rsid w:val="008E5C83"/>
    <w:rsid w:val="008E5F98"/>
    <w:rsid w:val="008E64DF"/>
    <w:rsid w:val="008E6A9D"/>
    <w:rsid w:val="008E7250"/>
    <w:rsid w:val="008E7CA9"/>
    <w:rsid w:val="008E7F29"/>
    <w:rsid w:val="008E7F3D"/>
    <w:rsid w:val="008F048C"/>
    <w:rsid w:val="008F084B"/>
    <w:rsid w:val="008F1664"/>
    <w:rsid w:val="008F1895"/>
    <w:rsid w:val="008F1A22"/>
    <w:rsid w:val="008F21BF"/>
    <w:rsid w:val="008F2210"/>
    <w:rsid w:val="008F265F"/>
    <w:rsid w:val="008F26E3"/>
    <w:rsid w:val="008F284B"/>
    <w:rsid w:val="008F2AAA"/>
    <w:rsid w:val="008F328B"/>
    <w:rsid w:val="008F355A"/>
    <w:rsid w:val="008F3A1A"/>
    <w:rsid w:val="008F3A2E"/>
    <w:rsid w:val="008F3CB7"/>
    <w:rsid w:val="008F3FE2"/>
    <w:rsid w:val="008F4621"/>
    <w:rsid w:val="008F5397"/>
    <w:rsid w:val="008F557A"/>
    <w:rsid w:val="008F559A"/>
    <w:rsid w:val="008F61C4"/>
    <w:rsid w:val="008F64BF"/>
    <w:rsid w:val="008F6956"/>
    <w:rsid w:val="008F7245"/>
    <w:rsid w:val="008F73AA"/>
    <w:rsid w:val="008F7464"/>
    <w:rsid w:val="008F7474"/>
    <w:rsid w:val="008F7689"/>
    <w:rsid w:val="008F7A50"/>
    <w:rsid w:val="008F7BA8"/>
    <w:rsid w:val="008F7F83"/>
    <w:rsid w:val="009005E7"/>
    <w:rsid w:val="00900745"/>
    <w:rsid w:val="00900F3A"/>
    <w:rsid w:val="00901216"/>
    <w:rsid w:val="009017F5"/>
    <w:rsid w:val="00903645"/>
    <w:rsid w:val="009049A8"/>
    <w:rsid w:val="00904B4A"/>
    <w:rsid w:val="00905E3F"/>
    <w:rsid w:val="00905F5C"/>
    <w:rsid w:val="00906530"/>
    <w:rsid w:val="00907143"/>
    <w:rsid w:val="0090771F"/>
    <w:rsid w:val="009104FD"/>
    <w:rsid w:val="00910801"/>
    <w:rsid w:val="009110CB"/>
    <w:rsid w:val="00911466"/>
    <w:rsid w:val="00911603"/>
    <w:rsid w:val="00911AEC"/>
    <w:rsid w:val="00911C01"/>
    <w:rsid w:val="00912B48"/>
    <w:rsid w:val="009138E5"/>
    <w:rsid w:val="00914044"/>
    <w:rsid w:val="0091432E"/>
    <w:rsid w:val="0091434D"/>
    <w:rsid w:val="009143BC"/>
    <w:rsid w:val="0091446F"/>
    <w:rsid w:val="00914828"/>
    <w:rsid w:val="009151E7"/>
    <w:rsid w:val="0091553E"/>
    <w:rsid w:val="00915841"/>
    <w:rsid w:val="00915DB5"/>
    <w:rsid w:val="00915E8F"/>
    <w:rsid w:val="00916F9B"/>
    <w:rsid w:val="00917944"/>
    <w:rsid w:val="009179FF"/>
    <w:rsid w:val="00920147"/>
    <w:rsid w:val="00920247"/>
    <w:rsid w:val="0092050B"/>
    <w:rsid w:val="00921714"/>
    <w:rsid w:val="009218E0"/>
    <w:rsid w:val="00921DAB"/>
    <w:rsid w:val="00922542"/>
    <w:rsid w:val="009227BD"/>
    <w:rsid w:val="009229F9"/>
    <w:rsid w:val="009231DE"/>
    <w:rsid w:val="00923388"/>
    <w:rsid w:val="00923C75"/>
    <w:rsid w:val="00923C85"/>
    <w:rsid w:val="0092496A"/>
    <w:rsid w:val="00924C04"/>
    <w:rsid w:val="00924C45"/>
    <w:rsid w:val="00924D85"/>
    <w:rsid w:val="00924E91"/>
    <w:rsid w:val="0092540A"/>
    <w:rsid w:val="009257F0"/>
    <w:rsid w:val="009258E9"/>
    <w:rsid w:val="009260DB"/>
    <w:rsid w:val="00926663"/>
    <w:rsid w:val="009266FF"/>
    <w:rsid w:val="00926B18"/>
    <w:rsid w:val="00926B77"/>
    <w:rsid w:val="00926E52"/>
    <w:rsid w:val="009276AE"/>
    <w:rsid w:val="00927A47"/>
    <w:rsid w:val="00927A4C"/>
    <w:rsid w:val="009302C4"/>
    <w:rsid w:val="00930833"/>
    <w:rsid w:val="00930920"/>
    <w:rsid w:val="0093177E"/>
    <w:rsid w:val="00931A25"/>
    <w:rsid w:val="00931BE9"/>
    <w:rsid w:val="00931F55"/>
    <w:rsid w:val="00932332"/>
    <w:rsid w:val="009323CE"/>
    <w:rsid w:val="009329DB"/>
    <w:rsid w:val="00933251"/>
    <w:rsid w:val="009333FC"/>
    <w:rsid w:val="00933AAB"/>
    <w:rsid w:val="00934713"/>
    <w:rsid w:val="00934BD2"/>
    <w:rsid w:val="00935B23"/>
    <w:rsid w:val="00935D7F"/>
    <w:rsid w:val="00935DED"/>
    <w:rsid w:val="00935F18"/>
    <w:rsid w:val="0093634D"/>
    <w:rsid w:val="009363EF"/>
    <w:rsid w:val="00936621"/>
    <w:rsid w:val="00936CB0"/>
    <w:rsid w:val="009372C8"/>
    <w:rsid w:val="0093762F"/>
    <w:rsid w:val="009377A5"/>
    <w:rsid w:val="00937867"/>
    <w:rsid w:val="009401B8"/>
    <w:rsid w:val="00940E6D"/>
    <w:rsid w:val="009410D0"/>
    <w:rsid w:val="00941F46"/>
    <w:rsid w:val="00941FDC"/>
    <w:rsid w:val="00942038"/>
    <w:rsid w:val="00942F15"/>
    <w:rsid w:val="00942FBD"/>
    <w:rsid w:val="0094325E"/>
    <w:rsid w:val="0094362A"/>
    <w:rsid w:val="0094393A"/>
    <w:rsid w:val="00943ED9"/>
    <w:rsid w:val="00945B66"/>
    <w:rsid w:val="00945D6E"/>
    <w:rsid w:val="00945F89"/>
    <w:rsid w:val="009462B4"/>
    <w:rsid w:val="009468E6"/>
    <w:rsid w:val="00946909"/>
    <w:rsid w:val="009472B9"/>
    <w:rsid w:val="00947888"/>
    <w:rsid w:val="00947993"/>
    <w:rsid w:val="00950289"/>
    <w:rsid w:val="009504B4"/>
    <w:rsid w:val="00950D62"/>
    <w:rsid w:val="00951336"/>
    <w:rsid w:val="0095189C"/>
    <w:rsid w:val="00952096"/>
    <w:rsid w:val="0095341E"/>
    <w:rsid w:val="009534F8"/>
    <w:rsid w:val="00953B6A"/>
    <w:rsid w:val="00953CAB"/>
    <w:rsid w:val="00953E78"/>
    <w:rsid w:val="00954547"/>
    <w:rsid w:val="00955655"/>
    <w:rsid w:val="00955A64"/>
    <w:rsid w:val="00956A35"/>
    <w:rsid w:val="00956D83"/>
    <w:rsid w:val="00956DA5"/>
    <w:rsid w:val="00956F57"/>
    <w:rsid w:val="009579DE"/>
    <w:rsid w:val="00957D2E"/>
    <w:rsid w:val="009601B5"/>
    <w:rsid w:val="00960240"/>
    <w:rsid w:val="009605B7"/>
    <w:rsid w:val="009605D0"/>
    <w:rsid w:val="00960A2A"/>
    <w:rsid w:val="0096149C"/>
    <w:rsid w:val="009614D4"/>
    <w:rsid w:val="009614E1"/>
    <w:rsid w:val="00961A21"/>
    <w:rsid w:val="00961D22"/>
    <w:rsid w:val="00961F4F"/>
    <w:rsid w:val="00962391"/>
    <w:rsid w:val="0096330F"/>
    <w:rsid w:val="009634C1"/>
    <w:rsid w:val="00964E0F"/>
    <w:rsid w:val="0096555C"/>
    <w:rsid w:val="009658A8"/>
    <w:rsid w:val="009661B4"/>
    <w:rsid w:val="00966AF2"/>
    <w:rsid w:val="00966F48"/>
    <w:rsid w:val="009670F7"/>
    <w:rsid w:val="009671BB"/>
    <w:rsid w:val="00967A37"/>
    <w:rsid w:val="009701A0"/>
    <w:rsid w:val="00970889"/>
    <w:rsid w:val="009709E6"/>
    <w:rsid w:val="00970A04"/>
    <w:rsid w:val="009710D5"/>
    <w:rsid w:val="009718C2"/>
    <w:rsid w:val="00971A95"/>
    <w:rsid w:val="00972DA1"/>
    <w:rsid w:val="00972F92"/>
    <w:rsid w:val="00973B2C"/>
    <w:rsid w:val="00973D08"/>
    <w:rsid w:val="00973D7F"/>
    <w:rsid w:val="00974222"/>
    <w:rsid w:val="009745FD"/>
    <w:rsid w:val="00974E51"/>
    <w:rsid w:val="00975192"/>
    <w:rsid w:val="00976242"/>
    <w:rsid w:val="00976323"/>
    <w:rsid w:val="009766E2"/>
    <w:rsid w:val="00977A8F"/>
    <w:rsid w:val="00977BFE"/>
    <w:rsid w:val="00981384"/>
    <w:rsid w:val="00981557"/>
    <w:rsid w:val="00981CE1"/>
    <w:rsid w:val="009821EA"/>
    <w:rsid w:val="00982224"/>
    <w:rsid w:val="00982DD0"/>
    <w:rsid w:val="00983177"/>
    <w:rsid w:val="009832BF"/>
    <w:rsid w:val="00983309"/>
    <w:rsid w:val="00984106"/>
    <w:rsid w:val="009841D6"/>
    <w:rsid w:val="00984227"/>
    <w:rsid w:val="00985807"/>
    <w:rsid w:val="00985AD5"/>
    <w:rsid w:val="00986C53"/>
    <w:rsid w:val="00987374"/>
    <w:rsid w:val="0099005B"/>
    <w:rsid w:val="009900C3"/>
    <w:rsid w:val="00990260"/>
    <w:rsid w:val="00990634"/>
    <w:rsid w:val="009907EE"/>
    <w:rsid w:val="009908EC"/>
    <w:rsid w:val="00991442"/>
    <w:rsid w:val="00991D9E"/>
    <w:rsid w:val="00992846"/>
    <w:rsid w:val="009933DB"/>
    <w:rsid w:val="00993616"/>
    <w:rsid w:val="00994362"/>
    <w:rsid w:val="00994598"/>
    <w:rsid w:val="00995005"/>
    <w:rsid w:val="00995376"/>
    <w:rsid w:val="00996BA4"/>
    <w:rsid w:val="0099779E"/>
    <w:rsid w:val="009A006E"/>
    <w:rsid w:val="009A02EB"/>
    <w:rsid w:val="009A03DE"/>
    <w:rsid w:val="009A0EB2"/>
    <w:rsid w:val="009A1777"/>
    <w:rsid w:val="009A21F7"/>
    <w:rsid w:val="009A24DB"/>
    <w:rsid w:val="009A2B70"/>
    <w:rsid w:val="009A2F54"/>
    <w:rsid w:val="009A38FE"/>
    <w:rsid w:val="009A3D7A"/>
    <w:rsid w:val="009A41B7"/>
    <w:rsid w:val="009A4BEC"/>
    <w:rsid w:val="009A4EF4"/>
    <w:rsid w:val="009A595E"/>
    <w:rsid w:val="009A5D2B"/>
    <w:rsid w:val="009A5FE4"/>
    <w:rsid w:val="009A6C93"/>
    <w:rsid w:val="009A70B0"/>
    <w:rsid w:val="009A7718"/>
    <w:rsid w:val="009A7885"/>
    <w:rsid w:val="009A7BC4"/>
    <w:rsid w:val="009B09AE"/>
    <w:rsid w:val="009B0FA1"/>
    <w:rsid w:val="009B11B4"/>
    <w:rsid w:val="009B1887"/>
    <w:rsid w:val="009B2033"/>
    <w:rsid w:val="009B24F8"/>
    <w:rsid w:val="009B2812"/>
    <w:rsid w:val="009B285D"/>
    <w:rsid w:val="009B2895"/>
    <w:rsid w:val="009B28EE"/>
    <w:rsid w:val="009B342B"/>
    <w:rsid w:val="009B36D6"/>
    <w:rsid w:val="009B3F83"/>
    <w:rsid w:val="009B4287"/>
    <w:rsid w:val="009B4946"/>
    <w:rsid w:val="009B49F1"/>
    <w:rsid w:val="009B5222"/>
    <w:rsid w:val="009B5917"/>
    <w:rsid w:val="009B5A98"/>
    <w:rsid w:val="009B5E70"/>
    <w:rsid w:val="009B6648"/>
    <w:rsid w:val="009B6BBD"/>
    <w:rsid w:val="009B6E7E"/>
    <w:rsid w:val="009B75D0"/>
    <w:rsid w:val="009B79AD"/>
    <w:rsid w:val="009C0494"/>
    <w:rsid w:val="009C0903"/>
    <w:rsid w:val="009C1853"/>
    <w:rsid w:val="009C2462"/>
    <w:rsid w:val="009C437D"/>
    <w:rsid w:val="009C4600"/>
    <w:rsid w:val="009C478B"/>
    <w:rsid w:val="009C58D2"/>
    <w:rsid w:val="009C5C41"/>
    <w:rsid w:val="009C5C75"/>
    <w:rsid w:val="009C6071"/>
    <w:rsid w:val="009C6593"/>
    <w:rsid w:val="009C689F"/>
    <w:rsid w:val="009C6C3D"/>
    <w:rsid w:val="009C6EC1"/>
    <w:rsid w:val="009C77CA"/>
    <w:rsid w:val="009C7C17"/>
    <w:rsid w:val="009C7CAB"/>
    <w:rsid w:val="009C7F0A"/>
    <w:rsid w:val="009D02AB"/>
    <w:rsid w:val="009D10A6"/>
    <w:rsid w:val="009D1B6B"/>
    <w:rsid w:val="009D1E4C"/>
    <w:rsid w:val="009D1ED3"/>
    <w:rsid w:val="009D2379"/>
    <w:rsid w:val="009D2996"/>
    <w:rsid w:val="009D3386"/>
    <w:rsid w:val="009D3882"/>
    <w:rsid w:val="009D3D08"/>
    <w:rsid w:val="009D3D9C"/>
    <w:rsid w:val="009D3FF9"/>
    <w:rsid w:val="009D4059"/>
    <w:rsid w:val="009D4967"/>
    <w:rsid w:val="009D4EBC"/>
    <w:rsid w:val="009D507E"/>
    <w:rsid w:val="009D50F7"/>
    <w:rsid w:val="009D54A4"/>
    <w:rsid w:val="009D5526"/>
    <w:rsid w:val="009D56DD"/>
    <w:rsid w:val="009D6821"/>
    <w:rsid w:val="009D6D2A"/>
    <w:rsid w:val="009D7680"/>
    <w:rsid w:val="009D769E"/>
    <w:rsid w:val="009D797D"/>
    <w:rsid w:val="009E0BC0"/>
    <w:rsid w:val="009E0EED"/>
    <w:rsid w:val="009E0F66"/>
    <w:rsid w:val="009E12F9"/>
    <w:rsid w:val="009E149F"/>
    <w:rsid w:val="009E16A1"/>
    <w:rsid w:val="009E1E66"/>
    <w:rsid w:val="009E2465"/>
    <w:rsid w:val="009E27A8"/>
    <w:rsid w:val="009E2855"/>
    <w:rsid w:val="009E34F5"/>
    <w:rsid w:val="009E3981"/>
    <w:rsid w:val="009E4134"/>
    <w:rsid w:val="009E4310"/>
    <w:rsid w:val="009E4ABB"/>
    <w:rsid w:val="009E4FCA"/>
    <w:rsid w:val="009E6403"/>
    <w:rsid w:val="009E647F"/>
    <w:rsid w:val="009E69F6"/>
    <w:rsid w:val="009E71DB"/>
    <w:rsid w:val="009E7469"/>
    <w:rsid w:val="009E7D51"/>
    <w:rsid w:val="009F032A"/>
    <w:rsid w:val="009F0C9B"/>
    <w:rsid w:val="009F0FB2"/>
    <w:rsid w:val="009F1324"/>
    <w:rsid w:val="009F13A0"/>
    <w:rsid w:val="009F233A"/>
    <w:rsid w:val="009F274D"/>
    <w:rsid w:val="009F2D4E"/>
    <w:rsid w:val="009F320C"/>
    <w:rsid w:val="009F366E"/>
    <w:rsid w:val="009F410F"/>
    <w:rsid w:val="009F448D"/>
    <w:rsid w:val="009F4858"/>
    <w:rsid w:val="009F4A09"/>
    <w:rsid w:val="009F50DC"/>
    <w:rsid w:val="009F5644"/>
    <w:rsid w:val="009F5FA9"/>
    <w:rsid w:val="00A003E3"/>
    <w:rsid w:val="00A00D37"/>
    <w:rsid w:val="00A012BC"/>
    <w:rsid w:val="00A013AD"/>
    <w:rsid w:val="00A01542"/>
    <w:rsid w:val="00A01724"/>
    <w:rsid w:val="00A01779"/>
    <w:rsid w:val="00A0194C"/>
    <w:rsid w:val="00A01AB5"/>
    <w:rsid w:val="00A020D0"/>
    <w:rsid w:val="00A026C5"/>
    <w:rsid w:val="00A02BF3"/>
    <w:rsid w:val="00A0451C"/>
    <w:rsid w:val="00A04641"/>
    <w:rsid w:val="00A04A04"/>
    <w:rsid w:val="00A04D31"/>
    <w:rsid w:val="00A05D34"/>
    <w:rsid w:val="00A05DD9"/>
    <w:rsid w:val="00A05FFB"/>
    <w:rsid w:val="00A060F8"/>
    <w:rsid w:val="00A06C96"/>
    <w:rsid w:val="00A06F9F"/>
    <w:rsid w:val="00A079C9"/>
    <w:rsid w:val="00A07D78"/>
    <w:rsid w:val="00A10669"/>
    <w:rsid w:val="00A10A18"/>
    <w:rsid w:val="00A114C3"/>
    <w:rsid w:val="00A11860"/>
    <w:rsid w:val="00A11C3F"/>
    <w:rsid w:val="00A11CEE"/>
    <w:rsid w:val="00A11CF5"/>
    <w:rsid w:val="00A12259"/>
    <w:rsid w:val="00A1242C"/>
    <w:rsid w:val="00A128A2"/>
    <w:rsid w:val="00A12C62"/>
    <w:rsid w:val="00A12CE8"/>
    <w:rsid w:val="00A13BF3"/>
    <w:rsid w:val="00A1452B"/>
    <w:rsid w:val="00A1491B"/>
    <w:rsid w:val="00A14E49"/>
    <w:rsid w:val="00A14FF0"/>
    <w:rsid w:val="00A15276"/>
    <w:rsid w:val="00A1680E"/>
    <w:rsid w:val="00A17512"/>
    <w:rsid w:val="00A2009F"/>
    <w:rsid w:val="00A20813"/>
    <w:rsid w:val="00A20B69"/>
    <w:rsid w:val="00A20CB9"/>
    <w:rsid w:val="00A20ED8"/>
    <w:rsid w:val="00A22363"/>
    <w:rsid w:val="00A2237B"/>
    <w:rsid w:val="00A22776"/>
    <w:rsid w:val="00A228AF"/>
    <w:rsid w:val="00A23616"/>
    <w:rsid w:val="00A23925"/>
    <w:rsid w:val="00A23F91"/>
    <w:rsid w:val="00A24184"/>
    <w:rsid w:val="00A241F8"/>
    <w:rsid w:val="00A2485C"/>
    <w:rsid w:val="00A24F5F"/>
    <w:rsid w:val="00A255D4"/>
    <w:rsid w:val="00A2677B"/>
    <w:rsid w:val="00A27CD4"/>
    <w:rsid w:val="00A3019E"/>
    <w:rsid w:val="00A30295"/>
    <w:rsid w:val="00A303AA"/>
    <w:rsid w:val="00A3053F"/>
    <w:rsid w:val="00A30AF2"/>
    <w:rsid w:val="00A30F23"/>
    <w:rsid w:val="00A3105C"/>
    <w:rsid w:val="00A311ED"/>
    <w:rsid w:val="00A3187C"/>
    <w:rsid w:val="00A318C2"/>
    <w:rsid w:val="00A31910"/>
    <w:rsid w:val="00A31B9B"/>
    <w:rsid w:val="00A323D0"/>
    <w:rsid w:val="00A3264F"/>
    <w:rsid w:val="00A326BB"/>
    <w:rsid w:val="00A32830"/>
    <w:rsid w:val="00A328C7"/>
    <w:rsid w:val="00A32E71"/>
    <w:rsid w:val="00A33151"/>
    <w:rsid w:val="00A339E3"/>
    <w:rsid w:val="00A33ADC"/>
    <w:rsid w:val="00A33C01"/>
    <w:rsid w:val="00A33C65"/>
    <w:rsid w:val="00A33F59"/>
    <w:rsid w:val="00A34647"/>
    <w:rsid w:val="00A3483B"/>
    <w:rsid w:val="00A3485C"/>
    <w:rsid w:val="00A348E6"/>
    <w:rsid w:val="00A34D2B"/>
    <w:rsid w:val="00A354BC"/>
    <w:rsid w:val="00A3575E"/>
    <w:rsid w:val="00A35870"/>
    <w:rsid w:val="00A36837"/>
    <w:rsid w:val="00A36D24"/>
    <w:rsid w:val="00A36DE8"/>
    <w:rsid w:val="00A4028A"/>
    <w:rsid w:val="00A41475"/>
    <w:rsid w:val="00A41C07"/>
    <w:rsid w:val="00A42EB5"/>
    <w:rsid w:val="00A42F5B"/>
    <w:rsid w:val="00A4317F"/>
    <w:rsid w:val="00A4324E"/>
    <w:rsid w:val="00A43ECD"/>
    <w:rsid w:val="00A44191"/>
    <w:rsid w:val="00A4483A"/>
    <w:rsid w:val="00A44D9B"/>
    <w:rsid w:val="00A4585D"/>
    <w:rsid w:val="00A46123"/>
    <w:rsid w:val="00A461DD"/>
    <w:rsid w:val="00A4686F"/>
    <w:rsid w:val="00A46BCF"/>
    <w:rsid w:val="00A46F2C"/>
    <w:rsid w:val="00A47906"/>
    <w:rsid w:val="00A50199"/>
    <w:rsid w:val="00A503B6"/>
    <w:rsid w:val="00A52041"/>
    <w:rsid w:val="00A52230"/>
    <w:rsid w:val="00A5259F"/>
    <w:rsid w:val="00A53010"/>
    <w:rsid w:val="00A530A0"/>
    <w:rsid w:val="00A53411"/>
    <w:rsid w:val="00A53779"/>
    <w:rsid w:val="00A53C0F"/>
    <w:rsid w:val="00A53F79"/>
    <w:rsid w:val="00A5547B"/>
    <w:rsid w:val="00A55534"/>
    <w:rsid w:val="00A562E1"/>
    <w:rsid w:val="00A56D32"/>
    <w:rsid w:val="00A56F96"/>
    <w:rsid w:val="00A574D1"/>
    <w:rsid w:val="00A57CE1"/>
    <w:rsid w:val="00A60844"/>
    <w:rsid w:val="00A61E56"/>
    <w:rsid w:val="00A61E7F"/>
    <w:rsid w:val="00A61E83"/>
    <w:rsid w:val="00A61FA1"/>
    <w:rsid w:val="00A6200A"/>
    <w:rsid w:val="00A62669"/>
    <w:rsid w:val="00A63AB2"/>
    <w:rsid w:val="00A640E9"/>
    <w:rsid w:val="00A64BD8"/>
    <w:rsid w:val="00A6511B"/>
    <w:rsid w:val="00A6698D"/>
    <w:rsid w:val="00A66C78"/>
    <w:rsid w:val="00A66D03"/>
    <w:rsid w:val="00A7040B"/>
    <w:rsid w:val="00A7084D"/>
    <w:rsid w:val="00A70BBA"/>
    <w:rsid w:val="00A70D86"/>
    <w:rsid w:val="00A71082"/>
    <w:rsid w:val="00A71185"/>
    <w:rsid w:val="00A711DE"/>
    <w:rsid w:val="00A712B6"/>
    <w:rsid w:val="00A717D1"/>
    <w:rsid w:val="00A718F7"/>
    <w:rsid w:val="00A720C9"/>
    <w:rsid w:val="00A728D4"/>
    <w:rsid w:val="00A72A2E"/>
    <w:rsid w:val="00A72C18"/>
    <w:rsid w:val="00A73507"/>
    <w:rsid w:val="00A73650"/>
    <w:rsid w:val="00A73771"/>
    <w:rsid w:val="00A737BA"/>
    <w:rsid w:val="00A73EF1"/>
    <w:rsid w:val="00A740E8"/>
    <w:rsid w:val="00A74145"/>
    <w:rsid w:val="00A74FBB"/>
    <w:rsid w:val="00A753CA"/>
    <w:rsid w:val="00A75BB6"/>
    <w:rsid w:val="00A76AF9"/>
    <w:rsid w:val="00A76D14"/>
    <w:rsid w:val="00A774BD"/>
    <w:rsid w:val="00A803D0"/>
    <w:rsid w:val="00A80820"/>
    <w:rsid w:val="00A80890"/>
    <w:rsid w:val="00A8136B"/>
    <w:rsid w:val="00A8140E"/>
    <w:rsid w:val="00A819A4"/>
    <w:rsid w:val="00A81B91"/>
    <w:rsid w:val="00A81E95"/>
    <w:rsid w:val="00A8225C"/>
    <w:rsid w:val="00A83645"/>
    <w:rsid w:val="00A83ED8"/>
    <w:rsid w:val="00A84FC7"/>
    <w:rsid w:val="00A84FED"/>
    <w:rsid w:val="00A850A3"/>
    <w:rsid w:val="00A85431"/>
    <w:rsid w:val="00A86177"/>
    <w:rsid w:val="00A86D2F"/>
    <w:rsid w:val="00A876B5"/>
    <w:rsid w:val="00A87D1D"/>
    <w:rsid w:val="00A87F28"/>
    <w:rsid w:val="00A90186"/>
    <w:rsid w:val="00A9158C"/>
    <w:rsid w:val="00A91C66"/>
    <w:rsid w:val="00A92155"/>
    <w:rsid w:val="00A921FD"/>
    <w:rsid w:val="00A9242B"/>
    <w:rsid w:val="00A92686"/>
    <w:rsid w:val="00A92A14"/>
    <w:rsid w:val="00A92B0F"/>
    <w:rsid w:val="00A92B24"/>
    <w:rsid w:val="00A93133"/>
    <w:rsid w:val="00A935BA"/>
    <w:rsid w:val="00A93CA1"/>
    <w:rsid w:val="00A9439C"/>
    <w:rsid w:val="00A94592"/>
    <w:rsid w:val="00A94ABA"/>
    <w:rsid w:val="00A951A7"/>
    <w:rsid w:val="00A95239"/>
    <w:rsid w:val="00A95440"/>
    <w:rsid w:val="00A955A8"/>
    <w:rsid w:val="00A95A79"/>
    <w:rsid w:val="00A95C2B"/>
    <w:rsid w:val="00A95F8C"/>
    <w:rsid w:val="00A966A9"/>
    <w:rsid w:val="00A97148"/>
    <w:rsid w:val="00A9733E"/>
    <w:rsid w:val="00A97458"/>
    <w:rsid w:val="00A975FC"/>
    <w:rsid w:val="00A97DDC"/>
    <w:rsid w:val="00AA0C84"/>
    <w:rsid w:val="00AA0E96"/>
    <w:rsid w:val="00AA1175"/>
    <w:rsid w:val="00AA11A9"/>
    <w:rsid w:val="00AA2134"/>
    <w:rsid w:val="00AA23A8"/>
    <w:rsid w:val="00AA23D5"/>
    <w:rsid w:val="00AA37E5"/>
    <w:rsid w:val="00AA3C49"/>
    <w:rsid w:val="00AA3DD4"/>
    <w:rsid w:val="00AA4937"/>
    <w:rsid w:val="00AA4DA1"/>
    <w:rsid w:val="00AA5363"/>
    <w:rsid w:val="00AA5BFE"/>
    <w:rsid w:val="00AA5DEB"/>
    <w:rsid w:val="00AA62BE"/>
    <w:rsid w:val="00AA64F5"/>
    <w:rsid w:val="00AA7651"/>
    <w:rsid w:val="00AA7655"/>
    <w:rsid w:val="00AB0998"/>
    <w:rsid w:val="00AB0A38"/>
    <w:rsid w:val="00AB0F45"/>
    <w:rsid w:val="00AB1CB9"/>
    <w:rsid w:val="00AB20B9"/>
    <w:rsid w:val="00AB3847"/>
    <w:rsid w:val="00AB3D95"/>
    <w:rsid w:val="00AB3DEB"/>
    <w:rsid w:val="00AB4DA4"/>
    <w:rsid w:val="00AB5AA9"/>
    <w:rsid w:val="00AB6201"/>
    <w:rsid w:val="00AB6771"/>
    <w:rsid w:val="00AB7218"/>
    <w:rsid w:val="00AB7483"/>
    <w:rsid w:val="00AB781A"/>
    <w:rsid w:val="00AB7F92"/>
    <w:rsid w:val="00AC0B8B"/>
    <w:rsid w:val="00AC1143"/>
    <w:rsid w:val="00AC141C"/>
    <w:rsid w:val="00AC15D4"/>
    <w:rsid w:val="00AC1925"/>
    <w:rsid w:val="00AC23DE"/>
    <w:rsid w:val="00AC248D"/>
    <w:rsid w:val="00AC2C23"/>
    <w:rsid w:val="00AC31C8"/>
    <w:rsid w:val="00AC3572"/>
    <w:rsid w:val="00AC3910"/>
    <w:rsid w:val="00AC3AD7"/>
    <w:rsid w:val="00AC3E31"/>
    <w:rsid w:val="00AC3F2D"/>
    <w:rsid w:val="00AC49A2"/>
    <w:rsid w:val="00AC5029"/>
    <w:rsid w:val="00AC532B"/>
    <w:rsid w:val="00AC535E"/>
    <w:rsid w:val="00AC55C9"/>
    <w:rsid w:val="00AC6020"/>
    <w:rsid w:val="00AC6349"/>
    <w:rsid w:val="00AC643D"/>
    <w:rsid w:val="00AC6761"/>
    <w:rsid w:val="00AC6E22"/>
    <w:rsid w:val="00AC7994"/>
    <w:rsid w:val="00AC7B15"/>
    <w:rsid w:val="00AD0854"/>
    <w:rsid w:val="00AD0AC8"/>
    <w:rsid w:val="00AD0CD2"/>
    <w:rsid w:val="00AD136C"/>
    <w:rsid w:val="00AD137C"/>
    <w:rsid w:val="00AD23C3"/>
    <w:rsid w:val="00AD256F"/>
    <w:rsid w:val="00AD2742"/>
    <w:rsid w:val="00AD2862"/>
    <w:rsid w:val="00AD2F1A"/>
    <w:rsid w:val="00AD3E1C"/>
    <w:rsid w:val="00AD4EBB"/>
    <w:rsid w:val="00AD541D"/>
    <w:rsid w:val="00AD5D8D"/>
    <w:rsid w:val="00AD5DA3"/>
    <w:rsid w:val="00AD7C10"/>
    <w:rsid w:val="00AD7C6E"/>
    <w:rsid w:val="00AD7CD0"/>
    <w:rsid w:val="00AE007A"/>
    <w:rsid w:val="00AE209D"/>
    <w:rsid w:val="00AE268A"/>
    <w:rsid w:val="00AE2E05"/>
    <w:rsid w:val="00AE3514"/>
    <w:rsid w:val="00AE3C8A"/>
    <w:rsid w:val="00AE3F14"/>
    <w:rsid w:val="00AE4306"/>
    <w:rsid w:val="00AE4867"/>
    <w:rsid w:val="00AE4E06"/>
    <w:rsid w:val="00AE516D"/>
    <w:rsid w:val="00AE5174"/>
    <w:rsid w:val="00AE5548"/>
    <w:rsid w:val="00AE5673"/>
    <w:rsid w:val="00AE57BB"/>
    <w:rsid w:val="00AE5FFC"/>
    <w:rsid w:val="00AE6AA7"/>
    <w:rsid w:val="00AE6CFD"/>
    <w:rsid w:val="00AE7185"/>
    <w:rsid w:val="00AE78E4"/>
    <w:rsid w:val="00AF0DAC"/>
    <w:rsid w:val="00AF0DF8"/>
    <w:rsid w:val="00AF1771"/>
    <w:rsid w:val="00AF1C9D"/>
    <w:rsid w:val="00AF1E33"/>
    <w:rsid w:val="00AF213B"/>
    <w:rsid w:val="00AF2852"/>
    <w:rsid w:val="00AF2D84"/>
    <w:rsid w:val="00AF35D8"/>
    <w:rsid w:val="00AF40B6"/>
    <w:rsid w:val="00AF4178"/>
    <w:rsid w:val="00AF4DB2"/>
    <w:rsid w:val="00AF5838"/>
    <w:rsid w:val="00AF604F"/>
    <w:rsid w:val="00AF68EF"/>
    <w:rsid w:val="00AF7209"/>
    <w:rsid w:val="00B00060"/>
    <w:rsid w:val="00B00383"/>
    <w:rsid w:val="00B003A3"/>
    <w:rsid w:val="00B00E9D"/>
    <w:rsid w:val="00B00F09"/>
    <w:rsid w:val="00B015CA"/>
    <w:rsid w:val="00B01724"/>
    <w:rsid w:val="00B0194D"/>
    <w:rsid w:val="00B01E92"/>
    <w:rsid w:val="00B024F7"/>
    <w:rsid w:val="00B02546"/>
    <w:rsid w:val="00B0289A"/>
    <w:rsid w:val="00B03203"/>
    <w:rsid w:val="00B03CB2"/>
    <w:rsid w:val="00B04349"/>
    <w:rsid w:val="00B04374"/>
    <w:rsid w:val="00B0458F"/>
    <w:rsid w:val="00B0467A"/>
    <w:rsid w:val="00B04851"/>
    <w:rsid w:val="00B04DF9"/>
    <w:rsid w:val="00B05388"/>
    <w:rsid w:val="00B057B5"/>
    <w:rsid w:val="00B0596C"/>
    <w:rsid w:val="00B063E0"/>
    <w:rsid w:val="00B06754"/>
    <w:rsid w:val="00B06907"/>
    <w:rsid w:val="00B07299"/>
    <w:rsid w:val="00B07517"/>
    <w:rsid w:val="00B10217"/>
    <w:rsid w:val="00B1172C"/>
    <w:rsid w:val="00B117BB"/>
    <w:rsid w:val="00B11851"/>
    <w:rsid w:val="00B11ABB"/>
    <w:rsid w:val="00B11DE8"/>
    <w:rsid w:val="00B12675"/>
    <w:rsid w:val="00B12FD4"/>
    <w:rsid w:val="00B13E62"/>
    <w:rsid w:val="00B13E8D"/>
    <w:rsid w:val="00B1447D"/>
    <w:rsid w:val="00B1471D"/>
    <w:rsid w:val="00B149D9"/>
    <w:rsid w:val="00B16085"/>
    <w:rsid w:val="00B20080"/>
    <w:rsid w:val="00B204AE"/>
    <w:rsid w:val="00B20504"/>
    <w:rsid w:val="00B20F1A"/>
    <w:rsid w:val="00B21072"/>
    <w:rsid w:val="00B2169C"/>
    <w:rsid w:val="00B21997"/>
    <w:rsid w:val="00B220A4"/>
    <w:rsid w:val="00B22242"/>
    <w:rsid w:val="00B22A5D"/>
    <w:rsid w:val="00B22A8C"/>
    <w:rsid w:val="00B2377E"/>
    <w:rsid w:val="00B24AC7"/>
    <w:rsid w:val="00B24E45"/>
    <w:rsid w:val="00B27BBE"/>
    <w:rsid w:val="00B30465"/>
    <w:rsid w:val="00B306BA"/>
    <w:rsid w:val="00B309E7"/>
    <w:rsid w:val="00B31EA2"/>
    <w:rsid w:val="00B32458"/>
    <w:rsid w:val="00B32725"/>
    <w:rsid w:val="00B32D60"/>
    <w:rsid w:val="00B33322"/>
    <w:rsid w:val="00B3350E"/>
    <w:rsid w:val="00B33B5C"/>
    <w:rsid w:val="00B33C87"/>
    <w:rsid w:val="00B34433"/>
    <w:rsid w:val="00B3460C"/>
    <w:rsid w:val="00B34A09"/>
    <w:rsid w:val="00B34AC8"/>
    <w:rsid w:val="00B34C06"/>
    <w:rsid w:val="00B34F79"/>
    <w:rsid w:val="00B359DE"/>
    <w:rsid w:val="00B363B7"/>
    <w:rsid w:val="00B3722E"/>
    <w:rsid w:val="00B3731A"/>
    <w:rsid w:val="00B37592"/>
    <w:rsid w:val="00B376CC"/>
    <w:rsid w:val="00B37C41"/>
    <w:rsid w:val="00B37FD9"/>
    <w:rsid w:val="00B4047E"/>
    <w:rsid w:val="00B40A7C"/>
    <w:rsid w:val="00B40D39"/>
    <w:rsid w:val="00B41050"/>
    <w:rsid w:val="00B422C5"/>
    <w:rsid w:val="00B42350"/>
    <w:rsid w:val="00B43BBC"/>
    <w:rsid w:val="00B43D87"/>
    <w:rsid w:val="00B43DCE"/>
    <w:rsid w:val="00B44558"/>
    <w:rsid w:val="00B44C3E"/>
    <w:rsid w:val="00B45432"/>
    <w:rsid w:val="00B45AED"/>
    <w:rsid w:val="00B45F2F"/>
    <w:rsid w:val="00B46CEB"/>
    <w:rsid w:val="00B4702F"/>
    <w:rsid w:val="00B473E7"/>
    <w:rsid w:val="00B4788C"/>
    <w:rsid w:val="00B47E28"/>
    <w:rsid w:val="00B47EC3"/>
    <w:rsid w:val="00B50045"/>
    <w:rsid w:val="00B50128"/>
    <w:rsid w:val="00B50689"/>
    <w:rsid w:val="00B50DDB"/>
    <w:rsid w:val="00B51D04"/>
    <w:rsid w:val="00B52967"/>
    <w:rsid w:val="00B5385F"/>
    <w:rsid w:val="00B55010"/>
    <w:rsid w:val="00B55CD3"/>
    <w:rsid w:val="00B55FE5"/>
    <w:rsid w:val="00B5663B"/>
    <w:rsid w:val="00B572DE"/>
    <w:rsid w:val="00B576AC"/>
    <w:rsid w:val="00B576B4"/>
    <w:rsid w:val="00B57B09"/>
    <w:rsid w:val="00B60091"/>
    <w:rsid w:val="00B6027F"/>
    <w:rsid w:val="00B6066D"/>
    <w:rsid w:val="00B616AD"/>
    <w:rsid w:val="00B61C7B"/>
    <w:rsid w:val="00B61F09"/>
    <w:rsid w:val="00B62088"/>
    <w:rsid w:val="00B626DD"/>
    <w:rsid w:val="00B62F60"/>
    <w:rsid w:val="00B63660"/>
    <w:rsid w:val="00B63E80"/>
    <w:rsid w:val="00B644DC"/>
    <w:rsid w:val="00B64874"/>
    <w:rsid w:val="00B6508A"/>
    <w:rsid w:val="00B659FD"/>
    <w:rsid w:val="00B66147"/>
    <w:rsid w:val="00B66257"/>
    <w:rsid w:val="00B6661D"/>
    <w:rsid w:val="00B668BB"/>
    <w:rsid w:val="00B67314"/>
    <w:rsid w:val="00B67369"/>
    <w:rsid w:val="00B678A5"/>
    <w:rsid w:val="00B67E2A"/>
    <w:rsid w:val="00B67FE0"/>
    <w:rsid w:val="00B703AA"/>
    <w:rsid w:val="00B704D0"/>
    <w:rsid w:val="00B70F45"/>
    <w:rsid w:val="00B71C56"/>
    <w:rsid w:val="00B72031"/>
    <w:rsid w:val="00B72226"/>
    <w:rsid w:val="00B72262"/>
    <w:rsid w:val="00B72BA1"/>
    <w:rsid w:val="00B73160"/>
    <w:rsid w:val="00B7354D"/>
    <w:rsid w:val="00B739BF"/>
    <w:rsid w:val="00B73F7A"/>
    <w:rsid w:val="00B748C8"/>
    <w:rsid w:val="00B761D8"/>
    <w:rsid w:val="00B76B36"/>
    <w:rsid w:val="00B76E7D"/>
    <w:rsid w:val="00B7719D"/>
    <w:rsid w:val="00B7734C"/>
    <w:rsid w:val="00B77859"/>
    <w:rsid w:val="00B8116C"/>
    <w:rsid w:val="00B81303"/>
    <w:rsid w:val="00B82536"/>
    <w:rsid w:val="00B82610"/>
    <w:rsid w:val="00B8285F"/>
    <w:rsid w:val="00B82E9C"/>
    <w:rsid w:val="00B839CD"/>
    <w:rsid w:val="00B83F3D"/>
    <w:rsid w:val="00B84980"/>
    <w:rsid w:val="00B84F4B"/>
    <w:rsid w:val="00B8543E"/>
    <w:rsid w:val="00B85531"/>
    <w:rsid w:val="00B85A54"/>
    <w:rsid w:val="00B86284"/>
    <w:rsid w:val="00B87839"/>
    <w:rsid w:val="00B905FA"/>
    <w:rsid w:val="00B90CFD"/>
    <w:rsid w:val="00B90F00"/>
    <w:rsid w:val="00B91AC6"/>
    <w:rsid w:val="00B91B0D"/>
    <w:rsid w:val="00B9206B"/>
    <w:rsid w:val="00B9233F"/>
    <w:rsid w:val="00B927C1"/>
    <w:rsid w:val="00B928F0"/>
    <w:rsid w:val="00B92AC1"/>
    <w:rsid w:val="00B93472"/>
    <w:rsid w:val="00B93A30"/>
    <w:rsid w:val="00B94044"/>
    <w:rsid w:val="00B951A4"/>
    <w:rsid w:val="00B95A42"/>
    <w:rsid w:val="00B96D6A"/>
    <w:rsid w:val="00B970F5"/>
    <w:rsid w:val="00B9724F"/>
    <w:rsid w:val="00B973A7"/>
    <w:rsid w:val="00BA01AF"/>
    <w:rsid w:val="00BA093A"/>
    <w:rsid w:val="00BA127A"/>
    <w:rsid w:val="00BA213B"/>
    <w:rsid w:val="00BA2C6E"/>
    <w:rsid w:val="00BA37DC"/>
    <w:rsid w:val="00BA38C2"/>
    <w:rsid w:val="00BA3F38"/>
    <w:rsid w:val="00BA3F94"/>
    <w:rsid w:val="00BA490B"/>
    <w:rsid w:val="00BA4B5A"/>
    <w:rsid w:val="00BA4B61"/>
    <w:rsid w:val="00BA4CB2"/>
    <w:rsid w:val="00BA53E4"/>
    <w:rsid w:val="00BA5935"/>
    <w:rsid w:val="00BA5ADC"/>
    <w:rsid w:val="00BA5CF5"/>
    <w:rsid w:val="00BA61BA"/>
    <w:rsid w:val="00BA7599"/>
    <w:rsid w:val="00BA763A"/>
    <w:rsid w:val="00BA7766"/>
    <w:rsid w:val="00BA7B4C"/>
    <w:rsid w:val="00BA7F79"/>
    <w:rsid w:val="00BB0049"/>
    <w:rsid w:val="00BB09F2"/>
    <w:rsid w:val="00BB1385"/>
    <w:rsid w:val="00BB1436"/>
    <w:rsid w:val="00BB1602"/>
    <w:rsid w:val="00BB25EA"/>
    <w:rsid w:val="00BB2979"/>
    <w:rsid w:val="00BB3899"/>
    <w:rsid w:val="00BB395B"/>
    <w:rsid w:val="00BB4CD0"/>
    <w:rsid w:val="00BB5090"/>
    <w:rsid w:val="00BB54AB"/>
    <w:rsid w:val="00BB59E2"/>
    <w:rsid w:val="00BB6114"/>
    <w:rsid w:val="00BB6758"/>
    <w:rsid w:val="00BB6970"/>
    <w:rsid w:val="00BB7B6A"/>
    <w:rsid w:val="00BC079A"/>
    <w:rsid w:val="00BC0A6D"/>
    <w:rsid w:val="00BC11D1"/>
    <w:rsid w:val="00BC15FE"/>
    <w:rsid w:val="00BC1DB6"/>
    <w:rsid w:val="00BC223E"/>
    <w:rsid w:val="00BC2391"/>
    <w:rsid w:val="00BC3045"/>
    <w:rsid w:val="00BC33A9"/>
    <w:rsid w:val="00BC350F"/>
    <w:rsid w:val="00BC3F8F"/>
    <w:rsid w:val="00BC4321"/>
    <w:rsid w:val="00BC5236"/>
    <w:rsid w:val="00BC5A53"/>
    <w:rsid w:val="00BC6698"/>
    <w:rsid w:val="00BC68E4"/>
    <w:rsid w:val="00BC6BD9"/>
    <w:rsid w:val="00BC6BFB"/>
    <w:rsid w:val="00BC6DFD"/>
    <w:rsid w:val="00BC7A08"/>
    <w:rsid w:val="00BC7AC5"/>
    <w:rsid w:val="00BC7CAA"/>
    <w:rsid w:val="00BD00FC"/>
    <w:rsid w:val="00BD05A1"/>
    <w:rsid w:val="00BD0A78"/>
    <w:rsid w:val="00BD0FF5"/>
    <w:rsid w:val="00BD10E8"/>
    <w:rsid w:val="00BD12A3"/>
    <w:rsid w:val="00BD138C"/>
    <w:rsid w:val="00BD1443"/>
    <w:rsid w:val="00BD1467"/>
    <w:rsid w:val="00BD1BFA"/>
    <w:rsid w:val="00BD1F98"/>
    <w:rsid w:val="00BD3405"/>
    <w:rsid w:val="00BD436B"/>
    <w:rsid w:val="00BD494F"/>
    <w:rsid w:val="00BD4BF3"/>
    <w:rsid w:val="00BD53E3"/>
    <w:rsid w:val="00BD55E2"/>
    <w:rsid w:val="00BD5D47"/>
    <w:rsid w:val="00BD5FAB"/>
    <w:rsid w:val="00BD601F"/>
    <w:rsid w:val="00BD6BC0"/>
    <w:rsid w:val="00BD6D16"/>
    <w:rsid w:val="00BD6E31"/>
    <w:rsid w:val="00BE0048"/>
    <w:rsid w:val="00BE04DB"/>
    <w:rsid w:val="00BE068D"/>
    <w:rsid w:val="00BE06C4"/>
    <w:rsid w:val="00BE070D"/>
    <w:rsid w:val="00BE0917"/>
    <w:rsid w:val="00BE0ABB"/>
    <w:rsid w:val="00BE0C06"/>
    <w:rsid w:val="00BE1118"/>
    <w:rsid w:val="00BE176E"/>
    <w:rsid w:val="00BE1803"/>
    <w:rsid w:val="00BE1893"/>
    <w:rsid w:val="00BE203F"/>
    <w:rsid w:val="00BE2652"/>
    <w:rsid w:val="00BE2EE7"/>
    <w:rsid w:val="00BE3128"/>
    <w:rsid w:val="00BE41B9"/>
    <w:rsid w:val="00BE43E9"/>
    <w:rsid w:val="00BE4ED1"/>
    <w:rsid w:val="00BE5630"/>
    <w:rsid w:val="00BE5A5A"/>
    <w:rsid w:val="00BE5EDB"/>
    <w:rsid w:val="00BE66D1"/>
    <w:rsid w:val="00BE7188"/>
    <w:rsid w:val="00BE71E4"/>
    <w:rsid w:val="00BE790D"/>
    <w:rsid w:val="00BE7BAC"/>
    <w:rsid w:val="00BE7F08"/>
    <w:rsid w:val="00BF0173"/>
    <w:rsid w:val="00BF01C4"/>
    <w:rsid w:val="00BF01CB"/>
    <w:rsid w:val="00BF09E5"/>
    <w:rsid w:val="00BF10C6"/>
    <w:rsid w:val="00BF10C8"/>
    <w:rsid w:val="00BF1105"/>
    <w:rsid w:val="00BF12C3"/>
    <w:rsid w:val="00BF1735"/>
    <w:rsid w:val="00BF21C6"/>
    <w:rsid w:val="00BF2AEC"/>
    <w:rsid w:val="00BF2D58"/>
    <w:rsid w:val="00BF2DF9"/>
    <w:rsid w:val="00BF2EB5"/>
    <w:rsid w:val="00BF3173"/>
    <w:rsid w:val="00BF3A92"/>
    <w:rsid w:val="00BF3B6C"/>
    <w:rsid w:val="00BF41F0"/>
    <w:rsid w:val="00BF4382"/>
    <w:rsid w:val="00BF4BF4"/>
    <w:rsid w:val="00BF4D53"/>
    <w:rsid w:val="00BF521F"/>
    <w:rsid w:val="00BF555A"/>
    <w:rsid w:val="00BF5E1C"/>
    <w:rsid w:val="00BF637E"/>
    <w:rsid w:val="00BF672A"/>
    <w:rsid w:val="00BF77CE"/>
    <w:rsid w:val="00C00079"/>
    <w:rsid w:val="00C0095C"/>
    <w:rsid w:val="00C00CA7"/>
    <w:rsid w:val="00C01D4A"/>
    <w:rsid w:val="00C01FEE"/>
    <w:rsid w:val="00C02154"/>
    <w:rsid w:val="00C0239D"/>
    <w:rsid w:val="00C03DC5"/>
    <w:rsid w:val="00C0416C"/>
    <w:rsid w:val="00C04568"/>
    <w:rsid w:val="00C045E2"/>
    <w:rsid w:val="00C04B6A"/>
    <w:rsid w:val="00C04EE1"/>
    <w:rsid w:val="00C04F5F"/>
    <w:rsid w:val="00C05140"/>
    <w:rsid w:val="00C05225"/>
    <w:rsid w:val="00C0531B"/>
    <w:rsid w:val="00C0572F"/>
    <w:rsid w:val="00C0579C"/>
    <w:rsid w:val="00C0598B"/>
    <w:rsid w:val="00C05A13"/>
    <w:rsid w:val="00C05A8D"/>
    <w:rsid w:val="00C05B5C"/>
    <w:rsid w:val="00C060DC"/>
    <w:rsid w:val="00C065CF"/>
    <w:rsid w:val="00C065EB"/>
    <w:rsid w:val="00C06E52"/>
    <w:rsid w:val="00C07246"/>
    <w:rsid w:val="00C07933"/>
    <w:rsid w:val="00C0793B"/>
    <w:rsid w:val="00C1009F"/>
    <w:rsid w:val="00C1030A"/>
    <w:rsid w:val="00C1052C"/>
    <w:rsid w:val="00C107D2"/>
    <w:rsid w:val="00C108E9"/>
    <w:rsid w:val="00C11A36"/>
    <w:rsid w:val="00C11BF3"/>
    <w:rsid w:val="00C1219C"/>
    <w:rsid w:val="00C12B2E"/>
    <w:rsid w:val="00C12BF5"/>
    <w:rsid w:val="00C13279"/>
    <w:rsid w:val="00C134A5"/>
    <w:rsid w:val="00C13820"/>
    <w:rsid w:val="00C13B4D"/>
    <w:rsid w:val="00C1449B"/>
    <w:rsid w:val="00C144BB"/>
    <w:rsid w:val="00C14FE0"/>
    <w:rsid w:val="00C1547D"/>
    <w:rsid w:val="00C155C7"/>
    <w:rsid w:val="00C15745"/>
    <w:rsid w:val="00C15D31"/>
    <w:rsid w:val="00C15F36"/>
    <w:rsid w:val="00C163A2"/>
    <w:rsid w:val="00C16B6F"/>
    <w:rsid w:val="00C17043"/>
    <w:rsid w:val="00C170D5"/>
    <w:rsid w:val="00C17BDE"/>
    <w:rsid w:val="00C17E38"/>
    <w:rsid w:val="00C17EFD"/>
    <w:rsid w:val="00C20438"/>
    <w:rsid w:val="00C20A0E"/>
    <w:rsid w:val="00C2154B"/>
    <w:rsid w:val="00C218D3"/>
    <w:rsid w:val="00C21904"/>
    <w:rsid w:val="00C21AFD"/>
    <w:rsid w:val="00C21B01"/>
    <w:rsid w:val="00C21C59"/>
    <w:rsid w:val="00C23360"/>
    <w:rsid w:val="00C23C6D"/>
    <w:rsid w:val="00C23CD6"/>
    <w:rsid w:val="00C2444D"/>
    <w:rsid w:val="00C252A6"/>
    <w:rsid w:val="00C25A28"/>
    <w:rsid w:val="00C26D70"/>
    <w:rsid w:val="00C272B5"/>
    <w:rsid w:val="00C272F7"/>
    <w:rsid w:val="00C27C04"/>
    <w:rsid w:val="00C3009E"/>
    <w:rsid w:val="00C30348"/>
    <w:rsid w:val="00C30797"/>
    <w:rsid w:val="00C30D76"/>
    <w:rsid w:val="00C30E94"/>
    <w:rsid w:val="00C31A83"/>
    <w:rsid w:val="00C31CC4"/>
    <w:rsid w:val="00C320C8"/>
    <w:rsid w:val="00C32E00"/>
    <w:rsid w:val="00C341D2"/>
    <w:rsid w:val="00C346DB"/>
    <w:rsid w:val="00C347F8"/>
    <w:rsid w:val="00C349F0"/>
    <w:rsid w:val="00C34D7B"/>
    <w:rsid w:val="00C34DCB"/>
    <w:rsid w:val="00C35908"/>
    <w:rsid w:val="00C35D62"/>
    <w:rsid w:val="00C360E8"/>
    <w:rsid w:val="00C361B2"/>
    <w:rsid w:val="00C36440"/>
    <w:rsid w:val="00C36AA2"/>
    <w:rsid w:val="00C37B77"/>
    <w:rsid w:val="00C37BBE"/>
    <w:rsid w:val="00C400FC"/>
    <w:rsid w:val="00C402B6"/>
    <w:rsid w:val="00C4036F"/>
    <w:rsid w:val="00C41351"/>
    <w:rsid w:val="00C41BB9"/>
    <w:rsid w:val="00C41F3C"/>
    <w:rsid w:val="00C433B5"/>
    <w:rsid w:val="00C43A7F"/>
    <w:rsid w:val="00C43BAA"/>
    <w:rsid w:val="00C43D3C"/>
    <w:rsid w:val="00C44CA8"/>
    <w:rsid w:val="00C45285"/>
    <w:rsid w:val="00C45695"/>
    <w:rsid w:val="00C456B9"/>
    <w:rsid w:val="00C45E2D"/>
    <w:rsid w:val="00C463A9"/>
    <w:rsid w:val="00C463FA"/>
    <w:rsid w:val="00C4665A"/>
    <w:rsid w:val="00C46A7C"/>
    <w:rsid w:val="00C470DA"/>
    <w:rsid w:val="00C474CA"/>
    <w:rsid w:val="00C4761F"/>
    <w:rsid w:val="00C501C6"/>
    <w:rsid w:val="00C5027B"/>
    <w:rsid w:val="00C51027"/>
    <w:rsid w:val="00C51A54"/>
    <w:rsid w:val="00C51F9D"/>
    <w:rsid w:val="00C53227"/>
    <w:rsid w:val="00C532FA"/>
    <w:rsid w:val="00C5390B"/>
    <w:rsid w:val="00C53DFE"/>
    <w:rsid w:val="00C54E5E"/>
    <w:rsid w:val="00C55631"/>
    <w:rsid w:val="00C5570B"/>
    <w:rsid w:val="00C55FD8"/>
    <w:rsid w:val="00C5643A"/>
    <w:rsid w:val="00C56CE8"/>
    <w:rsid w:val="00C57376"/>
    <w:rsid w:val="00C57948"/>
    <w:rsid w:val="00C579C5"/>
    <w:rsid w:val="00C57F26"/>
    <w:rsid w:val="00C60D1A"/>
    <w:rsid w:val="00C60D81"/>
    <w:rsid w:val="00C60E60"/>
    <w:rsid w:val="00C60E78"/>
    <w:rsid w:val="00C60EFB"/>
    <w:rsid w:val="00C61252"/>
    <w:rsid w:val="00C6156A"/>
    <w:rsid w:val="00C61CD1"/>
    <w:rsid w:val="00C61FBB"/>
    <w:rsid w:val="00C626E4"/>
    <w:rsid w:val="00C62A59"/>
    <w:rsid w:val="00C63133"/>
    <w:rsid w:val="00C63327"/>
    <w:rsid w:val="00C63B0B"/>
    <w:rsid w:val="00C63D78"/>
    <w:rsid w:val="00C63F31"/>
    <w:rsid w:val="00C63F89"/>
    <w:rsid w:val="00C6406E"/>
    <w:rsid w:val="00C6424D"/>
    <w:rsid w:val="00C643E2"/>
    <w:rsid w:val="00C65647"/>
    <w:rsid w:val="00C65A81"/>
    <w:rsid w:val="00C66B6C"/>
    <w:rsid w:val="00C66C2C"/>
    <w:rsid w:val="00C66E02"/>
    <w:rsid w:val="00C70161"/>
    <w:rsid w:val="00C71793"/>
    <w:rsid w:val="00C71E9A"/>
    <w:rsid w:val="00C7227E"/>
    <w:rsid w:val="00C72539"/>
    <w:rsid w:val="00C73685"/>
    <w:rsid w:val="00C739EC"/>
    <w:rsid w:val="00C748EE"/>
    <w:rsid w:val="00C749A2"/>
    <w:rsid w:val="00C75C1F"/>
    <w:rsid w:val="00C75C27"/>
    <w:rsid w:val="00C75EE6"/>
    <w:rsid w:val="00C76CA3"/>
    <w:rsid w:val="00C76D39"/>
    <w:rsid w:val="00C774F3"/>
    <w:rsid w:val="00C77686"/>
    <w:rsid w:val="00C80063"/>
    <w:rsid w:val="00C802B2"/>
    <w:rsid w:val="00C80369"/>
    <w:rsid w:val="00C804A1"/>
    <w:rsid w:val="00C814B9"/>
    <w:rsid w:val="00C819D2"/>
    <w:rsid w:val="00C8245A"/>
    <w:rsid w:val="00C8249C"/>
    <w:rsid w:val="00C8275D"/>
    <w:rsid w:val="00C82E3D"/>
    <w:rsid w:val="00C82EFD"/>
    <w:rsid w:val="00C83556"/>
    <w:rsid w:val="00C83E65"/>
    <w:rsid w:val="00C83FD5"/>
    <w:rsid w:val="00C849EF"/>
    <w:rsid w:val="00C84F83"/>
    <w:rsid w:val="00C8656B"/>
    <w:rsid w:val="00C869CE"/>
    <w:rsid w:val="00C87BAF"/>
    <w:rsid w:val="00C87E19"/>
    <w:rsid w:val="00C87F2E"/>
    <w:rsid w:val="00C90085"/>
    <w:rsid w:val="00C90310"/>
    <w:rsid w:val="00C9148C"/>
    <w:rsid w:val="00C914CB"/>
    <w:rsid w:val="00C91521"/>
    <w:rsid w:val="00C915EF"/>
    <w:rsid w:val="00C9291D"/>
    <w:rsid w:val="00C939D5"/>
    <w:rsid w:val="00C94E84"/>
    <w:rsid w:val="00C95414"/>
    <w:rsid w:val="00C9556E"/>
    <w:rsid w:val="00C95ABC"/>
    <w:rsid w:val="00C95F84"/>
    <w:rsid w:val="00C9674B"/>
    <w:rsid w:val="00C96F89"/>
    <w:rsid w:val="00C9737D"/>
    <w:rsid w:val="00CA038D"/>
    <w:rsid w:val="00CA0D07"/>
    <w:rsid w:val="00CA1D38"/>
    <w:rsid w:val="00CA3D29"/>
    <w:rsid w:val="00CA424D"/>
    <w:rsid w:val="00CA4BA9"/>
    <w:rsid w:val="00CA5A08"/>
    <w:rsid w:val="00CA5E41"/>
    <w:rsid w:val="00CA6043"/>
    <w:rsid w:val="00CA682D"/>
    <w:rsid w:val="00CA6E3B"/>
    <w:rsid w:val="00CA73BA"/>
    <w:rsid w:val="00CA7AE8"/>
    <w:rsid w:val="00CA7AF9"/>
    <w:rsid w:val="00CA7CCC"/>
    <w:rsid w:val="00CA7D74"/>
    <w:rsid w:val="00CB00D1"/>
    <w:rsid w:val="00CB00F9"/>
    <w:rsid w:val="00CB1579"/>
    <w:rsid w:val="00CB258E"/>
    <w:rsid w:val="00CB2650"/>
    <w:rsid w:val="00CB26AC"/>
    <w:rsid w:val="00CB3532"/>
    <w:rsid w:val="00CB3CEB"/>
    <w:rsid w:val="00CB3E1E"/>
    <w:rsid w:val="00CB3FAB"/>
    <w:rsid w:val="00CB446A"/>
    <w:rsid w:val="00CB47A7"/>
    <w:rsid w:val="00CB525D"/>
    <w:rsid w:val="00CB5AA5"/>
    <w:rsid w:val="00CB60F3"/>
    <w:rsid w:val="00CB62AD"/>
    <w:rsid w:val="00CB6452"/>
    <w:rsid w:val="00CB68CB"/>
    <w:rsid w:val="00CB731F"/>
    <w:rsid w:val="00CB7D89"/>
    <w:rsid w:val="00CC0589"/>
    <w:rsid w:val="00CC105D"/>
    <w:rsid w:val="00CC119F"/>
    <w:rsid w:val="00CC1756"/>
    <w:rsid w:val="00CC1AA8"/>
    <w:rsid w:val="00CC1E99"/>
    <w:rsid w:val="00CC1FFA"/>
    <w:rsid w:val="00CC30E7"/>
    <w:rsid w:val="00CC327F"/>
    <w:rsid w:val="00CC3D7D"/>
    <w:rsid w:val="00CC3E84"/>
    <w:rsid w:val="00CC4264"/>
    <w:rsid w:val="00CC4388"/>
    <w:rsid w:val="00CC5990"/>
    <w:rsid w:val="00CC5C2A"/>
    <w:rsid w:val="00CC6EA2"/>
    <w:rsid w:val="00CC7119"/>
    <w:rsid w:val="00CC72A5"/>
    <w:rsid w:val="00CC738C"/>
    <w:rsid w:val="00CC74CC"/>
    <w:rsid w:val="00CC75DC"/>
    <w:rsid w:val="00CC7870"/>
    <w:rsid w:val="00CC7B7C"/>
    <w:rsid w:val="00CC7FAA"/>
    <w:rsid w:val="00CD0DC7"/>
    <w:rsid w:val="00CD1984"/>
    <w:rsid w:val="00CD3476"/>
    <w:rsid w:val="00CD3E6A"/>
    <w:rsid w:val="00CD456C"/>
    <w:rsid w:val="00CD476A"/>
    <w:rsid w:val="00CD5422"/>
    <w:rsid w:val="00CD5904"/>
    <w:rsid w:val="00CD5B07"/>
    <w:rsid w:val="00CD61C9"/>
    <w:rsid w:val="00CD6436"/>
    <w:rsid w:val="00CD66B5"/>
    <w:rsid w:val="00CD675F"/>
    <w:rsid w:val="00CD6905"/>
    <w:rsid w:val="00CD7B1E"/>
    <w:rsid w:val="00CE0047"/>
    <w:rsid w:val="00CE040C"/>
    <w:rsid w:val="00CE06F0"/>
    <w:rsid w:val="00CE0AAF"/>
    <w:rsid w:val="00CE2C08"/>
    <w:rsid w:val="00CE3056"/>
    <w:rsid w:val="00CE534A"/>
    <w:rsid w:val="00CE543A"/>
    <w:rsid w:val="00CE549F"/>
    <w:rsid w:val="00CE58DF"/>
    <w:rsid w:val="00CE5D8B"/>
    <w:rsid w:val="00CE6362"/>
    <w:rsid w:val="00CE6FEB"/>
    <w:rsid w:val="00CE7319"/>
    <w:rsid w:val="00CE7C3E"/>
    <w:rsid w:val="00CF0629"/>
    <w:rsid w:val="00CF0A6A"/>
    <w:rsid w:val="00CF0EB0"/>
    <w:rsid w:val="00CF10F7"/>
    <w:rsid w:val="00CF1286"/>
    <w:rsid w:val="00CF1896"/>
    <w:rsid w:val="00CF29DC"/>
    <w:rsid w:val="00CF2B59"/>
    <w:rsid w:val="00CF2CCA"/>
    <w:rsid w:val="00CF327B"/>
    <w:rsid w:val="00CF32D2"/>
    <w:rsid w:val="00CF3441"/>
    <w:rsid w:val="00CF3494"/>
    <w:rsid w:val="00CF35E5"/>
    <w:rsid w:val="00CF3C5E"/>
    <w:rsid w:val="00CF3D27"/>
    <w:rsid w:val="00CF3D4A"/>
    <w:rsid w:val="00CF448D"/>
    <w:rsid w:val="00CF44C4"/>
    <w:rsid w:val="00CF45FD"/>
    <w:rsid w:val="00CF474A"/>
    <w:rsid w:val="00CF49C7"/>
    <w:rsid w:val="00CF5496"/>
    <w:rsid w:val="00CF5617"/>
    <w:rsid w:val="00CF6B75"/>
    <w:rsid w:val="00CF741B"/>
    <w:rsid w:val="00CF769A"/>
    <w:rsid w:val="00D00495"/>
    <w:rsid w:val="00D0066B"/>
    <w:rsid w:val="00D01A7F"/>
    <w:rsid w:val="00D02243"/>
    <w:rsid w:val="00D0268D"/>
    <w:rsid w:val="00D0295B"/>
    <w:rsid w:val="00D02A77"/>
    <w:rsid w:val="00D032CA"/>
    <w:rsid w:val="00D03404"/>
    <w:rsid w:val="00D0399F"/>
    <w:rsid w:val="00D03B7A"/>
    <w:rsid w:val="00D03D0A"/>
    <w:rsid w:val="00D04447"/>
    <w:rsid w:val="00D04FB5"/>
    <w:rsid w:val="00D0579B"/>
    <w:rsid w:val="00D068B7"/>
    <w:rsid w:val="00D06C3D"/>
    <w:rsid w:val="00D07331"/>
    <w:rsid w:val="00D07601"/>
    <w:rsid w:val="00D07C4E"/>
    <w:rsid w:val="00D1039D"/>
    <w:rsid w:val="00D11771"/>
    <w:rsid w:val="00D125E2"/>
    <w:rsid w:val="00D12D88"/>
    <w:rsid w:val="00D13660"/>
    <w:rsid w:val="00D13B89"/>
    <w:rsid w:val="00D13D79"/>
    <w:rsid w:val="00D1488B"/>
    <w:rsid w:val="00D14A7F"/>
    <w:rsid w:val="00D14FF3"/>
    <w:rsid w:val="00D16383"/>
    <w:rsid w:val="00D16CB1"/>
    <w:rsid w:val="00D16D5E"/>
    <w:rsid w:val="00D170B4"/>
    <w:rsid w:val="00D1727B"/>
    <w:rsid w:val="00D17462"/>
    <w:rsid w:val="00D17784"/>
    <w:rsid w:val="00D2013C"/>
    <w:rsid w:val="00D208BB"/>
    <w:rsid w:val="00D2229C"/>
    <w:rsid w:val="00D22B23"/>
    <w:rsid w:val="00D22B7B"/>
    <w:rsid w:val="00D22DD9"/>
    <w:rsid w:val="00D23495"/>
    <w:rsid w:val="00D2390A"/>
    <w:rsid w:val="00D23FA1"/>
    <w:rsid w:val="00D24718"/>
    <w:rsid w:val="00D24C1E"/>
    <w:rsid w:val="00D25949"/>
    <w:rsid w:val="00D25A71"/>
    <w:rsid w:val="00D25D49"/>
    <w:rsid w:val="00D26BCC"/>
    <w:rsid w:val="00D26DA0"/>
    <w:rsid w:val="00D26E72"/>
    <w:rsid w:val="00D27CCB"/>
    <w:rsid w:val="00D27E0F"/>
    <w:rsid w:val="00D310DE"/>
    <w:rsid w:val="00D3121F"/>
    <w:rsid w:val="00D3258D"/>
    <w:rsid w:val="00D33794"/>
    <w:rsid w:val="00D33C1D"/>
    <w:rsid w:val="00D34068"/>
    <w:rsid w:val="00D3483E"/>
    <w:rsid w:val="00D34B92"/>
    <w:rsid w:val="00D34E3B"/>
    <w:rsid w:val="00D34EF5"/>
    <w:rsid w:val="00D35AD8"/>
    <w:rsid w:val="00D36388"/>
    <w:rsid w:val="00D36744"/>
    <w:rsid w:val="00D36F13"/>
    <w:rsid w:val="00D378C8"/>
    <w:rsid w:val="00D3798D"/>
    <w:rsid w:val="00D37A9B"/>
    <w:rsid w:val="00D40166"/>
    <w:rsid w:val="00D40216"/>
    <w:rsid w:val="00D4040F"/>
    <w:rsid w:val="00D41688"/>
    <w:rsid w:val="00D416AB"/>
    <w:rsid w:val="00D41CDE"/>
    <w:rsid w:val="00D41F88"/>
    <w:rsid w:val="00D41FA9"/>
    <w:rsid w:val="00D427AC"/>
    <w:rsid w:val="00D42F39"/>
    <w:rsid w:val="00D43387"/>
    <w:rsid w:val="00D43F6F"/>
    <w:rsid w:val="00D4422F"/>
    <w:rsid w:val="00D4459F"/>
    <w:rsid w:val="00D44903"/>
    <w:rsid w:val="00D44A96"/>
    <w:rsid w:val="00D44C5B"/>
    <w:rsid w:val="00D44D86"/>
    <w:rsid w:val="00D45E73"/>
    <w:rsid w:val="00D46310"/>
    <w:rsid w:val="00D471F9"/>
    <w:rsid w:val="00D4750A"/>
    <w:rsid w:val="00D47BD6"/>
    <w:rsid w:val="00D47EBA"/>
    <w:rsid w:val="00D50C1C"/>
    <w:rsid w:val="00D51533"/>
    <w:rsid w:val="00D5187D"/>
    <w:rsid w:val="00D51C06"/>
    <w:rsid w:val="00D52091"/>
    <w:rsid w:val="00D537FB"/>
    <w:rsid w:val="00D54B8A"/>
    <w:rsid w:val="00D55020"/>
    <w:rsid w:val="00D552C0"/>
    <w:rsid w:val="00D5537C"/>
    <w:rsid w:val="00D55F74"/>
    <w:rsid w:val="00D565F8"/>
    <w:rsid w:val="00D56787"/>
    <w:rsid w:val="00D56F4A"/>
    <w:rsid w:val="00D57003"/>
    <w:rsid w:val="00D57C57"/>
    <w:rsid w:val="00D57DDA"/>
    <w:rsid w:val="00D60A78"/>
    <w:rsid w:val="00D61029"/>
    <w:rsid w:val="00D616AD"/>
    <w:rsid w:val="00D619CF"/>
    <w:rsid w:val="00D61AA9"/>
    <w:rsid w:val="00D61ABB"/>
    <w:rsid w:val="00D61B2A"/>
    <w:rsid w:val="00D62048"/>
    <w:rsid w:val="00D62457"/>
    <w:rsid w:val="00D62C33"/>
    <w:rsid w:val="00D62CF4"/>
    <w:rsid w:val="00D633D6"/>
    <w:rsid w:val="00D636DC"/>
    <w:rsid w:val="00D647EA"/>
    <w:rsid w:val="00D64C56"/>
    <w:rsid w:val="00D64EB7"/>
    <w:rsid w:val="00D6549E"/>
    <w:rsid w:val="00D654DF"/>
    <w:rsid w:val="00D66431"/>
    <w:rsid w:val="00D66C79"/>
    <w:rsid w:val="00D670D5"/>
    <w:rsid w:val="00D67892"/>
    <w:rsid w:val="00D67C72"/>
    <w:rsid w:val="00D7019D"/>
    <w:rsid w:val="00D70517"/>
    <w:rsid w:val="00D70EC3"/>
    <w:rsid w:val="00D71730"/>
    <w:rsid w:val="00D71FB9"/>
    <w:rsid w:val="00D72642"/>
    <w:rsid w:val="00D72859"/>
    <w:rsid w:val="00D728BB"/>
    <w:rsid w:val="00D72E74"/>
    <w:rsid w:val="00D72F2C"/>
    <w:rsid w:val="00D73D77"/>
    <w:rsid w:val="00D73F67"/>
    <w:rsid w:val="00D74344"/>
    <w:rsid w:val="00D744C5"/>
    <w:rsid w:val="00D74805"/>
    <w:rsid w:val="00D754FB"/>
    <w:rsid w:val="00D76217"/>
    <w:rsid w:val="00D775A3"/>
    <w:rsid w:val="00D80828"/>
    <w:rsid w:val="00D80A18"/>
    <w:rsid w:val="00D80AF8"/>
    <w:rsid w:val="00D81B37"/>
    <w:rsid w:val="00D820DD"/>
    <w:rsid w:val="00D82168"/>
    <w:rsid w:val="00D829DD"/>
    <w:rsid w:val="00D82CB6"/>
    <w:rsid w:val="00D8324F"/>
    <w:rsid w:val="00D8376E"/>
    <w:rsid w:val="00D838CA"/>
    <w:rsid w:val="00D83CA0"/>
    <w:rsid w:val="00D84B3D"/>
    <w:rsid w:val="00D84E5B"/>
    <w:rsid w:val="00D853B9"/>
    <w:rsid w:val="00D85A23"/>
    <w:rsid w:val="00D85C5B"/>
    <w:rsid w:val="00D8672B"/>
    <w:rsid w:val="00D8677C"/>
    <w:rsid w:val="00D871B4"/>
    <w:rsid w:val="00D871DD"/>
    <w:rsid w:val="00D87621"/>
    <w:rsid w:val="00D9077B"/>
    <w:rsid w:val="00D90B31"/>
    <w:rsid w:val="00D9100B"/>
    <w:rsid w:val="00D92E6C"/>
    <w:rsid w:val="00D92ECA"/>
    <w:rsid w:val="00D9360D"/>
    <w:rsid w:val="00D9376E"/>
    <w:rsid w:val="00D93F10"/>
    <w:rsid w:val="00D940AD"/>
    <w:rsid w:val="00D945DA"/>
    <w:rsid w:val="00D947B2"/>
    <w:rsid w:val="00D94B0D"/>
    <w:rsid w:val="00D94FF2"/>
    <w:rsid w:val="00D95179"/>
    <w:rsid w:val="00D9532F"/>
    <w:rsid w:val="00D96799"/>
    <w:rsid w:val="00D96C92"/>
    <w:rsid w:val="00D96D58"/>
    <w:rsid w:val="00D96DB7"/>
    <w:rsid w:val="00D9734D"/>
    <w:rsid w:val="00D97460"/>
    <w:rsid w:val="00D97576"/>
    <w:rsid w:val="00DA0A74"/>
    <w:rsid w:val="00DA0C0E"/>
    <w:rsid w:val="00DA19EB"/>
    <w:rsid w:val="00DA1D9E"/>
    <w:rsid w:val="00DA2641"/>
    <w:rsid w:val="00DA267C"/>
    <w:rsid w:val="00DA26E4"/>
    <w:rsid w:val="00DA2DF7"/>
    <w:rsid w:val="00DA2E6B"/>
    <w:rsid w:val="00DA2F94"/>
    <w:rsid w:val="00DA38C9"/>
    <w:rsid w:val="00DA3D49"/>
    <w:rsid w:val="00DA4118"/>
    <w:rsid w:val="00DA4702"/>
    <w:rsid w:val="00DA48AD"/>
    <w:rsid w:val="00DA4EBF"/>
    <w:rsid w:val="00DA506F"/>
    <w:rsid w:val="00DA52C4"/>
    <w:rsid w:val="00DA53FD"/>
    <w:rsid w:val="00DA5730"/>
    <w:rsid w:val="00DA5902"/>
    <w:rsid w:val="00DA5C0B"/>
    <w:rsid w:val="00DA618D"/>
    <w:rsid w:val="00DA66EB"/>
    <w:rsid w:val="00DA6D6D"/>
    <w:rsid w:val="00DA70EE"/>
    <w:rsid w:val="00DA70F4"/>
    <w:rsid w:val="00DA7327"/>
    <w:rsid w:val="00DA7F2A"/>
    <w:rsid w:val="00DB0624"/>
    <w:rsid w:val="00DB0D2A"/>
    <w:rsid w:val="00DB144B"/>
    <w:rsid w:val="00DB1E89"/>
    <w:rsid w:val="00DB233E"/>
    <w:rsid w:val="00DB26D5"/>
    <w:rsid w:val="00DB2C76"/>
    <w:rsid w:val="00DB3421"/>
    <w:rsid w:val="00DB3511"/>
    <w:rsid w:val="00DB3667"/>
    <w:rsid w:val="00DB40B1"/>
    <w:rsid w:val="00DB4DBE"/>
    <w:rsid w:val="00DB4DCE"/>
    <w:rsid w:val="00DB60CA"/>
    <w:rsid w:val="00DB6814"/>
    <w:rsid w:val="00DB75BB"/>
    <w:rsid w:val="00DB7E32"/>
    <w:rsid w:val="00DB7E8F"/>
    <w:rsid w:val="00DC053F"/>
    <w:rsid w:val="00DC0A70"/>
    <w:rsid w:val="00DC0B63"/>
    <w:rsid w:val="00DC0FCB"/>
    <w:rsid w:val="00DC1353"/>
    <w:rsid w:val="00DC14B8"/>
    <w:rsid w:val="00DC1E5A"/>
    <w:rsid w:val="00DC220F"/>
    <w:rsid w:val="00DC2B25"/>
    <w:rsid w:val="00DC347D"/>
    <w:rsid w:val="00DC37FB"/>
    <w:rsid w:val="00DC3D9E"/>
    <w:rsid w:val="00DC432B"/>
    <w:rsid w:val="00DC4437"/>
    <w:rsid w:val="00DC4D93"/>
    <w:rsid w:val="00DC4FBC"/>
    <w:rsid w:val="00DC52F1"/>
    <w:rsid w:val="00DC5861"/>
    <w:rsid w:val="00DC5CA6"/>
    <w:rsid w:val="00DC660C"/>
    <w:rsid w:val="00DC6FFC"/>
    <w:rsid w:val="00DC7216"/>
    <w:rsid w:val="00DC76F4"/>
    <w:rsid w:val="00DC7910"/>
    <w:rsid w:val="00DC7EB5"/>
    <w:rsid w:val="00DD0C54"/>
    <w:rsid w:val="00DD0D1D"/>
    <w:rsid w:val="00DD113F"/>
    <w:rsid w:val="00DD18C3"/>
    <w:rsid w:val="00DD1B3C"/>
    <w:rsid w:val="00DD1CFA"/>
    <w:rsid w:val="00DD35A3"/>
    <w:rsid w:val="00DD3F83"/>
    <w:rsid w:val="00DD3FAD"/>
    <w:rsid w:val="00DD419D"/>
    <w:rsid w:val="00DD4B96"/>
    <w:rsid w:val="00DD4E6A"/>
    <w:rsid w:val="00DD5523"/>
    <w:rsid w:val="00DD556A"/>
    <w:rsid w:val="00DD5788"/>
    <w:rsid w:val="00DD5EAC"/>
    <w:rsid w:val="00DD6000"/>
    <w:rsid w:val="00DD6CF6"/>
    <w:rsid w:val="00DD6DF7"/>
    <w:rsid w:val="00DD72C5"/>
    <w:rsid w:val="00DD7427"/>
    <w:rsid w:val="00DD7E67"/>
    <w:rsid w:val="00DE004D"/>
    <w:rsid w:val="00DE04B4"/>
    <w:rsid w:val="00DE0583"/>
    <w:rsid w:val="00DE0876"/>
    <w:rsid w:val="00DE0D6F"/>
    <w:rsid w:val="00DE1A87"/>
    <w:rsid w:val="00DE2E6F"/>
    <w:rsid w:val="00DE38CE"/>
    <w:rsid w:val="00DE4393"/>
    <w:rsid w:val="00DE543C"/>
    <w:rsid w:val="00DE58DD"/>
    <w:rsid w:val="00DE61CB"/>
    <w:rsid w:val="00DE63D2"/>
    <w:rsid w:val="00DE675B"/>
    <w:rsid w:val="00DE6C14"/>
    <w:rsid w:val="00DE7D44"/>
    <w:rsid w:val="00DE7EA5"/>
    <w:rsid w:val="00DF1160"/>
    <w:rsid w:val="00DF12B9"/>
    <w:rsid w:val="00DF1998"/>
    <w:rsid w:val="00DF2AA7"/>
    <w:rsid w:val="00DF2E00"/>
    <w:rsid w:val="00DF33AD"/>
    <w:rsid w:val="00DF342B"/>
    <w:rsid w:val="00DF3DF9"/>
    <w:rsid w:val="00DF42FA"/>
    <w:rsid w:val="00DF44BA"/>
    <w:rsid w:val="00DF50D9"/>
    <w:rsid w:val="00DF53DF"/>
    <w:rsid w:val="00DF5826"/>
    <w:rsid w:val="00DF58C9"/>
    <w:rsid w:val="00DF5A55"/>
    <w:rsid w:val="00DF6A53"/>
    <w:rsid w:val="00DF6CEE"/>
    <w:rsid w:val="00DF723A"/>
    <w:rsid w:val="00DF792B"/>
    <w:rsid w:val="00DF7AAD"/>
    <w:rsid w:val="00DF7BC0"/>
    <w:rsid w:val="00E00637"/>
    <w:rsid w:val="00E0155A"/>
    <w:rsid w:val="00E016EB"/>
    <w:rsid w:val="00E01C1C"/>
    <w:rsid w:val="00E01CD6"/>
    <w:rsid w:val="00E02C1E"/>
    <w:rsid w:val="00E0306E"/>
    <w:rsid w:val="00E03E22"/>
    <w:rsid w:val="00E0480D"/>
    <w:rsid w:val="00E0527A"/>
    <w:rsid w:val="00E07675"/>
    <w:rsid w:val="00E07A86"/>
    <w:rsid w:val="00E1016B"/>
    <w:rsid w:val="00E102ED"/>
    <w:rsid w:val="00E104A2"/>
    <w:rsid w:val="00E11376"/>
    <w:rsid w:val="00E113A7"/>
    <w:rsid w:val="00E11BF5"/>
    <w:rsid w:val="00E11E59"/>
    <w:rsid w:val="00E12B3B"/>
    <w:rsid w:val="00E12EA4"/>
    <w:rsid w:val="00E13037"/>
    <w:rsid w:val="00E1313A"/>
    <w:rsid w:val="00E13509"/>
    <w:rsid w:val="00E13534"/>
    <w:rsid w:val="00E13CA2"/>
    <w:rsid w:val="00E149F7"/>
    <w:rsid w:val="00E14A18"/>
    <w:rsid w:val="00E157B9"/>
    <w:rsid w:val="00E168FE"/>
    <w:rsid w:val="00E16948"/>
    <w:rsid w:val="00E16CB3"/>
    <w:rsid w:val="00E16E44"/>
    <w:rsid w:val="00E16E77"/>
    <w:rsid w:val="00E17773"/>
    <w:rsid w:val="00E17E10"/>
    <w:rsid w:val="00E20506"/>
    <w:rsid w:val="00E20739"/>
    <w:rsid w:val="00E21586"/>
    <w:rsid w:val="00E220D5"/>
    <w:rsid w:val="00E2243A"/>
    <w:rsid w:val="00E225CC"/>
    <w:rsid w:val="00E2358D"/>
    <w:rsid w:val="00E23715"/>
    <w:rsid w:val="00E23832"/>
    <w:rsid w:val="00E24675"/>
    <w:rsid w:val="00E2475C"/>
    <w:rsid w:val="00E249E3"/>
    <w:rsid w:val="00E24CCA"/>
    <w:rsid w:val="00E25285"/>
    <w:rsid w:val="00E25DF9"/>
    <w:rsid w:val="00E265FC"/>
    <w:rsid w:val="00E266EA"/>
    <w:rsid w:val="00E26B1E"/>
    <w:rsid w:val="00E275AF"/>
    <w:rsid w:val="00E27669"/>
    <w:rsid w:val="00E27712"/>
    <w:rsid w:val="00E27790"/>
    <w:rsid w:val="00E27A3B"/>
    <w:rsid w:val="00E27E1D"/>
    <w:rsid w:val="00E306D2"/>
    <w:rsid w:val="00E31684"/>
    <w:rsid w:val="00E31A6C"/>
    <w:rsid w:val="00E31D88"/>
    <w:rsid w:val="00E31E86"/>
    <w:rsid w:val="00E31EA9"/>
    <w:rsid w:val="00E3229D"/>
    <w:rsid w:val="00E32DD2"/>
    <w:rsid w:val="00E3339D"/>
    <w:rsid w:val="00E340D7"/>
    <w:rsid w:val="00E344E5"/>
    <w:rsid w:val="00E34653"/>
    <w:rsid w:val="00E347E4"/>
    <w:rsid w:val="00E3480A"/>
    <w:rsid w:val="00E35BAA"/>
    <w:rsid w:val="00E3610D"/>
    <w:rsid w:val="00E361C4"/>
    <w:rsid w:val="00E362B2"/>
    <w:rsid w:val="00E364EA"/>
    <w:rsid w:val="00E36C93"/>
    <w:rsid w:val="00E36CC3"/>
    <w:rsid w:val="00E373C8"/>
    <w:rsid w:val="00E37463"/>
    <w:rsid w:val="00E3798E"/>
    <w:rsid w:val="00E400BD"/>
    <w:rsid w:val="00E4015E"/>
    <w:rsid w:val="00E40285"/>
    <w:rsid w:val="00E402DB"/>
    <w:rsid w:val="00E40AA0"/>
    <w:rsid w:val="00E40C93"/>
    <w:rsid w:val="00E40D50"/>
    <w:rsid w:val="00E415B6"/>
    <w:rsid w:val="00E41824"/>
    <w:rsid w:val="00E4182D"/>
    <w:rsid w:val="00E41F99"/>
    <w:rsid w:val="00E42502"/>
    <w:rsid w:val="00E43C77"/>
    <w:rsid w:val="00E44926"/>
    <w:rsid w:val="00E454CF"/>
    <w:rsid w:val="00E458B9"/>
    <w:rsid w:val="00E45C8A"/>
    <w:rsid w:val="00E46269"/>
    <w:rsid w:val="00E465C2"/>
    <w:rsid w:val="00E4694D"/>
    <w:rsid w:val="00E46F63"/>
    <w:rsid w:val="00E473AF"/>
    <w:rsid w:val="00E474AB"/>
    <w:rsid w:val="00E47BD4"/>
    <w:rsid w:val="00E50093"/>
    <w:rsid w:val="00E508B7"/>
    <w:rsid w:val="00E515C1"/>
    <w:rsid w:val="00E51D12"/>
    <w:rsid w:val="00E52839"/>
    <w:rsid w:val="00E52ED1"/>
    <w:rsid w:val="00E52F27"/>
    <w:rsid w:val="00E52F57"/>
    <w:rsid w:val="00E54538"/>
    <w:rsid w:val="00E54560"/>
    <w:rsid w:val="00E55486"/>
    <w:rsid w:val="00E55A87"/>
    <w:rsid w:val="00E55C51"/>
    <w:rsid w:val="00E5671A"/>
    <w:rsid w:val="00E5678D"/>
    <w:rsid w:val="00E569FC"/>
    <w:rsid w:val="00E570C5"/>
    <w:rsid w:val="00E572DE"/>
    <w:rsid w:val="00E5755A"/>
    <w:rsid w:val="00E57649"/>
    <w:rsid w:val="00E57758"/>
    <w:rsid w:val="00E577C7"/>
    <w:rsid w:val="00E604E1"/>
    <w:rsid w:val="00E60680"/>
    <w:rsid w:val="00E61577"/>
    <w:rsid w:val="00E61D15"/>
    <w:rsid w:val="00E61EF9"/>
    <w:rsid w:val="00E62ECB"/>
    <w:rsid w:val="00E63217"/>
    <w:rsid w:val="00E63CB6"/>
    <w:rsid w:val="00E63E52"/>
    <w:rsid w:val="00E64231"/>
    <w:rsid w:val="00E6493D"/>
    <w:rsid w:val="00E654A5"/>
    <w:rsid w:val="00E656F2"/>
    <w:rsid w:val="00E6580A"/>
    <w:rsid w:val="00E65FF9"/>
    <w:rsid w:val="00E666D6"/>
    <w:rsid w:val="00E66BC9"/>
    <w:rsid w:val="00E66C33"/>
    <w:rsid w:val="00E66F6F"/>
    <w:rsid w:val="00E675E1"/>
    <w:rsid w:val="00E67D41"/>
    <w:rsid w:val="00E700F4"/>
    <w:rsid w:val="00E7023E"/>
    <w:rsid w:val="00E7031A"/>
    <w:rsid w:val="00E7056F"/>
    <w:rsid w:val="00E70AE6"/>
    <w:rsid w:val="00E70F4C"/>
    <w:rsid w:val="00E710A9"/>
    <w:rsid w:val="00E71152"/>
    <w:rsid w:val="00E71658"/>
    <w:rsid w:val="00E717F0"/>
    <w:rsid w:val="00E72950"/>
    <w:rsid w:val="00E730EB"/>
    <w:rsid w:val="00E7353E"/>
    <w:rsid w:val="00E736AF"/>
    <w:rsid w:val="00E736E2"/>
    <w:rsid w:val="00E73E77"/>
    <w:rsid w:val="00E74F85"/>
    <w:rsid w:val="00E753A3"/>
    <w:rsid w:val="00E7565F"/>
    <w:rsid w:val="00E7591C"/>
    <w:rsid w:val="00E7650B"/>
    <w:rsid w:val="00E765B8"/>
    <w:rsid w:val="00E76C11"/>
    <w:rsid w:val="00E770DC"/>
    <w:rsid w:val="00E779C6"/>
    <w:rsid w:val="00E80DCB"/>
    <w:rsid w:val="00E81252"/>
    <w:rsid w:val="00E81261"/>
    <w:rsid w:val="00E81F83"/>
    <w:rsid w:val="00E82582"/>
    <w:rsid w:val="00E82CDB"/>
    <w:rsid w:val="00E837BC"/>
    <w:rsid w:val="00E8385F"/>
    <w:rsid w:val="00E84D1D"/>
    <w:rsid w:val="00E84FF3"/>
    <w:rsid w:val="00E857D0"/>
    <w:rsid w:val="00E85942"/>
    <w:rsid w:val="00E865A8"/>
    <w:rsid w:val="00E901C0"/>
    <w:rsid w:val="00E90300"/>
    <w:rsid w:val="00E90558"/>
    <w:rsid w:val="00E90D9F"/>
    <w:rsid w:val="00E90F68"/>
    <w:rsid w:val="00E9132D"/>
    <w:rsid w:val="00E914C5"/>
    <w:rsid w:val="00E91BDD"/>
    <w:rsid w:val="00E91E2E"/>
    <w:rsid w:val="00E92087"/>
    <w:rsid w:val="00E930A3"/>
    <w:rsid w:val="00E9318F"/>
    <w:rsid w:val="00E931C5"/>
    <w:rsid w:val="00E9351B"/>
    <w:rsid w:val="00E93DFA"/>
    <w:rsid w:val="00E93E71"/>
    <w:rsid w:val="00E943D3"/>
    <w:rsid w:val="00E945AD"/>
    <w:rsid w:val="00E9465B"/>
    <w:rsid w:val="00E9466A"/>
    <w:rsid w:val="00E94AC0"/>
    <w:rsid w:val="00E9506E"/>
    <w:rsid w:val="00E95923"/>
    <w:rsid w:val="00E95AB2"/>
    <w:rsid w:val="00E95B61"/>
    <w:rsid w:val="00E96147"/>
    <w:rsid w:val="00E9626E"/>
    <w:rsid w:val="00E96881"/>
    <w:rsid w:val="00E968CD"/>
    <w:rsid w:val="00E96A92"/>
    <w:rsid w:val="00E96CFA"/>
    <w:rsid w:val="00E97443"/>
    <w:rsid w:val="00E97914"/>
    <w:rsid w:val="00E97D01"/>
    <w:rsid w:val="00E97EF1"/>
    <w:rsid w:val="00EA08A3"/>
    <w:rsid w:val="00EA08BF"/>
    <w:rsid w:val="00EA0C5C"/>
    <w:rsid w:val="00EA1B3D"/>
    <w:rsid w:val="00EA1B66"/>
    <w:rsid w:val="00EA2655"/>
    <w:rsid w:val="00EA30FB"/>
    <w:rsid w:val="00EA31A5"/>
    <w:rsid w:val="00EA3361"/>
    <w:rsid w:val="00EA3416"/>
    <w:rsid w:val="00EA3C80"/>
    <w:rsid w:val="00EA3CDB"/>
    <w:rsid w:val="00EA4388"/>
    <w:rsid w:val="00EA50CE"/>
    <w:rsid w:val="00EA5ADA"/>
    <w:rsid w:val="00EA6261"/>
    <w:rsid w:val="00EA6A89"/>
    <w:rsid w:val="00EA6FBF"/>
    <w:rsid w:val="00EA7237"/>
    <w:rsid w:val="00EB0168"/>
    <w:rsid w:val="00EB0228"/>
    <w:rsid w:val="00EB1C1B"/>
    <w:rsid w:val="00EB2428"/>
    <w:rsid w:val="00EB298E"/>
    <w:rsid w:val="00EB2BED"/>
    <w:rsid w:val="00EB2DAD"/>
    <w:rsid w:val="00EB33E1"/>
    <w:rsid w:val="00EB4FC7"/>
    <w:rsid w:val="00EB52F3"/>
    <w:rsid w:val="00EB698B"/>
    <w:rsid w:val="00EB6F05"/>
    <w:rsid w:val="00EB76A3"/>
    <w:rsid w:val="00EC00E1"/>
    <w:rsid w:val="00EC09C9"/>
    <w:rsid w:val="00EC0C6E"/>
    <w:rsid w:val="00EC1079"/>
    <w:rsid w:val="00EC1622"/>
    <w:rsid w:val="00EC1680"/>
    <w:rsid w:val="00EC23DB"/>
    <w:rsid w:val="00EC3E61"/>
    <w:rsid w:val="00EC426F"/>
    <w:rsid w:val="00EC456F"/>
    <w:rsid w:val="00EC4725"/>
    <w:rsid w:val="00EC494C"/>
    <w:rsid w:val="00EC4BDB"/>
    <w:rsid w:val="00EC56BE"/>
    <w:rsid w:val="00EC5A91"/>
    <w:rsid w:val="00EC6320"/>
    <w:rsid w:val="00EC777E"/>
    <w:rsid w:val="00EC7C28"/>
    <w:rsid w:val="00EC7C96"/>
    <w:rsid w:val="00ED0004"/>
    <w:rsid w:val="00ED00A3"/>
    <w:rsid w:val="00ED02D1"/>
    <w:rsid w:val="00ED0BBC"/>
    <w:rsid w:val="00ED10EE"/>
    <w:rsid w:val="00ED1C0E"/>
    <w:rsid w:val="00ED224C"/>
    <w:rsid w:val="00ED26A1"/>
    <w:rsid w:val="00ED26C5"/>
    <w:rsid w:val="00ED28B0"/>
    <w:rsid w:val="00ED29AA"/>
    <w:rsid w:val="00ED2DFA"/>
    <w:rsid w:val="00ED2E8F"/>
    <w:rsid w:val="00ED3847"/>
    <w:rsid w:val="00ED3C47"/>
    <w:rsid w:val="00ED3EF6"/>
    <w:rsid w:val="00ED46B4"/>
    <w:rsid w:val="00ED6065"/>
    <w:rsid w:val="00ED6658"/>
    <w:rsid w:val="00ED68AF"/>
    <w:rsid w:val="00ED71C4"/>
    <w:rsid w:val="00ED725A"/>
    <w:rsid w:val="00ED7748"/>
    <w:rsid w:val="00EE1160"/>
    <w:rsid w:val="00EE1225"/>
    <w:rsid w:val="00EE1ED7"/>
    <w:rsid w:val="00EE27E2"/>
    <w:rsid w:val="00EE3244"/>
    <w:rsid w:val="00EE4113"/>
    <w:rsid w:val="00EE45CF"/>
    <w:rsid w:val="00EE541B"/>
    <w:rsid w:val="00EE567E"/>
    <w:rsid w:val="00EE6952"/>
    <w:rsid w:val="00EE6EDA"/>
    <w:rsid w:val="00EF0C4F"/>
    <w:rsid w:val="00EF1266"/>
    <w:rsid w:val="00EF1653"/>
    <w:rsid w:val="00EF1E97"/>
    <w:rsid w:val="00EF3139"/>
    <w:rsid w:val="00EF3BBE"/>
    <w:rsid w:val="00EF3E3C"/>
    <w:rsid w:val="00EF43B1"/>
    <w:rsid w:val="00EF45AE"/>
    <w:rsid w:val="00EF4C35"/>
    <w:rsid w:val="00EF4C3C"/>
    <w:rsid w:val="00EF564B"/>
    <w:rsid w:val="00EF571C"/>
    <w:rsid w:val="00EF5BD5"/>
    <w:rsid w:val="00EF666D"/>
    <w:rsid w:val="00EF6721"/>
    <w:rsid w:val="00EF754B"/>
    <w:rsid w:val="00EF7608"/>
    <w:rsid w:val="00EF78E9"/>
    <w:rsid w:val="00F00298"/>
    <w:rsid w:val="00F006CF"/>
    <w:rsid w:val="00F00B1A"/>
    <w:rsid w:val="00F00C92"/>
    <w:rsid w:val="00F01014"/>
    <w:rsid w:val="00F01416"/>
    <w:rsid w:val="00F019DF"/>
    <w:rsid w:val="00F01B7B"/>
    <w:rsid w:val="00F02281"/>
    <w:rsid w:val="00F02542"/>
    <w:rsid w:val="00F02B4B"/>
    <w:rsid w:val="00F03E8C"/>
    <w:rsid w:val="00F0438C"/>
    <w:rsid w:val="00F043CD"/>
    <w:rsid w:val="00F0445A"/>
    <w:rsid w:val="00F0474F"/>
    <w:rsid w:val="00F04C59"/>
    <w:rsid w:val="00F05A94"/>
    <w:rsid w:val="00F05DEC"/>
    <w:rsid w:val="00F06205"/>
    <w:rsid w:val="00F06493"/>
    <w:rsid w:val="00F064EF"/>
    <w:rsid w:val="00F065EE"/>
    <w:rsid w:val="00F066B3"/>
    <w:rsid w:val="00F06E72"/>
    <w:rsid w:val="00F0708B"/>
    <w:rsid w:val="00F07326"/>
    <w:rsid w:val="00F075B2"/>
    <w:rsid w:val="00F07C81"/>
    <w:rsid w:val="00F07F2B"/>
    <w:rsid w:val="00F11121"/>
    <w:rsid w:val="00F119AF"/>
    <w:rsid w:val="00F13143"/>
    <w:rsid w:val="00F134CD"/>
    <w:rsid w:val="00F14142"/>
    <w:rsid w:val="00F14C9F"/>
    <w:rsid w:val="00F14FCF"/>
    <w:rsid w:val="00F153A0"/>
    <w:rsid w:val="00F15EE3"/>
    <w:rsid w:val="00F16154"/>
    <w:rsid w:val="00F1642A"/>
    <w:rsid w:val="00F16867"/>
    <w:rsid w:val="00F16F80"/>
    <w:rsid w:val="00F20004"/>
    <w:rsid w:val="00F2063C"/>
    <w:rsid w:val="00F214C7"/>
    <w:rsid w:val="00F21527"/>
    <w:rsid w:val="00F22F71"/>
    <w:rsid w:val="00F23299"/>
    <w:rsid w:val="00F23FDB"/>
    <w:rsid w:val="00F24024"/>
    <w:rsid w:val="00F24997"/>
    <w:rsid w:val="00F249B7"/>
    <w:rsid w:val="00F25229"/>
    <w:rsid w:val="00F259BD"/>
    <w:rsid w:val="00F26300"/>
    <w:rsid w:val="00F26441"/>
    <w:rsid w:val="00F26A9E"/>
    <w:rsid w:val="00F26FB8"/>
    <w:rsid w:val="00F27229"/>
    <w:rsid w:val="00F27B84"/>
    <w:rsid w:val="00F27C1B"/>
    <w:rsid w:val="00F27C76"/>
    <w:rsid w:val="00F301DE"/>
    <w:rsid w:val="00F3049B"/>
    <w:rsid w:val="00F30D65"/>
    <w:rsid w:val="00F314CF"/>
    <w:rsid w:val="00F31671"/>
    <w:rsid w:val="00F31D9F"/>
    <w:rsid w:val="00F32190"/>
    <w:rsid w:val="00F323CA"/>
    <w:rsid w:val="00F32E47"/>
    <w:rsid w:val="00F33778"/>
    <w:rsid w:val="00F34599"/>
    <w:rsid w:val="00F349D8"/>
    <w:rsid w:val="00F359CC"/>
    <w:rsid w:val="00F35B48"/>
    <w:rsid w:val="00F361AE"/>
    <w:rsid w:val="00F36277"/>
    <w:rsid w:val="00F3636F"/>
    <w:rsid w:val="00F3711E"/>
    <w:rsid w:val="00F3767D"/>
    <w:rsid w:val="00F37750"/>
    <w:rsid w:val="00F37E09"/>
    <w:rsid w:val="00F4007E"/>
    <w:rsid w:val="00F40131"/>
    <w:rsid w:val="00F40244"/>
    <w:rsid w:val="00F40556"/>
    <w:rsid w:val="00F40806"/>
    <w:rsid w:val="00F41384"/>
    <w:rsid w:val="00F413C1"/>
    <w:rsid w:val="00F4169E"/>
    <w:rsid w:val="00F4190D"/>
    <w:rsid w:val="00F41A68"/>
    <w:rsid w:val="00F420AF"/>
    <w:rsid w:val="00F43FE4"/>
    <w:rsid w:val="00F44377"/>
    <w:rsid w:val="00F44B4D"/>
    <w:rsid w:val="00F44E0F"/>
    <w:rsid w:val="00F456DF"/>
    <w:rsid w:val="00F45800"/>
    <w:rsid w:val="00F4588D"/>
    <w:rsid w:val="00F45928"/>
    <w:rsid w:val="00F45C4B"/>
    <w:rsid w:val="00F46744"/>
    <w:rsid w:val="00F46AFB"/>
    <w:rsid w:val="00F47E4A"/>
    <w:rsid w:val="00F50528"/>
    <w:rsid w:val="00F508F1"/>
    <w:rsid w:val="00F50ACE"/>
    <w:rsid w:val="00F50DE5"/>
    <w:rsid w:val="00F512B0"/>
    <w:rsid w:val="00F516FF"/>
    <w:rsid w:val="00F518A2"/>
    <w:rsid w:val="00F52451"/>
    <w:rsid w:val="00F52921"/>
    <w:rsid w:val="00F52BB0"/>
    <w:rsid w:val="00F52D22"/>
    <w:rsid w:val="00F52FBD"/>
    <w:rsid w:val="00F53939"/>
    <w:rsid w:val="00F53DAD"/>
    <w:rsid w:val="00F54FBD"/>
    <w:rsid w:val="00F5507A"/>
    <w:rsid w:val="00F5519E"/>
    <w:rsid w:val="00F55207"/>
    <w:rsid w:val="00F55AC5"/>
    <w:rsid w:val="00F55D12"/>
    <w:rsid w:val="00F55EB6"/>
    <w:rsid w:val="00F56A8C"/>
    <w:rsid w:val="00F601A3"/>
    <w:rsid w:val="00F608FB"/>
    <w:rsid w:val="00F61122"/>
    <w:rsid w:val="00F61249"/>
    <w:rsid w:val="00F6141C"/>
    <w:rsid w:val="00F615BA"/>
    <w:rsid w:val="00F62333"/>
    <w:rsid w:val="00F6261C"/>
    <w:rsid w:val="00F63356"/>
    <w:rsid w:val="00F63500"/>
    <w:rsid w:val="00F640B8"/>
    <w:rsid w:val="00F640E9"/>
    <w:rsid w:val="00F645D1"/>
    <w:rsid w:val="00F6480D"/>
    <w:rsid w:val="00F648C8"/>
    <w:rsid w:val="00F64925"/>
    <w:rsid w:val="00F6537A"/>
    <w:rsid w:val="00F66661"/>
    <w:rsid w:val="00F66760"/>
    <w:rsid w:val="00F66D9F"/>
    <w:rsid w:val="00F67009"/>
    <w:rsid w:val="00F6711A"/>
    <w:rsid w:val="00F673B8"/>
    <w:rsid w:val="00F67DF4"/>
    <w:rsid w:val="00F70023"/>
    <w:rsid w:val="00F70758"/>
    <w:rsid w:val="00F70D8F"/>
    <w:rsid w:val="00F70EAE"/>
    <w:rsid w:val="00F714A2"/>
    <w:rsid w:val="00F7184B"/>
    <w:rsid w:val="00F719D0"/>
    <w:rsid w:val="00F719FD"/>
    <w:rsid w:val="00F72C79"/>
    <w:rsid w:val="00F734CA"/>
    <w:rsid w:val="00F73969"/>
    <w:rsid w:val="00F73C51"/>
    <w:rsid w:val="00F73E0B"/>
    <w:rsid w:val="00F73EB8"/>
    <w:rsid w:val="00F744BF"/>
    <w:rsid w:val="00F74A1F"/>
    <w:rsid w:val="00F75306"/>
    <w:rsid w:val="00F75354"/>
    <w:rsid w:val="00F75503"/>
    <w:rsid w:val="00F758BC"/>
    <w:rsid w:val="00F759FE"/>
    <w:rsid w:val="00F75D89"/>
    <w:rsid w:val="00F75F48"/>
    <w:rsid w:val="00F761BB"/>
    <w:rsid w:val="00F76BD8"/>
    <w:rsid w:val="00F77027"/>
    <w:rsid w:val="00F77542"/>
    <w:rsid w:val="00F775D9"/>
    <w:rsid w:val="00F77FDB"/>
    <w:rsid w:val="00F8022C"/>
    <w:rsid w:val="00F80612"/>
    <w:rsid w:val="00F8082A"/>
    <w:rsid w:val="00F81DF9"/>
    <w:rsid w:val="00F81EA5"/>
    <w:rsid w:val="00F82AFD"/>
    <w:rsid w:val="00F82D57"/>
    <w:rsid w:val="00F82DBB"/>
    <w:rsid w:val="00F83967"/>
    <w:rsid w:val="00F84905"/>
    <w:rsid w:val="00F84D65"/>
    <w:rsid w:val="00F860DE"/>
    <w:rsid w:val="00F86817"/>
    <w:rsid w:val="00F87506"/>
    <w:rsid w:val="00F87734"/>
    <w:rsid w:val="00F901E4"/>
    <w:rsid w:val="00F90D5C"/>
    <w:rsid w:val="00F917A6"/>
    <w:rsid w:val="00F91933"/>
    <w:rsid w:val="00F91C34"/>
    <w:rsid w:val="00F92926"/>
    <w:rsid w:val="00F92AF2"/>
    <w:rsid w:val="00F92DE9"/>
    <w:rsid w:val="00F936AD"/>
    <w:rsid w:val="00F94807"/>
    <w:rsid w:val="00F94EB9"/>
    <w:rsid w:val="00F950AD"/>
    <w:rsid w:val="00F95BD9"/>
    <w:rsid w:val="00F96F3C"/>
    <w:rsid w:val="00F972C8"/>
    <w:rsid w:val="00F97694"/>
    <w:rsid w:val="00FA01F2"/>
    <w:rsid w:val="00FA021D"/>
    <w:rsid w:val="00FA02CD"/>
    <w:rsid w:val="00FA0CB2"/>
    <w:rsid w:val="00FA1276"/>
    <w:rsid w:val="00FA1567"/>
    <w:rsid w:val="00FA1B6E"/>
    <w:rsid w:val="00FA1EC3"/>
    <w:rsid w:val="00FA324F"/>
    <w:rsid w:val="00FA3521"/>
    <w:rsid w:val="00FA36B3"/>
    <w:rsid w:val="00FA36E9"/>
    <w:rsid w:val="00FA386E"/>
    <w:rsid w:val="00FA3BFF"/>
    <w:rsid w:val="00FA4059"/>
    <w:rsid w:val="00FA54B4"/>
    <w:rsid w:val="00FA609A"/>
    <w:rsid w:val="00FA6F81"/>
    <w:rsid w:val="00FA782A"/>
    <w:rsid w:val="00FA7C3B"/>
    <w:rsid w:val="00FB0466"/>
    <w:rsid w:val="00FB0B2F"/>
    <w:rsid w:val="00FB1203"/>
    <w:rsid w:val="00FB1C28"/>
    <w:rsid w:val="00FB22EF"/>
    <w:rsid w:val="00FB26E0"/>
    <w:rsid w:val="00FB26FC"/>
    <w:rsid w:val="00FB2818"/>
    <w:rsid w:val="00FB2E56"/>
    <w:rsid w:val="00FB36FC"/>
    <w:rsid w:val="00FB42B6"/>
    <w:rsid w:val="00FB4347"/>
    <w:rsid w:val="00FB4BB7"/>
    <w:rsid w:val="00FB54D0"/>
    <w:rsid w:val="00FB5917"/>
    <w:rsid w:val="00FB5CF3"/>
    <w:rsid w:val="00FB5FE2"/>
    <w:rsid w:val="00FB6188"/>
    <w:rsid w:val="00FB62ED"/>
    <w:rsid w:val="00FB69FE"/>
    <w:rsid w:val="00FB6A52"/>
    <w:rsid w:val="00FB6CEE"/>
    <w:rsid w:val="00FB74DE"/>
    <w:rsid w:val="00FB7747"/>
    <w:rsid w:val="00FB79B6"/>
    <w:rsid w:val="00FB7B17"/>
    <w:rsid w:val="00FB7E87"/>
    <w:rsid w:val="00FB7E8C"/>
    <w:rsid w:val="00FB7F7E"/>
    <w:rsid w:val="00FC0AFA"/>
    <w:rsid w:val="00FC0D5C"/>
    <w:rsid w:val="00FC1B69"/>
    <w:rsid w:val="00FC2EF6"/>
    <w:rsid w:val="00FC3099"/>
    <w:rsid w:val="00FC319F"/>
    <w:rsid w:val="00FC32D3"/>
    <w:rsid w:val="00FC3483"/>
    <w:rsid w:val="00FC3A76"/>
    <w:rsid w:val="00FC4CE3"/>
    <w:rsid w:val="00FC4E72"/>
    <w:rsid w:val="00FC5107"/>
    <w:rsid w:val="00FC56EA"/>
    <w:rsid w:val="00FC572B"/>
    <w:rsid w:val="00FC57D1"/>
    <w:rsid w:val="00FC583A"/>
    <w:rsid w:val="00FC5B9F"/>
    <w:rsid w:val="00FC6519"/>
    <w:rsid w:val="00FC715C"/>
    <w:rsid w:val="00FC7211"/>
    <w:rsid w:val="00FC73B8"/>
    <w:rsid w:val="00FC74F2"/>
    <w:rsid w:val="00FC772C"/>
    <w:rsid w:val="00FC7A6E"/>
    <w:rsid w:val="00FC7DAD"/>
    <w:rsid w:val="00FC7E9B"/>
    <w:rsid w:val="00FC7EAC"/>
    <w:rsid w:val="00FD07B7"/>
    <w:rsid w:val="00FD08E4"/>
    <w:rsid w:val="00FD1D19"/>
    <w:rsid w:val="00FD1F08"/>
    <w:rsid w:val="00FD1FDE"/>
    <w:rsid w:val="00FD28E6"/>
    <w:rsid w:val="00FD3567"/>
    <w:rsid w:val="00FD375E"/>
    <w:rsid w:val="00FD38F2"/>
    <w:rsid w:val="00FD3BD2"/>
    <w:rsid w:val="00FD3D04"/>
    <w:rsid w:val="00FD3E54"/>
    <w:rsid w:val="00FD44CE"/>
    <w:rsid w:val="00FD4B71"/>
    <w:rsid w:val="00FD5174"/>
    <w:rsid w:val="00FD59F3"/>
    <w:rsid w:val="00FD6C31"/>
    <w:rsid w:val="00FD6D69"/>
    <w:rsid w:val="00FD6FBA"/>
    <w:rsid w:val="00FD70A5"/>
    <w:rsid w:val="00FD777B"/>
    <w:rsid w:val="00FE04CE"/>
    <w:rsid w:val="00FE0661"/>
    <w:rsid w:val="00FE0E5F"/>
    <w:rsid w:val="00FE129E"/>
    <w:rsid w:val="00FE233D"/>
    <w:rsid w:val="00FE31A6"/>
    <w:rsid w:val="00FE3B30"/>
    <w:rsid w:val="00FE3CE7"/>
    <w:rsid w:val="00FE522F"/>
    <w:rsid w:val="00FE5BAE"/>
    <w:rsid w:val="00FE6051"/>
    <w:rsid w:val="00FE6958"/>
    <w:rsid w:val="00FE6B40"/>
    <w:rsid w:val="00FE6E93"/>
    <w:rsid w:val="00FE7860"/>
    <w:rsid w:val="00FE7BB2"/>
    <w:rsid w:val="00FE7D9E"/>
    <w:rsid w:val="00FF05EC"/>
    <w:rsid w:val="00FF0C88"/>
    <w:rsid w:val="00FF0CAD"/>
    <w:rsid w:val="00FF20F0"/>
    <w:rsid w:val="00FF2108"/>
    <w:rsid w:val="00FF296D"/>
    <w:rsid w:val="00FF3ABB"/>
    <w:rsid w:val="00FF3B07"/>
    <w:rsid w:val="00FF3E63"/>
    <w:rsid w:val="00FF4210"/>
    <w:rsid w:val="00FF46D0"/>
    <w:rsid w:val="00FF4714"/>
    <w:rsid w:val="00FF4B27"/>
    <w:rsid w:val="00FF4CDF"/>
    <w:rsid w:val="00FF5361"/>
    <w:rsid w:val="00FF538E"/>
    <w:rsid w:val="00FF5528"/>
    <w:rsid w:val="00FF6E12"/>
    <w:rsid w:val="00FF76FE"/>
    <w:rsid w:val="00FF79BD"/>
    <w:rsid w:val="00FF7B3B"/>
    <w:rsid w:val="01180683"/>
    <w:rsid w:val="011B06E8"/>
    <w:rsid w:val="013F0CD1"/>
    <w:rsid w:val="0142336A"/>
    <w:rsid w:val="01654475"/>
    <w:rsid w:val="017B0841"/>
    <w:rsid w:val="0187200D"/>
    <w:rsid w:val="018D2F11"/>
    <w:rsid w:val="01F95D93"/>
    <w:rsid w:val="02035FF9"/>
    <w:rsid w:val="024474EF"/>
    <w:rsid w:val="024820C2"/>
    <w:rsid w:val="02666EDD"/>
    <w:rsid w:val="02672D80"/>
    <w:rsid w:val="02790E18"/>
    <w:rsid w:val="028165FA"/>
    <w:rsid w:val="02BC35DE"/>
    <w:rsid w:val="02BD228C"/>
    <w:rsid w:val="02D327E9"/>
    <w:rsid w:val="02E20F72"/>
    <w:rsid w:val="030A5E0C"/>
    <w:rsid w:val="0315597B"/>
    <w:rsid w:val="032121AE"/>
    <w:rsid w:val="032A6886"/>
    <w:rsid w:val="03300C87"/>
    <w:rsid w:val="034F4230"/>
    <w:rsid w:val="0356048A"/>
    <w:rsid w:val="03580E36"/>
    <w:rsid w:val="03654BB0"/>
    <w:rsid w:val="037C7FF4"/>
    <w:rsid w:val="03935F79"/>
    <w:rsid w:val="03971E31"/>
    <w:rsid w:val="03A27284"/>
    <w:rsid w:val="03A854BF"/>
    <w:rsid w:val="03B53FCC"/>
    <w:rsid w:val="03CE3522"/>
    <w:rsid w:val="03D263B4"/>
    <w:rsid w:val="03D52C47"/>
    <w:rsid w:val="040A1F37"/>
    <w:rsid w:val="040C5CB8"/>
    <w:rsid w:val="04452310"/>
    <w:rsid w:val="04592FC4"/>
    <w:rsid w:val="04640787"/>
    <w:rsid w:val="046D23C1"/>
    <w:rsid w:val="048C4EEB"/>
    <w:rsid w:val="04982427"/>
    <w:rsid w:val="04A26D5A"/>
    <w:rsid w:val="04A62E21"/>
    <w:rsid w:val="04CB62F1"/>
    <w:rsid w:val="04D02BC7"/>
    <w:rsid w:val="05366E68"/>
    <w:rsid w:val="0539225B"/>
    <w:rsid w:val="054016B7"/>
    <w:rsid w:val="05523C79"/>
    <w:rsid w:val="055824BD"/>
    <w:rsid w:val="056A291D"/>
    <w:rsid w:val="05747F98"/>
    <w:rsid w:val="05750484"/>
    <w:rsid w:val="05922FD3"/>
    <w:rsid w:val="05932216"/>
    <w:rsid w:val="05AD051E"/>
    <w:rsid w:val="05AD0F92"/>
    <w:rsid w:val="05C06CCF"/>
    <w:rsid w:val="05CA1ED2"/>
    <w:rsid w:val="05CC541B"/>
    <w:rsid w:val="06046BAA"/>
    <w:rsid w:val="06281AD0"/>
    <w:rsid w:val="062A0A06"/>
    <w:rsid w:val="06304BF6"/>
    <w:rsid w:val="063A6385"/>
    <w:rsid w:val="06504C13"/>
    <w:rsid w:val="06806480"/>
    <w:rsid w:val="0698717F"/>
    <w:rsid w:val="06A52D74"/>
    <w:rsid w:val="06B573CD"/>
    <w:rsid w:val="06DC2371"/>
    <w:rsid w:val="06E231E4"/>
    <w:rsid w:val="06F607BA"/>
    <w:rsid w:val="070D153D"/>
    <w:rsid w:val="07123728"/>
    <w:rsid w:val="07144E6B"/>
    <w:rsid w:val="071C1AB9"/>
    <w:rsid w:val="07235BC1"/>
    <w:rsid w:val="07360525"/>
    <w:rsid w:val="07402454"/>
    <w:rsid w:val="07534192"/>
    <w:rsid w:val="07585438"/>
    <w:rsid w:val="07641EAE"/>
    <w:rsid w:val="077203F0"/>
    <w:rsid w:val="07865C85"/>
    <w:rsid w:val="07A74CB5"/>
    <w:rsid w:val="084138C1"/>
    <w:rsid w:val="08495A6A"/>
    <w:rsid w:val="085C213E"/>
    <w:rsid w:val="087C5CAF"/>
    <w:rsid w:val="089519BB"/>
    <w:rsid w:val="08A35EB7"/>
    <w:rsid w:val="08A62FD0"/>
    <w:rsid w:val="08C42CCD"/>
    <w:rsid w:val="08E627C7"/>
    <w:rsid w:val="08F66DC1"/>
    <w:rsid w:val="09126F56"/>
    <w:rsid w:val="091F6854"/>
    <w:rsid w:val="092F362C"/>
    <w:rsid w:val="095D3777"/>
    <w:rsid w:val="09662918"/>
    <w:rsid w:val="09670388"/>
    <w:rsid w:val="097B6779"/>
    <w:rsid w:val="098362FF"/>
    <w:rsid w:val="09876723"/>
    <w:rsid w:val="098E2659"/>
    <w:rsid w:val="09981C1D"/>
    <w:rsid w:val="09A57A33"/>
    <w:rsid w:val="09AD06E9"/>
    <w:rsid w:val="09E64A5E"/>
    <w:rsid w:val="09FB52FE"/>
    <w:rsid w:val="0A0872BD"/>
    <w:rsid w:val="0A212412"/>
    <w:rsid w:val="0A3D538D"/>
    <w:rsid w:val="0A5731EF"/>
    <w:rsid w:val="0A594016"/>
    <w:rsid w:val="0A5C223F"/>
    <w:rsid w:val="0A626623"/>
    <w:rsid w:val="0A6C6E18"/>
    <w:rsid w:val="0A7D011F"/>
    <w:rsid w:val="0A8979D2"/>
    <w:rsid w:val="0A9D606C"/>
    <w:rsid w:val="0AAF55C5"/>
    <w:rsid w:val="0AB00AB8"/>
    <w:rsid w:val="0AB71C1F"/>
    <w:rsid w:val="0AD81DDE"/>
    <w:rsid w:val="0ADE5888"/>
    <w:rsid w:val="0AEE3766"/>
    <w:rsid w:val="0B2F3988"/>
    <w:rsid w:val="0B337118"/>
    <w:rsid w:val="0B3E7BD1"/>
    <w:rsid w:val="0B560290"/>
    <w:rsid w:val="0B62503B"/>
    <w:rsid w:val="0B982188"/>
    <w:rsid w:val="0BB11ECD"/>
    <w:rsid w:val="0C10513A"/>
    <w:rsid w:val="0C2061B3"/>
    <w:rsid w:val="0C3A1B60"/>
    <w:rsid w:val="0C43237F"/>
    <w:rsid w:val="0C9315C8"/>
    <w:rsid w:val="0CBC04A7"/>
    <w:rsid w:val="0CF12E49"/>
    <w:rsid w:val="0CFB7134"/>
    <w:rsid w:val="0D0E5B91"/>
    <w:rsid w:val="0D115087"/>
    <w:rsid w:val="0D3667B8"/>
    <w:rsid w:val="0D37627E"/>
    <w:rsid w:val="0D477A80"/>
    <w:rsid w:val="0D77609D"/>
    <w:rsid w:val="0D957615"/>
    <w:rsid w:val="0D9A7111"/>
    <w:rsid w:val="0DAA5749"/>
    <w:rsid w:val="0DBA4283"/>
    <w:rsid w:val="0DE670E8"/>
    <w:rsid w:val="0DFC29F3"/>
    <w:rsid w:val="0E1032A1"/>
    <w:rsid w:val="0E4272F3"/>
    <w:rsid w:val="0E4449F4"/>
    <w:rsid w:val="0E462D01"/>
    <w:rsid w:val="0E6A53F9"/>
    <w:rsid w:val="0E7E63E0"/>
    <w:rsid w:val="0EA97F9C"/>
    <w:rsid w:val="0EB37AD0"/>
    <w:rsid w:val="0ECD1BCC"/>
    <w:rsid w:val="0EF40D26"/>
    <w:rsid w:val="0EF729EF"/>
    <w:rsid w:val="0F057145"/>
    <w:rsid w:val="0F062611"/>
    <w:rsid w:val="0F4B649A"/>
    <w:rsid w:val="0F4E3481"/>
    <w:rsid w:val="0F603EC7"/>
    <w:rsid w:val="0F6E6A04"/>
    <w:rsid w:val="0F71453E"/>
    <w:rsid w:val="0F790366"/>
    <w:rsid w:val="0F821E7D"/>
    <w:rsid w:val="0F8736F2"/>
    <w:rsid w:val="0F8D020F"/>
    <w:rsid w:val="0FF76702"/>
    <w:rsid w:val="10107A9C"/>
    <w:rsid w:val="1018100E"/>
    <w:rsid w:val="10303A60"/>
    <w:rsid w:val="104F645F"/>
    <w:rsid w:val="10694522"/>
    <w:rsid w:val="109E48DA"/>
    <w:rsid w:val="10ED1468"/>
    <w:rsid w:val="11196A9C"/>
    <w:rsid w:val="11475E26"/>
    <w:rsid w:val="117450BC"/>
    <w:rsid w:val="117955B1"/>
    <w:rsid w:val="12080923"/>
    <w:rsid w:val="12170AC1"/>
    <w:rsid w:val="12252B28"/>
    <w:rsid w:val="12452885"/>
    <w:rsid w:val="125A2049"/>
    <w:rsid w:val="12727629"/>
    <w:rsid w:val="128F7902"/>
    <w:rsid w:val="129B0F45"/>
    <w:rsid w:val="12A94896"/>
    <w:rsid w:val="12B322ED"/>
    <w:rsid w:val="12E37D1F"/>
    <w:rsid w:val="12F523EE"/>
    <w:rsid w:val="130143BE"/>
    <w:rsid w:val="13207337"/>
    <w:rsid w:val="13270D7A"/>
    <w:rsid w:val="133B407F"/>
    <w:rsid w:val="13404563"/>
    <w:rsid w:val="135350C1"/>
    <w:rsid w:val="139A4CD3"/>
    <w:rsid w:val="13FD278A"/>
    <w:rsid w:val="1406728D"/>
    <w:rsid w:val="140D67E7"/>
    <w:rsid w:val="14162C01"/>
    <w:rsid w:val="14214815"/>
    <w:rsid w:val="14240A2C"/>
    <w:rsid w:val="14335FCE"/>
    <w:rsid w:val="144971CD"/>
    <w:rsid w:val="144B346E"/>
    <w:rsid w:val="14514FE4"/>
    <w:rsid w:val="14687F17"/>
    <w:rsid w:val="14843571"/>
    <w:rsid w:val="148E2910"/>
    <w:rsid w:val="14A01563"/>
    <w:rsid w:val="14AB7EC4"/>
    <w:rsid w:val="14C42C72"/>
    <w:rsid w:val="14D21D82"/>
    <w:rsid w:val="14D327EF"/>
    <w:rsid w:val="14D522FD"/>
    <w:rsid w:val="14F529B5"/>
    <w:rsid w:val="14F93775"/>
    <w:rsid w:val="1505731A"/>
    <w:rsid w:val="151A3B78"/>
    <w:rsid w:val="15200B35"/>
    <w:rsid w:val="152D2105"/>
    <w:rsid w:val="153B314B"/>
    <w:rsid w:val="154871A4"/>
    <w:rsid w:val="155360DF"/>
    <w:rsid w:val="15552503"/>
    <w:rsid w:val="15617EF2"/>
    <w:rsid w:val="15C57EFA"/>
    <w:rsid w:val="15CC3EA3"/>
    <w:rsid w:val="15E63938"/>
    <w:rsid w:val="15F3690F"/>
    <w:rsid w:val="164E6126"/>
    <w:rsid w:val="16602995"/>
    <w:rsid w:val="167A270D"/>
    <w:rsid w:val="16A4068F"/>
    <w:rsid w:val="16C16063"/>
    <w:rsid w:val="16CE7D6A"/>
    <w:rsid w:val="16D003E2"/>
    <w:rsid w:val="170B1DCD"/>
    <w:rsid w:val="1712147C"/>
    <w:rsid w:val="171F490E"/>
    <w:rsid w:val="17225A76"/>
    <w:rsid w:val="17271981"/>
    <w:rsid w:val="172B5ED1"/>
    <w:rsid w:val="173B46A8"/>
    <w:rsid w:val="174021F0"/>
    <w:rsid w:val="1768212E"/>
    <w:rsid w:val="17766B98"/>
    <w:rsid w:val="17770E4E"/>
    <w:rsid w:val="178E2CE2"/>
    <w:rsid w:val="17A76606"/>
    <w:rsid w:val="17AD0164"/>
    <w:rsid w:val="17C73E67"/>
    <w:rsid w:val="17D0115B"/>
    <w:rsid w:val="17ED0BFD"/>
    <w:rsid w:val="17F01642"/>
    <w:rsid w:val="17F2131F"/>
    <w:rsid w:val="185C1B2F"/>
    <w:rsid w:val="18641D28"/>
    <w:rsid w:val="18947263"/>
    <w:rsid w:val="189750F2"/>
    <w:rsid w:val="189B4102"/>
    <w:rsid w:val="18AB5879"/>
    <w:rsid w:val="18B715DC"/>
    <w:rsid w:val="18BD552D"/>
    <w:rsid w:val="18C51017"/>
    <w:rsid w:val="18CD7928"/>
    <w:rsid w:val="18CF7704"/>
    <w:rsid w:val="18EE4832"/>
    <w:rsid w:val="18F56002"/>
    <w:rsid w:val="191D2265"/>
    <w:rsid w:val="193E0936"/>
    <w:rsid w:val="1942725E"/>
    <w:rsid w:val="19470BEC"/>
    <w:rsid w:val="196A36DB"/>
    <w:rsid w:val="196D4AB7"/>
    <w:rsid w:val="19704027"/>
    <w:rsid w:val="197E792B"/>
    <w:rsid w:val="198A33F2"/>
    <w:rsid w:val="19B26446"/>
    <w:rsid w:val="19E05C00"/>
    <w:rsid w:val="1A0A1015"/>
    <w:rsid w:val="1A186D52"/>
    <w:rsid w:val="1A744FC0"/>
    <w:rsid w:val="1A970215"/>
    <w:rsid w:val="1ADC0513"/>
    <w:rsid w:val="1AFE68B7"/>
    <w:rsid w:val="1B134473"/>
    <w:rsid w:val="1B1461CD"/>
    <w:rsid w:val="1B2F2294"/>
    <w:rsid w:val="1B37193A"/>
    <w:rsid w:val="1B587538"/>
    <w:rsid w:val="1B7A341B"/>
    <w:rsid w:val="1BB36E00"/>
    <w:rsid w:val="1BB87DB7"/>
    <w:rsid w:val="1BCB3A1F"/>
    <w:rsid w:val="1BCF5CE6"/>
    <w:rsid w:val="1BD14741"/>
    <w:rsid w:val="1BDA7077"/>
    <w:rsid w:val="1BEE330C"/>
    <w:rsid w:val="1C123C75"/>
    <w:rsid w:val="1C2E0E95"/>
    <w:rsid w:val="1C8F2E1A"/>
    <w:rsid w:val="1CA6768D"/>
    <w:rsid w:val="1CC276BF"/>
    <w:rsid w:val="1D177518"/>
    <w:rsid w:val="1D310A56"/>
    <w:rsid w:val="1D666BA1"/>
    <w:rsid w:val="1D693D18"/>
    <w:rsid w:val="1D7C46FD"/>
    <w:rsid w:val="1D7F1865"/>
    <w:rsid w:val="1DA62AB3"/>
    <w:rsid w:val="1DBC1F75"/>
    <w:rsid w:val="1DCF38BE"/>
    <w:rsid w:val="1DD2381F"/>
    <w:rsid w:val="1DED2011"/>
    <w:rsid w:val="1DFE56AC"/>
    <w:rsid w:val="1E1E6BD5"/>
    <w:rsid w:val="1E282A81"/>
    <w:rsid w:val="1E3F0F24"/>
    <w:rsid w:val="1E9C6599"/>
    <w:rsid w:val="1EA554E5"/>
    <w:rsid w:val="1ECC7337"/>
    <w:rsid w:val="1EDA52F2"/>
    <w:rsid w:val="1EDE5A29"/>
    <w:rsid w:val="1EE13649"/>
    <w:rsid w:val="1EF151D0"/>
    <w:rsid w:val="1EFE442C"/>
    <w:rsid w:val="1F037541"/>
    <w:rsid w:val="1F063D81"/>
    <w:rsid w:val="1F0E0AC0"/>
    <w:rsid w:val="1F42233E"/>
    <w:rsid w:val="1F4C319A"/>
    <w:rsid w:val="1F512E2C"/>
    <w:rsid w:val="1F5A643E"/>
    <w:rsid w:val="1F646BC6"/>
    <w:rsid w:val="1F6A7B01"/>
    <w:rsid w:val="1FB94A9C"/>
    <w:rsid w:val="1FC728DC"/>
    <w:rsid w:val="1FF25BF7"/>
    <w:rsid w:val="20161DA6"/>
    <w:rsid w:val="20363425"/>
    <w:rsid w:val="203F7367"/>
    <w:rsid w:val="204578BA"/>
    <w:rsid w:val="20596633"/>
    <w:rsid w:val="209A16EE"/>
    <w:rsid w:val="20AC6FD8"/>
    <w:rsid w:val="20EC6C8F"/>
    <w:rsid w:val="20EE1271"/>
    <w:rsid w:val="210564A6"/>
    <w:rsid w:val="210A1FA0"/>
    <w:rsid w:val="211963A4"/>
    <w:rsid w:val="212358C5"/>
    <w:rsid w:val="212A2C6B"/>
    <w:rsid w:val="21341AF8"/>
    <w:rsid w:val="21BA3FCC"/>
    <w:rsid w:val="21D82607"/>
    <w:rsid w:val="21FA2B72"/>
    <w:rsid w:val="220977E4"/>
    <w:rsid w:val="2246016E"/>
    <w:rsid w:val="224C39C0"/>
    <w:rsid w:val="225519F1"/>
    <w:rsid w:val="2271484C"/>
    <w:rsid w:val="2273058B"/>
    <w:rsid w:val="227A2857"/>
    <w:rsid w:val="227A6BA6"/>
    <w:rsid w:val="227B3859"/>
    <w:rsid w:val="22892648"/>
    <w:rsid w:val="229C5B13"/>
    <w:rsid w:val="22A1608C"/>
    <w:rsid w:val="22A8654B"/>
    <w:rsid w:val="22AB4645"/>
    <w:rsid w:val="22D96653"/>
    <w:rsid w:val="22F75E57"/>
    <w:rsid w:val="23013F70"/>
    <w:rsid w:val="230A3F70"/>
    <w:rsid w:val="230D1610"/>
    <w:rsid w:val="23285B34"/>
    <w:rsid w:val="235D2177"/>
    <w:rsid w:val="237252D5"/>
    <w:rsid w:val="237B0B11"/>
    <w:rsid w:val="2389110B"/>
    <w:rsid w:val="23E76D75"/>
    <w:rsid w:val="23E849FE"/>
    <w:rsid w:val="240B0AF8"/>
    <w:rsid w:val="240B3DA2"/>
    <w:rsid w:val="241D02F1"/>
    <w:rsid w:val="24217C3B"/>
    <w:rsid w:val="243801AC"/>
    <w:rsid w:val="24527A5F"/>
    <w:rsid w:val="24554E48"/>
    <w:rsid w:val="245C0FDF"/>
    <w:rsid w:val="24692EE2"/>
    <w:rsid w:val="249159AD"/>
    <w:rsid w:val="24920693"/>
    <w:rsid w:val="24C6315E"/>
    <w:rsid w:val="24C7293C"/>
    <w:rsid w:val="24E81E30"/>
    <w:rsid w:val="24F1412B"/>
    <w:rsid w:val="24F22261"/>
    <w:rsid w:val="25191B01"/>
    <w:rsid w:val="25566CD5"/>
    <w:rsid w:val="2568266A"/>
    <w:rsid w:val="256A2BE6"/>
    <w:rsid w:val="257920B5"/>
    <w:rsid w:val="257F669F"/>
    <w:rsid w:val="25E63F03"/>
    <w:rsid w:val="25EB22BD"/>
    <w:rsid w:val="25FA3504"/>
    <w:rsid w:val="26105100"/>
    <w:rsid w:val="26110E2C"/>
    <w:rsid w:val="261B71BF"/>
    <w:rsid w:val="26365C3C"/>
    <w:rsid w:val="265361F0"/>
    <w:rsid w:val="26A86578"/>
    <w:rsid w:val="26B84614"/>
    <w:rsid w:val="26CD22F8"/>
    <w:rsid w:val="26EA064C"/>
    <w:rsid w:val="26EE576E"/>
    <w:rsid w:val="270F3DC5"/>
    <w:rsid w:val="27463F40"/>
    <w:rsid w:val="27613DEF"/>
    <w:rsid w:val="277B6E2F"/>
    <w:rsid w:val="279D7995"/>
    <w:rsid w:val="27B208F3"/>
    <w:rsid w:val="27D8307C"/>
    <w:rsid w:val="284434B5"/>
    <w:rsid w:val="28657B53"/>
    <w:rsid w:val="287558D4"/>
    <w:rsid w:val="287C67C9"/>
    <w:rsid w:val="28940FC7"/>
    <w:rsid w:val="28C52E99"/>
    <w:rsid w:val="28D242F2"/>
    <w:rsid w:val="28DE1241"/>
    <w:rsid w:val="29014B33"/>
    <w:rsid w:val="2907735C"/>
    <w:rsid w:val="292E0E12"/>
    <w:rsid w:val="293E153E"/>
    <w:rsid w:val="293F2FC4"/>
    <w:rsid w:val="29461127"/>
    <w:rsid w:val="297E1E23"/>
    <w:rsid w:val="298B5251"/>
    <w:rsid w:val="29A70653"/>
    <w:rsid w:val="29CA071F"/>
    <w:rsid w:val="29E572BB"/>
    <w:rsid w:val="29F45186"/>
    <w:rsid w:val="2A0C582C"/>
    <w:rsid w:val="2A1526E5"/>
    <w:rsid w:val="2A324993"/>
    <w:rsid w:val="2A3D036D"/>
    <w:rsid w:val="2A5F10BE"/>
    <w:rsid w:val="2A7C6197"/>
    <w:rsid w:val="2A915A94"/>
    <w:rsid w:val="2AF92849"/>
    <w:rsid w:val="2B396AE8"/>
    <w:rsid w:val="2B550CDA"/>
    <w:rsid w:val="2B5B6998"/>
    <w:rsid w:val="2B622F72"/>
    <w:rsid w:val="2B6739C3"/>
    <w:rsid w:val="2B8158DA"/>
    <w:rsid w:val="2B935E3A"/>
    <w:rsid w:val="2B93698E"/>
    <w:rsid w:val="2BAE59CF"/>
    <w:rsid w:val="2BC67C5B"/>
    <w:rsid w:val="2BDF2388"/>
    <w:rsid w:val="2BE226AD"/>
    <w:rsid w:val="2BE61D9E"/>
    <w:rsid w:val="2C107E1A"/>
    <w:rsid w:val="2C355755"/>
    <w:rsid w:val="2C3C0A41"/>
    <w:rsid w:val="2C4070AB"/>
    <w:rsid w:val="2C423F77"/>
    <w:rsid w:val="2C5466E3"/>
    <w:rsid w:val="2C695518"/>
    <w:rsid w:val="2C6C7D5F"/>
    <w:rsid w:val="2C707685"/>
    <w:rsid w:val="2C815051"/>
    <w:rsid w:val="2C8537E3"/>
    <w:rsid w:val="2C8903BC"/>
    <w:rsid w:val="2C907961"/>
    <w:rsid w:val="2C994D33"/>
    <w:rsid w:val="2CAC33E7"/>
    <w:rsid w:val="2CC156B7"/>
    <w:rsid w:val="2CD76C67"/>
    <w:rsid w:val="2CE20940"/>
    <w:rsid w:val="2CFE4E28"/>
    <w:rsid w:val="2CFF1C92"/>
    <w:rsid w:val="2D0568E8"/>
    <w:rsid w:val="2D323D21"/>
    <w:rsid w:val="2D453E23"/>
    <w:rsid w:val="2D4D549B"/>
    <w:rsid w:val="2D5768E7"/>
    <w:rsid w:val="2D680131"/>
    <w:rsid w:val="2D7D2813"/>
    <w:rsid w:val="2D8F1BEB"/>
    <w:rsid w:val="2DA1566D"/>
    <w:rsid w:val="2DBE1C47"/>
    <w:rsid w:val="2DBF4861"/>
    <w:rsid w:val="2DC14321"/>
    <w:rsid w:val="2DD637DD"/>
    <w:rsid w:val="2DEE79FE"/>
    <w:rsid w:val="2E0A46F1"/>
    <w:rsid w:val="2E4E4591"/>
    <w:rsid w:val="2E6D6556"/>
    <w:rsid w:val="2E771E7C"/>
    <w:rsid w:val="2E83496A"/>
    <w:rsid w:val="2E865933"/>
    <w:rsid w:val="2EA92050"/>
    <w:rsid w:val="2EC91382"/>
    <w:rsid w:val="2EF35F8C"/>
    <w:rsid w:val="2EFC0B78"/>
    <w:rsid w:val="2F2B3673"/>
    <w:rsid w:val="2F46689E"/>
    <w:rsid w:val="2F4B5390"/>
    <w:rsid w:val="2F4C484F"/>
    <w:rsid w:val="2FC10963"/>
    <w:rsid w:val="2FC17A65"/>
    <w:rsid w:val="2FD43B7A"/>
    <w:rsid w:val="2FF47220"/>
    <w:rsid w:val="2FFA19BB"/>
    <w:rsid w:val="301339CC"/>
    <w:rsid w:val="303062A6"/>
    <w:rsid w:val="30416FC7"/>
    <w:rsid w:val="304F7F7F"/>
    <w:rsid w:val="305D3167"/>
    <w:rsid w:val="30684D7B"/>
    <w:rsid w:val="308D350F"/>
    <w:rsid w:val="30C16DB9"/>
    <w:rsid w:val="30CF56A8"/>
    <w:rsid w:val="30F501CE"/>
    <w:rsid w:val="30F67E62"/>
    <w:rsid w:val="310061F3"/>
    <w:rsid w:val="311D2BA5"/>
    <w:rsid w:val="312B28BA"/>
    <w:rsid w:val="312E77E3"/>
    <w:rsid w:val="312F1666"/>
    <w:rsid w:val="31316602"/>
    <w:rsid w:val="31423F78"/>
    <w:rsid w:val="31537665"/>
    <w:rsid w:val="315E658D"/>
    <w:rsid w:val="31614F93"/>
    <w:rsid w:val="31AA2741"/>
    <w:rsid w:val="31B03276"/>
    <w:rsid w:val="31C12A2E"/>
    <w:rsid w:val="31C33D33"/>
    <w:rsid w:val="31C86A57"/>
    <w:rsid w:val="31EA1406"/>
    <w:rsid w:val="31F26238"/>
    <w:rsid w:val="320217BD"/>
    <w:rsid w:val="32474D32"/>
    <w:rsid w:val="32571B04"/>
    <w:rsid w:val="326D4BF3"/>
    <w:rsid w:val="32AC0663"/>
    <w:rsid w:val="32E11298"/>
    <w:rsid w:val="32E56D43"/>
    <w:rsid w:val="33124CDC"/>
    <w:rsid w:val="33936639"/>
    <w:rsid w:val="33A666DF"/>
    <w:rsid w:val="33B044AC"/>
    <w:rsid w:val="33B33AED"/>
    <w:rsid w:val="34195497"/>
    <w:rsid w:val="34363572"/>
    <w:rsid w:val="345261D8"/>
    <w:rsid w:val="345F52C7"/>
    <w:rsid w:val="34630E03"/>
    <w:rsid w:val="349B637F"/>
    <w:rsid w:val="349C4354"/>
    <w:rsid w:val="34B40363"/>
    <w:rsid w:val="34D46EED"/>
    <w:rsid w:val="351E28FD"/>
    <w:rsid w:val="35280A08"/>
    <w:rsid w:val="35320637"/>
    <w:rsid w:val="35461D59"/>
    <w:rsid w:val="358348C9"/>
    <w:rsid w:val="35862679"/>
    <w:rsid w:val="35895362"/>
    <w:rsid w:val="35911293"/>
    <w:rsid w:val="3597052F"/>
    <w:rsid w:val="35A25DDC"/>
    <w:rsid w:val="35B32D77"/>
    <w:rsid w:val="35C03180"/>
    <w:rsid w:val="35C459C9"/>
    <w:rsid w:val="364A6278"/>
    <w:rsid w:val="36761A7E"/>
    <w:rsid w:val="36EB034F"/>
    <w:rsid w:val="370B2D02"/>
    <w:rsid w:val="371C2D6A"/>
    <w:rsid w:val="373423BD"/>
    <w:rsid w:val="3735183D"/>
    <w:rsid w:val="3781403C"/>
    <w:rsid w:val="378309A0"/>
    <w:rsid w:val="378C660C"/>
    <w:rsid w:val="37A540BC"/>
    <w:rsid w:val="37C95429"/>
    <w:rsid w:val="37DB4F62"/>
    <w:rsid w:val="38030CA2"/>
    <w:rsid w:val="381B3598"/>
    <w:rsid w:val="381F6602"/>
    <w:rsid w:val="384A61DA"/>
    <w:rsid w:val="388F1B32"/>
    <w:rsid w:val="38E2062A"/>
    <w:rsid w:val="39124DA4"/>
    <w:rsid w:val="39502E82"/>
    <w:rsid w:val="39514846"/>
    <w:rsid w:val="39646937"/>
    <w:rsid w:val="39667EBE"/>
    <w:rsid w:val="398A1E96"/>
    <w:rsid w:val="39A83003"/>
    <w:rsid w:val="39B574DC"/>
    <w:rsid w:val="39F77A7A"/>
    <w:rsid w:val="3A004109"/>
    <w:rsid w:val="3A225E0A"/>
    <w:rsid w:val="3A324C2C"/>
    <w:rsid w:val="3A3875C6"/>
    <w:rsid w:val="3A49242D"/>
    <w:rsid w:val="3A756774"/>
    <w:rsid w:val="3AA41509"/>
    <w:rsid w:val="3AD8360E"/>
    <w:rsid w:val="3AE65FA0"/>
    <w:rsid w:val="3B17126C"/>
    <w:rsid w:val="3B445656"/>
    <w:rsid w:val="3B74278D"/>
    <w:rsid w:val="3B755BFC"/>
    <w:rsid w:val="3B9E64B2"/>
    <w:rsid w:val="3BA9366A"/>
    <w:rsid w:val="3BAA144C"/>
    <w:rsid w:val="3BB87058"/>
    <w:rsid w:val="3BC14C69"/>
    <w:rsid w:val="3BEA3775"/>
    <w:rsid w:val="3BFA5677"/>
    <w:rsid w:val="3C1B7FC3"/>
    <w:rsid w:val="3C1C7DAA"/>
    <w:rsid w:val="3C38053D"/>
    <w:rsid w:val="3C5C458E"/>
    <w:rsid w:val="3C6B389F"/>
    <w:rsid w:val="3C7026E0"/>
    <w:rsid w:val="3CB33121"/>
    <w:rsid w:val="3CB90716"/>
    <w:rsid w:val="3CD964AB"/>
    <w:rsid w:val="3D010728"/>
    <w:rsid w:val="3D087EE6"/>
    <w:rsid w:val="3D145319"/>
    <w:rsid w:val="3D1B2402"/>
    <w:rsid w:val="3D21443A"/>
    <w:rsid w:val="3D307288"/>
    <w:rsid w:val="3D411B35"/>
    <w:rsid w:val="3D6F08D4"/>
    <w:rsid w:val="3D7F0D94"/>
    <w:rsid w:val="3D8C258A"/>
    <w:rsid w:val="3D906195"/>
    <w:rsid w:val="3D9B37ED"/>
    <w:rsid w:val="3D9C34C0"/>
    <w:rsid w:val="3DA47050"/>
    <w:rsid w:val="3DC22DE7"/>
    <w:rsid w:val="3DCA26AD"/>
    <w:rsid w:val="3DCE754C"/>
    <w:rsid w:val="3DD57D7C"/>
    <w:rsid w:val="3DE72FC0"/>
    <w:rsid w:val="3DF40F5D"/>
    <w:rsid w:val="3E0D460E"/>
    <w:rsid w:val="3E6C5243"/>
    <w:rsid w:val="3E7C4091"/>
    <w:rsid w:val="3E7E7E42"/>
    <w:rsid w:val="3EB537F9"/>
    <w:rsid w:val="3EBC06FE"/>
    <w:rsid w:val="3EE15317"/>
    <w:rsid w:val="3EE801EE"/>
    <w:rsid w:val="3F0F6E83"/>
    <w:rsid w:val="3F170991"/>
    <w:rsid w:val="3F3568E9"/>
    <w:rsid w:val="3F5B5C7D"/>
    <w:rsid w:val="3F7F6A4B"/>
    <w:rsid w:val="3F826D29"/>
    <w:rsid w:val="3F874EB4"/>
    <w:rsid w:val="3F8D21D1"/>
    <w:rsid w:val="3F8E125D"/>
    <w:rsid w:val="3F954CAE"/>
    <w:rsid w:val="3FBE76CD"/>
    <w:rsid w:val="3FC11C66"/>
    <w:rsid w:val="3FDA0A9E"/>
    <w:rsid w:val="400A244C"/>
    <w:rsid w:val="4016789C"/>
    <w:rsid w:val="40195084"/>
    <w:rsid w:val="402532FB"/>
    <w:rsid w:val="405D5BAC"/>
    <w:rsid w:val="406E531F"/>
    <w:rsid w:val="40A81100"/>
    <w:rsid w:val="40BC7281"/>
    <w:rsid w:val="40E336DB"/>
    <w:rsid w:val="40E76FDC"/>
    <w:rsid w:val="41013DBD"/>
    <w:rsid w:val="41014DFB"/>
    <w:rsid w:val="41070D20"/>
    <w:rsid w:val="413F55F8"/>
    <w:rsid w:val="414E0998"/>
    <w:rsid w:val="418F4271"/>
    <w:rsid w:val="41AD4111"/>
    <w:rsid w:val="41AD4BDE"/>
    <w:rsid w:val="41B46D32"/>
    <w:rsid w:val="41C24CDF"/>
    <w:rsid w:val="41DB06BE"/>
    <w:rsid w:val="420D3AFD"/>
    <w:rsid w:val="42162036"/>
    <w:rsid w:val="421D4361"/>
    <w:rsid w:val="422E6BCE"/>
    <w:rsid w:val="4238460F"/>
    <w:rsid w:val="424D204C"/>
    <w:rsid w:val="42554C5E"/>
    <w:rsid w:val="425A3CC1"/>
    <w:rsid w:val="426A1684"/>
    <w:rsid w:val="42844AE0"/>
    <w:rsid w:val="42AF495C"/>
    <w:rsid w:val="42C13A7E"/>
    <w:rsid w:val="42C330F0"/>
    <w:rsid w:val="42C42797"/>
    <w:rsid w:val="42C53F41"/>
    <w:rsid w:val="42C83939"/>
    <w:rsid w:val="42CE74AE"/>
    <w:rsid w:val="42DB42D2"/>
    <w:rsid w:val="42DF3F0A"/>
    <w:rsid w:val="42E65F24"/>
    <w:rsid w:val="42EB0458"/>
    <w:rsid w:val="43050D8A"/>
    <w:rsid w:val="430A551F"/>
    <w:rsid w:val="431023B8"/>
    <w:rsid w:val="43121958"/>
    <w:rsid w:val="43140869"/>
    <w:rsid w:val="43496112"/>
    <w:rsid w:val="435D6313"/>
    <w:rsid w:val="43965532"/>
    <w:rsid w:val="439B62D6"/>
    <w:rsid w:val="43A003EB"/>
    <w:rsid w:val="43A93402"/>
    <w:rsid w:val="43B37EA1"/>
    <w:rsid w:val="43BC3C07"/>
    <w:rsid w:val="43DC4651"/>
    <w:rsid w:val="43E25886"/>
    <w:rsid w:val="43E828F9"/>
    <w:rsid w:val="43F24521"/>
    <w:rsid w:val="4402788F"/>
    <w:rsid w:val="44120427"/>
    <w:rsid w:val="441E4E83"/>
    <w:rsid w:val="441F4F58"/>
    <w:rsid w:val="443D64B8"/>
    <w:rsid w:val="44575932"/>
    <w:rsid w:val="448C1D82"/>
    <w:rsid w:val="44B029FB"/>
    <w:rsid w:val="44BA6756"/>
    <w:rsid w:val="44DA2F64"/>
    <w:rsid w:val="44DB51ED"/>
    <w:rsid w:val="44ED5B6D"/>
    <w:rsid w:val="44F17D25"/>
    <w:rsid w:val="454B0EBC"/>
    <w:rsid w:val="455D6B18"/>
    <w:rsid w:val="45750C3D"/>
    <w:rsid w:val="457866DA"/>
    <w:rsid w:val="45962364"/>
    <w:rsid w:val="45A8629F"/>
    <w:rsid w:val="45C86EBE"/>
    <w:rsid w:val="45CA3956"/>
    <w:rsid w:val="45CC0FAD"/>
    <w:rsid w:val="461F1E4F"/>
    <w:rsid w:val="46346B16"/>
    <w:rsid w:val="463571F3"/>
    <w:rsid w:val="463E4E86"/>
    <w:rsid w:val="46614089"/>
    <w:rsid w:val="467D459E"/>
    <w:rsid w:val="46AA20FD"/>
    <w:rsid w:val="46B340E6"/>
    <w:rsid w:val="46BE2E5C"/>
    <w:rsid w:val="46C8304D"/>
    <w:rsid w:val="46E65CDB"/>
    <w:rsid w:val="46E81A6D"/>
    <w:rsid w:val="46EA3796"/>
    <w:rsid w:val="46F6423F"/>
    <w:rsid w:val="47812160"/>
    <w:rsid w:val="479247C3"/>
    <w:rsid w:val="47A3701B"/>
    <w:rsid w:val="47AE509B"/>
    <w:rsid w:val="47D249E1"/>
    <w:rsid w:val="47DA04CF"/>
    <w:rsid w:val="481E141D"/>
    <w:rsid w:val="482129CE"/>
    <w:rsid w:val="482F4F74"/>
    <w:rsid w:val="48442F23"/>
    <w:rsid w:val="484E46C4"/>
    <w:rsid w:val="488E764F"/>
    <w:rsid w:val="489459D8"/>
    <w:rsid w:val="48AC0A79"/>
    <w:rsid w:val="48D161E2"/>
    <w:rsid w:val="48F37975"/>
    <w:rsid w:val="48F467BF"/>
    <w:rsid w:val="49143EF1"/>
    <w:rsid w:val="491C6ACD"/>
    <w:rsid w:val="492F2365"/>
    <w:rsid w:val="49373783"/>
    <w:rsid w:val="493D31FF"/>
    <w:rsid w:val="49412CC5"/>
    <w:rsid w:val="494E495A"/>
    <w:rsid w:val="497575CE"/>
    <w:rsid w:val="49AA5BF3"/>
    <w:rsid w:val="49BB6F25"/>
    <w:rsid w:val="49F71ABB"/>
    <w:rsid w:val="49FB0C3D"/>
    <w:rsid w:val="4A156AA7"/>
    <w:rsid w:val="4A4D7E8A"/>
    <w:rsid w:val="4A6A0578"/>
    <w:rsid w:val="4A81156A"/>
    <w:rsid w:val="4A8663AD"/>
    <w:rsid w:val="4AB6248F"/>
    <w:rsid w:val="4AB91A2A"/>
    <w:rsid w:val="4AD32F06"/>
    <w:rsid w:val="4ADE3D60"/>
    <w:rsid w:val="4AF8566E"/>
    <w:rsid w:val="4B080428"/>
    <w:rsid w:val="4B223FDF"/>
    <w:rsid w:val="4B4026F1"/>
    <w:rsid w:val="4B6C4F86"/>
    <w:rsid w:val="4B732F3A"/>
    <w:rsid w:val="4B92081F"/>
    <w:rsid w:val="4B9D01D5"/>
    <w:rsid w:val="4BA006D9"/>
    <w:rsid w:val="4BA36F3A"/>
    <w:rsid w:val="4BAE6DBB"/>
    <w:rsid w:val="4BB16CA1"/>
    <w:rsid w:val="4BB25321"/>
    <w:rsid w:val="4BBF56FF"/>
    <w:rsid w:val="4C020640"/>
    <w:rsid w:val="4C2650F4"/>
    <w:rsid w:val="4C2E209D"/>
    <w:rsid w:val="4C317058"/>
    <w:rsid w:val="4C410ADF"/>
    <w:rsid w:val="4C441878"/>
    <w:rsid w:val="4C5326FB"/>
    <w:rsid w:val="4C5D536B"/>
    <w:rsid w:val="4C6E0FF4"/>
    <w:rsid w:val="4C844528"/>
    <w:rsid w:val="4C8B75CC"/>
    <w:rsid w:val="4C955DA6"/>
    <w:rsid w:val="4C9C375C"/>
    <w:rsid w:val="4C9E653E"/>
    <w:rsid w:val="4CA209B9"/>
    <w:rsid w:val="4CA536CC"/>
    <w:rsid w:val="4CCB0D52"/>
    <w:rsid w:val="4CE07779"/>
    <w:rsid w:val="4CE35D83"/>
    <w:rsid w:val="4CE56921"/>
    <w:rsid w:val="4CFC4402"/>
    <w:rsid w:val="4CFE0CA5"/>
    <w:rsid w:val="4D0A6297"/>
    <w:rsid w:val="4D75470F"/>
    <w:rsid w:val="4D8B2D3D"/>
    <w:rsid w:val="4DB6482F"/>
    <w:rsid w:val="4DC1110D"/>
    <w:rsid w:val="4DDA6A25"/>
    <w:rsid w:val="4DDD5632"/>
    <w:rsid w:val="4DE63802"/>
    <w:rsid w:val="4DF542F3"/>
    <w:rsid w:val="4E037CAE"/>
    <w:rsid w:val="4E9A19AD"/>
    <w:rsid w:val="4EA34E61"/>
    <w:rsid w:val="4EA7606E"/>
    <w:rsid w:val="4EAD14D2"/>
    <w:rsid w:val="4F2D2DBB"/>
    <w:rsid w:val="4F402808"/>
    <w:rsid w:val="4F4D23A8"/>
    <w:rsid w:val="4FDA1B9A"/>
    <w:rsid w:val="4FE71447"/>
    <w:rsid w:val="50183514"/>
    <w:rsid w:val="50450955"/>
    <w:rsid w:val="505E209E"/>
    <w:rsid w:val="5073563F"/>
    <w:rsid w:val="5082525A"/>
    <w:rsid w:val="50AB2FA9"/>
    <w:rsid w:val="50C55289"/>
    <w:rsid w:val="50EB3957"/>
    <w:rsid w:val="51285C6A"/>
    <w:rsid w:val="513E76AC"/>
    <w:rsid w:val="51513C29"/>
    <w:rsid w:val="51524A59"/>
    <w:rsid w:val="5177593B"/>
    <w:rsid w:val="517A7B18"/>
    <w:rsid w:val="517C3E74"/>
    <w:rsid w:val="517C4F62"/>
    <w:rsid w:val="518E2012"/>
    <w:rsid w:val="51B42FB2"/>
    <w:rsid w:val="51CE7E5D"/>
    <w:rsid w:val="527365E8"/>
    <w:rsid w:val="527D00AE"/>
    <w:rsid w:val="5295690B"/>
    <w:rsid w:val="52976243"/>
    <w:rsid w:val="52A6435A"/>
    <w:rsid w:val="52BB0D49"/>
    <w:rsid w:val="52CC60E5"/>
    <w:rsid w:val="52FA74ED"/>
    <w:rsid w:val="53273B99"/>
    <w:rsid w:val="53B03289"/>
    <w:rsid w:val="53D640F4"/>
    <w:rsid w:val="53D939B1"/>
    <w:rsid w:val="53F35B26"/>
    <w:rsid w:val="53F74D27"/>
    <w:rsid w:val="5402094B"/>
    <w:rsid w:val="542B15B5"/>
    <w:rsid w:val="543C7F40"/>
    <w:rsid w:val="543E7B65"/>
    <w:rsid w:val="54563B53"/>
    <w:rsid w:val="5461192F"/>
    <w:rsid w:val="54681B70"/>
    <w:rsid w:val="547823DF"/>
    <w:rsid w:val="54784B13"/>
    <w:rsid w:val="547D0DDD"/>
    <w:rsid w:val="54886D3A"/>
    <w:rsid w:val="54A87AF4"/>
    <w:rsid w:val="54A959F4"/>
    <w:rsid w:val="54B63EBA"/>
    <w:rsid w:val="54BE7F3F"/>
    <w:rsid w:val="55264E85"/>
    <w:rsid w:val="55336964"/>
    <w:rsid w:val="55607A6D"/>
    <w:rsid w:val="55672CD0"/>
    <w:rsid w:val="557B6F5E"/>
    <w:rsid w:val="557F5E7F"/>
    <w:rsid w:val="55834264"/>
    <w:rsid w:val="55B03D89"/>
    <w:rsid w:val="55BA63C8"/>
    <w:rsid w:val="55D2200A"/>
    <w:rsid w:val="55FB2961"/>
    <w:rsid w:val="561E4FE1"/>
    <w:rsid w:val="56584141"/>
    <w:rsid w:val="565F0A2D"/>
    <w:rsid w:val="56624E1E"/>
    <w:rsid w:val="56766298"/>
    <w:rsid w:val="56BF10F8"/>
    <w:rsid w:val="56D72ADB"/>
    <w:rsid w:val="56EA38DE"/>
    <w:rsid w:val="56EE471C"/>
    <w:rsid w:val="57204133"/>
    <w:rsid w:val="57312D21"/>
    <w:rsid w:val="573E3DB0"/>
    <w:rsid w:val="574A1DC1"/>
    <w:rsid w:val="575B593E"/>
    <w:rsid w:val="580A3871"/>
    <w:rsid w:val="5841576B"/>
    <w:rsid w:val="58510B01"/>
    <w:rsid w:val="58695798"/>
    <w:rsid w:val="58A545FC"/>
    <w:rsid w:val="58B80D1B"/>
    <w:rsid w:val="58C96631"/>
    <w:rsid w:val="58D812DA"/>
    <w:rsid w:val="58FE4BE0"/>
    <w:rsid w:val="594A725F"/>
    <w:rsid w:val="594D7863"/>
    <w:rsid w:val="596713CF"/>
    <w:rsid w:val="599C009C"/>
    <w:rsid w:val="59BC2608"/>
    <w:rsid w:val="59F42E02"/>
    <w:rsid w:val="59FF0CA1"/>
    <w:rsid w:val="5A133141"/>
    <w:rsid w:val="5A261B40"/>
    <w:rsid w:val="5A4308F1"/>
    <w:rsid w:val="5AA21E1E"/>
    <w:rsid w:val="5AAA4DC5"/>
    <w:rsid w:val="5AAC5C75"/>
    <w:rsid w:val="5AD30822"/>
    <w:rsid w:val="5AD90D18"/>
    <w:rsid w:val="5AED7354"/>
    <w:rsid w:val="5B1415BD"/>
    <w:rsid w:val="5B282D21"/>
    <w:rsid w:val="5B3673A4"/>
    <w:rsid w:val="5B47158A"/>
    <w:rsid w:val="5B505F62"/>
    <w:rsid w:val="5BCD0F01"/>
    <w:rsid w:val="5BF31649"/>
    <w:rsid w:val="5BF84AA0"/>
    <w:rsid w:val="5C005B55"/>
    <w:rsid w:val="5C2913A0"/>
    <w:rsid w:val="5C37602B"/>
    <w:rsid w:val="5C4043F8"/>
    <w:rsid w:val="5C753FBD"/>
    <w:rsid w:val="5C7973AA"/>
    <w:rsid w:val="5CB300EA"/>
    <w:rsid w:val="5CB44537"/>
    <w:rsid w:val="5D0E686C"/>
    <w:rsid w:val="5D443390"/>
    <w:rsid w:val="5D455354"/>
    <w:rsid w:val="5D6432F7"/>
    <w:rsid w:val="5D815DB6"/>
    <w:rsid w:val="5D8E0430"/>
    <w:rsid w:val="5DD17111"/>
    <w:rsid w:val="5E01770B"/>
    <w:rsid w:val="5E2C78A4"/>
    <w:rsid w:val="5E41017E"/>
    <w:rsid w:val="5E63400E"/>
    <w:rsid w:val="5EA6708B"/>
    <w:rsid w:val="5EA92A5F"/>
    <w:rsid w:val="5EDB26A3"/>
    <w:rsid w:val="5EE07A87"/>
    <w:rsid w:val="5EEE1EAB"/>
    <w:rsid w:val="5EFF7F5A"/>
    <w:rsid w:val="5F06361D"/>
    <w:rsid w:val="5F274794"/>
    <w:rsid w:val="5F387044"/>
    <w:rsid w:val="5F6848E4"/>
    <w:rsid w:val="5F79619A"/>
    <w:rsid w:val="5FB24013"/>
    <w:rsid w:val="60172C31"/>
    <w:rsid w:val="602849B1"/>
    <w:rsid w:val="60510E15"/>
    <w:rsid w:val="607138C8"/>
    <w:rsid w:val="60737C5C"/>
    <w:rsid w:val="607D18D9"/>
    <w:rsid w:val="608418C2"/>
    <w:rsid w:val="608624D9"/>
    <w:rsid w:val="60C842D7"/>
    <w:rsid w:val="60CD5E92"/>
    <w:rsid w:val="60D91FF3"/>
    <w:rsid w:val="60FE69AF"/>
    <w:rsid w:val="61020C00"/>
    <w:rsid w:val="61204966"/>
    <w:rsid w:val="614E0989"/>
    <w:rsid w:val="615E2997"/>
    <w:rsid w:val="616368B9"/>
    <w:rsid w:val="617B4FC7"/>
    <w:rsid w:val="617B5F80"/>
    <w:rsid w:val="6190531F"/>
    <w:rsid w:val="61B63EB7"/>
    <w:rsid w:val="61C37E49"/>
    <w:rsid w:val="61C70601"/>
    <w:rsid w:val="61D31E3D"/>
    <w:rsid w:val="61D66800"/>
    <w:rsid w:val="61ED5FBF"/>
    <w:rsid w:val="61EE2B69"/>
    <w:rsid w:val="62014D1F"/>
    <w:rsid w:val="6202371A"/>
    <w:rsid w:val="620B7462"/>
    <w:rsid w:val="62360A70"/>
    <w:rsid w:val="623D39F5"/>
    <w:rsid w:val="624A19BB"/>
    <w:rsid w:val="627F4EA8"/>
    <w:rsid w:val="62822CCB"/>
    <w:rsid w:val="628A5DB2"/>
    <w:rsid w:val="62C1349C"/>
    <w:rsid w:val="62C765C6"/>
    <w:rsid w:val="62D87330"/>
    <w:rsid w:val="62E45837"/>
    <w:rsid w:val="630C18B1"/>
    <w:rsid w:val="6316467B"/>
    <w:rsid w:val="63171B7F"/>
    <w:rsid w:val="632D3F7A"/>
    <w:rsid w:val="63384104"/>
    <w:rsid w:val="635C04E0"/>
    <w:rsid w:val="639456EF"/>
    <w:rsid w:val="63961CE0"/>
    <w:rsid w:val="63A7429B"/>
    <w:rsid w:val="63B20D64"/>
    <w:rsid w:val="63E17D6C"/>
    <w:rsid w:val="64181D30"/>
    <w:rsid w:val="64574B4D"/>
    <w:rsid w:val="645F2839"/>
    <w:rsid w:val="64714AEB"/>
    <w:rsid w:val="647C440A"/>
    <w:rsid w:val="647E3A9A"/>
    <w:rsid w:val="64A5552C"/>
    <w:rsid w:val="64A87C3F"/>
    <w:rsid w:val="6503222E"/>
    <w:rsid w:val="6518700F"/>
    <w:rsid w:val="65197430"/>
    <w:rsid w:val="655D1655"/>
    <w:rsid w:val="656C5CE3"/>
    <w:rsid w:val="658363A3"/>
    <w:rsid w:val="65904B05"/>
    <w:rsid w:val="65A97358"/>
    <w:rsid w:val="65D340AC"/>
    <w:rsid w:val="660557E5"/>
    <w:rsid w:val="66227E85"/>
    <w:rsid w:val="664262A1"/>
    <w:rsid w:val="66480AB3"/>
    <w:rsid w:val="664A3F94"/>
    <w:rsid w:val="665259DC"/>
    <w:rsid w:val="66594AF6"/>
    <w:rsid w:val="66840156"/>
    <w:rsid w:val="669D6F39"/>
    <w:rsid w:val="66A119DE"/>
    <w:rsid w:val="66CF222C"/>
    <w:rsid w:val="66D548F5"/>
    <w:rsid w:val="66D91C48"/>
    <w:rsid w:val="67044A2D"/>
    <w:rsid w:val="671416A0"/>
    <w:rsid w:val="6725057A"/>
    <w:rsid w:val="6750098D"/>
    <w:rsid w:val="675862D2"/>
    <w:rsid w:val="675F6088"/>
    <w:rsid w:val="67627275"/>
    <w:rsid w:val="679925C1"/>
    <w:rsid w:val="67AF15C3"/>
    <w:rsid w:val="67AF1CD9"/>
    <w:rsid w:val="67BF3D1B"/>
    <w:rsid w:val="67C248F7"/>
    <w:rsid w:val="67C91139"/>
    <w:rsid w:val="67CB1B39"/>
    <w:rsid w:val="67D724B9"/>
    <w:rsid w:val="67EA63CF"/>
    <w:rsid w:val="67F40C13"/>
    <w:rsid w:val="68183163"/>
    <w:rsid w:val="68262320"/>
    <w:rsid w:val="6846557B"/>
    <w:rsid w:val="68692FE2"/>
    <w:rsid w:val="68814625"/>
    <w:rsid w:val="689306AB"/>
    <w:rsid w:val="689655A9"/>
    <w:rsid w:val="68974ADE"/>
    <w:rsid w:val="689C45B1"/>
    <w:rsid w:val="68AB31C8"/>
    <w:rsid w:val="68BB49BA"/>
    <w:rsid w:val="68C63D24"/>
    <w:rsid w:val="68C71C07"/>
    <w:rsid w:val="68D645A4"/>
    <w:rsid w:val="68EC34EF"/>
    <w:rsid w:val="69197F3D"/>
    <w:rsid w:val="692C5FAD"/>
    <w:rsid w:val="69357C26"/>
    <w:rsid w:val="695212C2"/>
    <w:rsid w:val="695D4F1C"/>
    <w:rsid w:val="69610FB9"/>
    <w:rsid w:val="696F0988"/>
    <w:rsid w:val="69715A95"/>
    <w:rsid w:val="697D3FCE"/>
    <w:rsid w:val="69945114"/>
    <w:rsid w:val="69C706FE"/>
    <w:rsid w:val="69D03E47"/>
    <w:rsid w:val="6A0E6EA1"/>
    <w:rsid w:val="6A173CF8"/>
    <w:rsid w:val="6A470683"/>
    <w:rsid w:val="6A794A35"/>
    <w:rsid w:val="6A8662C8"/>
    <w:rsid w:val="6AA2149F"/>
    <w:rsid w:val="6AA9520C"/>
    <w:rsid w:val="6AB60AAE"/>
    <w:rsid w:val="6ACA5719"/>
    <w:rsid w:val="6B276DDF"/>
    <w:rsid w:val="6B2D3DD3"/>
    <w:rsid w:val="6B321743"/>
    <w:rsid w:val="6B355B8D"/>
    <w:rsid w:val="6B376343"/>
    <w:rsid w:val="6B426304"/>
    <w:rsid w:val="6B55268C"/>
    <w:rsid w:val="6B68089E"/>
    <w:rsid w:val="6B7E3039"/>
    <w:rsid w:val="6BB87388"/>
    <w:rsid w:val="6BBB1F09"/>
    <w:rsid w:val="6BC915E7"/>
    <w:rsid w:val="6BE168EF"/>
    <w:rsid w:val="6BF51BD9"/>
    <w:rsid w:val="6BFD16C5"/>
    <w:rsid w:val="6BFF2C3D"/>
    <w:rsid w:val="6C114E32"/>
    <w:rsid w:val="6C4969E4"/>
    <w:rsid w:val="6C7E5563"/>
    <w:rsid w:val="6CB27989"/>
    <w:rsid w:val="6CC85207"/>
    <w:rsid w:val="6CD653C3"/>
    <w:rsid w:val="6CD80637"/>
    <w:rsid w:val="6CE2704F"/>
    <w:rsid w:val="6D53470C"/>
    <w:rsid w:val="6D6A4A10"/>
    <w:rsid w:val="6D8D519C"/>
    <w:rsid w:val="6D997E21"/>
    <w:rsid w:val="6DA83FDF"/>
    <w:rsid w:val="6DC47DF7"/>
    <w:rsid w:val="6DC800E7"/>
    <w:rsid w:val="6DE468B8"/>
    <w:rsid w:val="6DFB74A3"/>
    <w:rsid w:val="6E045139"/>
    <w:rsid w:val="6E086024"/>
    <w:rsid w:val="6E3517E4"/>
    <w:rsid w:val="6E355F76"/>
    <w:rsid w:val="6E3822C9"/>
    <w:rsid w:val="6E4965E8"/>
    <w:rsid w:val="6E4F3D89"/>
    <w:rsid w:val="6E55731E"/>
    <w:rsid w:val="6E79521B"/>
    <w:rsid w:val="6E7F6BC0"/>
    <w:rsid w:val="6E871895"/>
    <w:rsid w:val="6EBB0EBA"/>
    <w:rsid w:val="6EDF78B9"/>
    <w:rsid w:val="6F0D06E7"/>
    <w:rsid w:val="6F1106B6"/>
    <w:rsid w:val="6F347DEA"/>
    <w:rsid w:val="6F5B073E"/>
    <w:rsid w:val="6F6567C2"/>
    <w:rsid w:val="6F6D1B08"/>
    <w:rsid w:val="6F954CF0"/>
    <w:rsid w:val="6F9818D8"/>
    <w:rsid w:val="6FCF005C"/>
    <w:rsid w:val="6FE05419"/>
    <w:rsid w:val="6FEA4880"/>
    <w:rsid w:val="6FEE46BB"/>
    <w:rsid w:val="70215236"/>
    <w:rsid w:val="705B1805"/>
    <w:rsid w:val="708E0B06"/>
    <w:rsid w:val="70954AFD"/>
    <w:rsid w:val="70C31D00"/>
    <w:rsid w:val="70D6311B"/>
    <w:rsid w:val="70E801E5"/>
    <w:rsid w:val="70EC2710"/>
    <w:rsid w:val="70FA6A38"/>
    <w:rsid w:val="70FA71EB"/>
    <w:rsid w:val="711E41D0"/>
    <w:rsid w:val="712179F4"/>
    <w:rsid w:val="712A10A3"/>
    <w:rsid w:val="71356026"/>
    <w:rsid w:val="71554E83"/>
    <w:rsid w:val="71887034"/>
    <w:rsid w:val="71904126"/>
    <w:rsid w:val="71AC5F22"/>
    <w:rsid w:val="71B96905"/>
    <w:rsid w:val="71D97C41"/>
    <w:rsid w:val="720840F4"/>
    <w:rsid w:val="721E70F9"/>
    <w:rsid w:val="727A4045"/>
    <w:rsid w:val="727E3856"/>
    <w:rsid w:val="72A53543"/>
    <w:rsid w:val="72B56BF4"/>
    <w:rsid w:val="72C267D6"/>
    <w:rsid w:val="72C318B7"/>
    <w:rsid w:val="72D85F63"/>
    <w:rsid w:val="72F97370"/>
    <w:rsid w:val="73303D55"/>
    <w:rsid w:val="73397F8D"/>
    <w:rsid w:val="734D075F"/>
    <w:rsid w:val="73591A0F"/>
    <w:rsid w:val="73655FDF"/>
    <w:rsid w:val="737B5F85"/>
    <w:rsid w:val="73942889"/>
    <w:rsid w:val="73B47937"/>
    <w:rsid w:val="73C60A7B"/>
    <w:rsid w:val="73E82D35"/>
    <w:rsid w:val="74073B73"/>
    <w:rsid w:val="741373FD"/>
    <w:rsid w:val="742E39FC"/>
    <w:rsid w:val="745E46F4"/>
    <w:rsid w:val="748277B7"/>
    <w:rsid w:val="74952A84"/>
    <w:rsid w:val="74957534"/>
    <w:rsid w:val="74A11D7C"/>
    <w:rsid w:val="750D0089"/>
    <w:rsid w:val="751E4F9C"/>
    <w:rsid w:val="752D28BD"/>
    <w:rsid w:val="753F7AAA"/>
    <w:rsid w:val="7542485F"/>
    <w:rsid w:val="754C2085"/>
    <w:rsid w:val="756A3CF6"/>
    <w:rsid w:val="7590359F"/>
    <w:rsid w:val="759731E6"/>
    <w:rsid w:val="759F0BB5"/>
    <w:rsid w:val="75B66ECD"/>
    <w:rsid w:val="75E920B2"/>
    <w:rsid w:val="75EA1D65"/>
    <w:rsid w:val="75ED30E3"/>
    <w:rsid w:val="75EE27DC"/>
    <w:rsid w:val="75FB7498"/>
    <w:rsid w:val="75FE35BC"/>
    <w:rsid w:val="76083F30"/>
    <w:rsid w:val="76097EA3"/>
    <w:rsid w:val="76156FAE"/>
    <w:rsid w:val="763D125F"/>
    <w:rsid w:val="76514429"/>
    <w:rsid w:val="765545D9"/>
    <w:rsid w:val="766F145A"/>
    <w:rsid w:val="76785AFD"/>
    <w:rsid w:val="76905FBF"/>
    <w:rsid w:val="7696261B"/>
    <w:rsid w:val="76965B65"/>
    <w:rsid w:val="76A20756"/>
    <w:rsid w:val="76B34B45"/>
    <w:rsid w:val="76E96D99"/>
    <w:rsid w:val="76EB02A7"/>
    <w:rsid w:val="76EE6298"/>
    <w:rsid w:val="76FD5F7B"/>
    <w:rsid w:val="7733531D"/>
    <w:rsid w:val="7736228D"/>
    <w:rsid w:val="773675A5"/>
    <w:rsid w:val="77623933"/>
    <w:rsid w:val="77CE269B"/>
    <w:rsid w:val="77F96D63"/>
    <w:rsid w:val="77FA3832"/>
    <w:rsid w:val="781038B9"/>
    <w:rsid w:val="7824512E"/>
    <w:rsid w:val="782F143B"/>
    <w:rsid w:val="78400E00"/>
    <w:rsid w:val="785F0B42"/>
    <w:rsid w:val="78661871"/>
    <w:rsid w:val="786A4C03"/>
    <w:rsid w:val="78A51ADB"/>
    <w:rsid w:val="78E400C1"/>
    <w:rsid w:val="78FF0653"/>
    <w:rsid w:val="791119CD"/>
    <w:rsid w:val="791423C9"/>
    <w:rsid w:val="791E77BB"/>
    <w:rsid w:val="79294ED6"/>
    <w:rsid w:val="79402E56"/>
    <w:rsid w:val="795A4C9E"/>
    <w:rsid w:val="796629CD"/>
    <w:rsid w:val="7967193B"/>
    <w:rsid w:val="796B0E8C"/>
    <w:rsid w:val="799C76A4"/>
    <w:rsid w:val="79C87933"/>
    <w:rsid w:val="79D1596B"/>
    <w:rsid w:val="79F83521"/>
    <w:rsid w:val="7A33031D"/>
    <w:rsid w:val="7A4F11CC"/>
    <w:rsid w:val="7A607511"/>
    <w:rsid w:val="7A62071D"/>
    <w:rsid w:val="7A645D80"/>
    <w:rsid w:val="7A783A2E"/>
    <w:rsid w:val="7A927712"/>
    <w:rsid w:val="7AA05D1F"/>
    <w:rsid w:val="7AD04BF3"/>
    <w:rsid w:val="7B003A23"/>
    <w:rsid w:val="7B18220F"/>
    <w:rsid w:val="7B290F06"/>
    <w:rsid w:val="7B361B1E"/>
    <w:rsid w:val="7B4736E9"/>
    <w:rsid w:val="7B52313A"/>
    <w:rsid w:val="7B531671"/>
    <w:rsid w:val="7B5972FC"/>
    <w:rsid w:val="7B5B015E"/>
    <w:rsid w:val="7B614B96"/>
    <w:rsid w:val="7B7C7D4B"/>
    <w:rsid w:val="7B8A0883"/>
    <w:rsid w:val="7B99569F"/>
    <w:rsid w:val="7BB7711D"/>
    <w:rsid w:val="7BD2041D"/>
    <w:rsid w:val="7BD75E4A"/>
    <w:rsid w:val="7BE06349"/>
    <w:rsid w:val="7BFA786F"/>
    <w:rsid w:val="7C0F0A39"/>
    <w:rsid w:val="7C1F5C6B"/>
    <w:rsid w:val="7C290BA7"/>
    <w:rsid w:val="7C433BE7"/>
    <w:rsid w:val="7C60249B"/>
    <w:rsid w:val="7C6419F7"/>
    <w:rsid w:val="7C75054B"/>
    <w:rsid w:val="7C8313D5"/>
    <w:rsid w:val="7C9F5482"/>
    <w:rsid w:val="7CF7034A"/>
    <w:rsid w:val="7D173567"/>
    <w:rsid w:val="7D371E01"/>
    <w:rsid w:val="7D3C5ABD"/>
    <w:rsid w:val="7D453FFB"/>
    <w:rsid w:val="7D5B6EBA"/>
    <w:rsid w:val="7D6578BF"/>
    <w:rsid w:val="7D77709F"/>
    <w:rsid w:val="7D83652A"/>
    <w:rsid w:val="7D8D3D53"/>
    <w:rsid w:val="7D9B3098"/>
    <w:rsid w:val="7DA70FB0"/>
    <w:rsid w:val="7DB56A9B"/>
    <w:rsid w:val="7DBE1D78"/>
    <w:rsid w:val="7DDC0422"/>
    <w:rsid w:val="7DEE629D"/>
    <w:rsid w:val="7DF42AC6"/>
    <w:rsid w:val="7E0652CD"/>
    <w:rsid w:val="7E190102"/>
    <w:rsid w:val="7E333289"/>
    <w:rsid w:val="7E3D546D"/>
    <w:rsid w:val="7E537ED7"/>
    <w:rsid w:val="7E624338"/>
    <w:rsid w:val="7E695D73"/>
    <w:rsid w:val="7E8A055B"/>
    <w:rsid w:val="7E8E286C"/>
    <w:rsid w:val="7ECC1D37"/>
    <w:rsid w:val="7EDC0C1E"/>
    <w:rsid w:val="7EFD206B"/>
    <w:rsid w:val="7EFD7E49"/>
    <w:rsid w:val="7F0E13AC"/>
    <w:rsid w:val="7F204033"/>
    <w:rsid w:val="7F2507B6"/>
    <w:rsid w:val="7F2B5E31"/>
    <w:rsid w:val="7F2F67ED"/>
    <w:rsid w:val="7F392BC8"/>
    <w:rsid w:val="7F3A6392"/>
    <w:rsid w:val="7F587DAF"/>
    <w:rsid w:val="7F590623"/>
    <w:rsid w:val="7F7A23D4"/>
    <w:rsid w:val="7F80255F"/>
    <w:rsid w:val="7F9035D7"/>
    <w:rsid w:val="7F956635"/>
    <w:rsid w:val="7FA93A5A"/>
    <w:rsid w:val="7FB60B25"/>
    <w:rsid w:val="7FE55198"/>
    <w:rsid w:val="7FE83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napToGrid w:val="0"/>
      <w:jc w:val="center"/>
      <w:outlineLvl w:val="1"/>
    </w:pPr>
    <w:rPr>
      <w:rFonts w:ascii="宋体" w:hAnsi="宋体"/>
      <w:bCs/>
      <w:position w:val="-40"/>
      <w:sz w:val="28"/>
      <w:szCs w:val="28"/>
    </w:rPr>
  </w:style>
  <w:style w:type="paragraph" w:styleId="4">
    <w:name w:val="heading 3"/>
    <w:basedOn w:val="1"/>
    <w:next w:val="1"/>
    <w:link w:val="73"/>
    <w:qFormat/>
    <w:uiPriority w:val="0"/>
    <w:pPr>
      <w:keepNext/>
      <w:keepLines/>
      <w:spacing w:line="360" w:lineRule="auto"/>
      <w:outlineLvl w:val="2"/>
    </w:pPr>
    <w:rPr>
      <w:rFonts w:ascii="宋体" w:hAnsi="宋体"/>
      <w:b/>
      <w:bCs/>
      <w:sz w:val="28"/>
      <w:szCs w:val="32"/>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link w:val="45"/>
    <w:qFormat/>
    <w:uiPriority w:val="0"/>
    <w:pPr>
      <w:jc w:val="left"/>
    </w:pPr>
  </w:style>
  <w:style w:type="paragraph" w:styleId="8">
    <w:name w:val="Body Text"/>
    <w:basedOn w:val="1"/>
    <w:link w:val="70"/>
    <w:qFormat/>
    <w:uiPriority w:val="0"/>
    <w:pPr>
      <w:jc w:val="center"/>
    </w:pPr>
  </w:style>
  <w:style w:type="paragraph" w:styleId="9">
    <w:name w:val="Body Text Indent"/>
    <w:basedOn w:val="1"/>
    <w:qFormat/>
    <w:uiPriority w:val="0"/>
    <w:pPr>
      <w:snapToGrid w:val="0"/>
      <w:spacing w:line="360" w:lineRule="auto"/>
      <w:ind w:firstLine="420" w:firstLineChars="200"/>
    </w:pPr>
    <w:rPr>
      <w:rFonts w:ascii="宋体" w:hAnsi="宋体"/>
    </w:rPr>
  </w:style>
  <w:style w:type="paragraph" w:styleId="10">
    <w:name w:val="toc 5"/>
    <w:basedOn w:val="1"/>
    <w:next w:val="1"/>
    <w:qFormat/>
    <w:uiPriority w:val="0"/>
    <w:pPr>
      <w:jc w:val="center"/>
    </w:pPr>
    <w:rPr>
      <w:rFonts w:ascii="宋体" w:hAnsi="宋体"/>
      <w:sz w:val="24"/>
      <w:szCs w:val="21"/>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52"/>
    <w:qFormat/>
    <w:uiPriority w:val="0"/>
    <w:rPr>
      <w:rFonts w:ascii="宋体" w:hAnsi="Courier New"/>
      <w:szCs w:val="20"/>
    </w:rPr>
  </w:style>
  <w:style w:type="paragraph" w:styleId="13">
    <w:name w:val="Body Text Indent 2"/>
    <w:basedOn w:val="1"/>
    <w:qFormat/>
    <w:uiPriority w:val="0"/>
    <w:pPr>
      <w:snapToGrid w:val="0"/>
      <w:spacing w:line="300" w:lineRule="auto"/>
      <w:ind w:firstLine="480"/>
    </w:pPr>
    <w:rPr>
      <w:rFonts w:ascii="宋体" w:hAnsi="宋体"/>
      <w:sz w:val="24"/>
    </w:rPr>
  </w:style>
  <w:style w:type="paragraph" w:styleId="14">
    <w:name w:val="Balloon Text"/>
    <w:basedOn w:val="1"/>
    <w:semiHidden/>
    <w:qFormat/>
    <w:uiPriority w:val="0"/>
    <w:rPr>
      <w:sz w:val="18"/>
      <w:szCs w:val="18"/>
    </w:rPr>
  </w:style>
  <w:style w:type="paragraph" w:styleId="15">
    <w:name w:val="footer"/>
    <w:basedOn w:val="1"/>
    <w:link w:val="69"/>
    <w:qFormat/>
    <w:uiPriority w:val="99"/>
    <w:pPr>
      <w:tabs>
        <w:tab w:val="center" w:pos="4153"/>
        <w:tab w:val="right" w:pos="8306"/>
      </w:tabs>
      <w:snapToGrid w:val="0"/>
      <w:jc w:val="left"/>
    </w:pPr>
    <w:rPr>
      <w:sz w:val="18"/>
      <w:szCs w:val="18"/>
    </w:rPr>
  </w:style>
  <w:style w:type="paragraph" w:styleId="16">
    <w:name w:val="header"/>
    <w:basedOn w:val="1"/>
    <w:next w:val="1"/>
    <w:link w:val="48"/>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List"/>
    <w:basedOn w:val="1"/>
    <w:link w:val="90"/>
    <w:qFormat/>
    <w:uiPriority w:val="0"/>
    <w:pPr>
      <w:spacing w:before="80" w:after="80" w:line="480" w:lineRule="exact"/>
      <w:jc w:val="center"/>
    </w:pPr>
    <w:rPr>
      <w:rFonts w:ascii="黑体" w:eastAsia="黑体"/>
      <w:sz w:val="24"/>
      <w:szCs w:val="20"/>
    </w:rPr>
  </w:style>
  <w:style w:type="paragraph" w:styleId="19">
    <w:name w:val="Body Text Indent 3"/>
    <w:basedOn w:val="1"/>
    <w:unhideWhenUsed/>
    <w:qFormat/>
    <w:uiPriority w:val="0"/>
    <w:pPr>
      <w:snapToGrid w:val="0"/>
      <w:spacing w:beforeLines="0" w:afterLines="0" w:line="312" w:lineRule="auto"/>
      <w:ind w:firstLine="555"/>
    </w:pPr>
    <w:rPr>
      <w:rFonts w:hint="default" w:ascii="Times New Roman" w:hAnsi="Times New Roman" w:eastAsia="仿宋_GB2312"/>
      <w:color w:val="FF0000"/>
      <w:sz w:val="28"/>
      <w:szCs w:val="24"/>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widowControl/>
      <w:spacing w:before="100" w:beforeAutospacing="1" w:after="100" w:afterAutospacing="1"/>
      <w:jc w:val="left"/>
    </w:pPr>
    <w:rPr>
      <w:rFonts w:ascii="宋体" w:hAnsi="宋体" w:cs="宋体"/>
      <w:color w:val="663300"/>
      <w:kern w:val="0"/>
      <w:sz w:val="22"/>
      <w:szCs w:val="22"/>
    </w:rPr>
  </w:style>
  <w:style w:type="paragraph" w:styleId="22">
    <w:name w:val="Title"/>
    <w:basedOn w:val="1"/>
    <w:next w:val="1"/>
    <w:link w:val="47"/>
    <w:qFormat/>
    <w:uiPriority w:val="0"/>
    <w:pPr>
      <w:spacing w:before="240" w:after="60"/>
      <w:jc w:val="center"/>
      <w:outlineLvl w:val="0"/>
    </w:pPr>
    <w:rPr>
      <w:rFonts w:ascii="Calibri Light" w:hAnsi="Calibri Light"/>
      <w:b/>
      <w:bCs/>
      <w:sz w:val="32"/>
      <w:szCs w:val="32"/>
    </w:rPr>
  </w:style>
  <w:style w:type="paragraph" w:styleId="23">
    <w:name w:val="annotation subject"/>
    <w:basedOn w:val="7"/>
    <w:next w:val="7"/>
    <w:link w:val="46"/>
    <w:qFormat/>
    <w:uiPriority w:val="0"/>
    <w:rPr>
      <w:b/>
      <w:bCs/>
    </w:rPr>
  </w:style>
  <w:style w:type="paragraph" w:styleId="24">
    <w:name w:val="Body Text First Indent"/>
    <w:basedOn w:val="8"/>
    <w:link w:val="72"/>
    <w:unhideWhenUsed/>
    <w:qFormat/>
    <w:uiPriority w:val="0"/>
    <w:pPr>
      <w:spacing w:after="120"/>
      <w:ind w:firstLine="420" w:firstLineChars="100"/>
      <w:jc w:val="both"/>
    </w:pPr>
    <w:rPr>
      <w:szCs w:val="20"/>
    </w:rPr>
  </w:style>
  <w:style w:type="paragraph" w:styleId="25">
    <w:name w:val="Body Text First Indent 2"/>
    <w:basedOn w:val="9"/>
    <w:qFormat/>
    <w:uiPriority w:val="0"/>
    <w:pPr>
      <w:snapToGrid/>
      <w:spacing w:after="120" w:line="240" w:lineRule="auto"/>
      <w:ind w:left="420" w:leftChars="200"/>
    </w:pPr>
    <w:rPr>
      <w:rFonts w:ascii="Times New Roman" w:hAnsi="Times New Roman"/>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Grid 1"/>
    <w:basedOn w:val="2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0">
    <w:name w:val="page number"/>
    <w:basedOn w:val="29"/>
    <w:qFormat/>
    <w:uiPriority w:val="0"/>
  </w:style>
  <w:style w:type="character" w:styleId="31">
    <w:name w:val="Hyperlink"/>
    <w:basedOn w:val="29"/>
    <w:qFormat/>
    <w:uiPriority w:val="99"/>
    <w:rPr>
      <w:color w:val="0000FF" w:themeColor="hyperlink"/>
      <w:u w:val="single"/>
      <w14:textFill>
        <w14:solidFill>
          <w14:schemeClr w14:val="hlink"/>
        </w14:solidFill>
      </w14:textFill>
    </w:rPr>
  </w:style>
  <w:style w:type="character" w:styleId="32">
    <w:name w:val="annotation reference"/>
    <w:qFormat/>
    <w:uiPriority w:val="0"/>
    <w:rPr>
      <w:sz w:val="21"/>
      <w:szCs w:val="21"/>
    </w:rPr>
  </w:style>
  <w:style w:type="paragraph" w:customStyle="1" w:styleId="33">
    <w:name w:val="Default"/>
    <w:basedOn w:val="34"/>
    <w:next w:val="35"/>
    <w:unhideWhenUsed/>
    <w:qFormat/>
    <w:uiPriority w:val="0"/>
    <w:pPr>
      <w:widowControl w:val="0"/>
      <w:autoSpaceDE w:val="0"/>
      <w:autoSpaceDN w:val="0"/>
      <w:adjustRightInd w:val="0"/>
    </w:pPr>
    <w:rPr>
      <w:rFonts w:ascii="宋体" w:hAnsi="宋体" w:eastAsia="宋体" w:cstheme="minorBidi"/>
      <w:color w:val="000000"/>
      <w:sz w:val="24"/>
      <w:lang w:val="en-US" w:eastAsia="zh-CN" w:bidi="ar-SA"/>
    </w:rPr>
  </w:style>
  <w:style w:type="paragraph" w:customStyle="1" w:styleId="34">
    <w:name w:val="标题2"/>
    <w:basedOn w:val="3"/>
    <w:next w:val="1"/>
    <w:qFormat/>
    <w:uiPriority w:val="0"/>
    <w:pPr>
      <w:numPr>
        <w:ilvl w:val="1"/>
        <w:numId w:val="1"/>
      </w:numPr>
      <w:spacing w:before="0" w:after="0" w:line="440" w:lineRule="exact"/>
    </w:pPr>
    <w:rPr>
      <w:kern w:val="0"/>
      <w:sz w:val="28"/>
    </w:rPr>
  </w:style>
  <w:style w:type="paragraph" w:customStyle="1" w:styleId="35">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character" w:customStyle="1" w:styleId="36">
    <w:name w:val="content1"/>
    <w:qFormat/>
    <w:uiPriority w:val="0"/>
    <w:rPr>
      <w:sz w:val="21"/>
      <w:szCs w:val="21"/>
    </w:rPr>
  </w:style>
  <w:style w:type="character" w:customStyle="1" w:styleId="37">
    <w:name w:val="apple-style-span"/>
    <w:basedOn w:val="29"/>
    <w:qFormat/>
    <w:uiPriority w:val="0"/>
  </w:style>
  <w:style w:type="paragraph" w:customStyle="1" w:styleId="38">
    <w:name w:val="正文1"/>
    <w:basedOn w:val="1"/>
    <w:qFormat/>
    <w:uiPriority w:val="0"/>
    <w:pPr>
      <w:autoSpaceDE w:val="0"/>
      <w:autoSpaceDN w:val="0"/>
      <w:spacing w:after="160" w:line="440" w:lineRule="exact"/>
      <w:ind w:left="556"/>
      <w:textAlignment w:val="bottom"/>
    </w:pPr>
    <w:rPr>
      <w:color w:val="000000"/>
      <w:sz w:val="28"/>
      <w:szCs w:val="20"/>
    </w:rPr>
  </w:style>
  <w:style w:type="paragraph" w:customStyle="1" w:styleId="39">
    <w:name w:val="Char Char Char"/>
    <w:basedOn w:val="1"/>
    <w:qFormat/>
    <w:uiPriority w:val="0"/>
    <w:pPr>
      <w:spacing w:line="360" w:lineRule="auto"/>
    </w:pPr>
    <w:rPr>
      <w:rFonts w:ascii="Tahoma" w:hAnsi="Tahoma"/>
      <w:sz w:val="24"/>
      <w:szCs w:val="20"/>
    </w:rPr>
  </w:style>
  <w:style w:type="paragraph" w:customStyle="1" w:styleId="40">
    <w:name w:val="表格文字"/>
    <w:basedOn w:val="1"/>
    <w:link w:val="83"/>
    <w:qFormat/>
    <w:uiPriority w:val="0"/>
    <w:pPr>
      <w:jc w:val="center"/>
    </w:pPr>
    <w:rPr>
      <w:rFonts w:ascii="仿宋_GB2312" w:hAnsi="Arial Black" w:eastAsia="仿宋_GB2312"/>
      <w:kern w:val="44"/>
      <w:sz w:val="24"/>
      <w:szCs w:val="20"/>
    </w:rPr>
  </w:style>
  <w:style w:type="paragraph" w:customStyle="1" w:styleId="41">
    <w:name w:val="默认段落字体 Para Char Char Char Char"/>
    <w:basedOn w:val="1"/>
    <w:qFormat/>
    <w:uiPriority w:val="0"/>
    <w:rPr>
      <w:sz w:val="24"/>
    </w:rPr>
  </w:style>
  <w:style w:type="paragraph" w:customStyle="1" w:styleId="42">
    <w:name w:val="Char3"/>
    <w:basedOn w:val="1"/>
    <w:qFormat/>
    <w:uiPriority w:val="0"/>
    <w:rPr>
      <w:sz w:val="24"/>
    </w:rPr>
  </w:style>
  <w:style w:type="paragraph" w:customStyle="1" w:styleId="43">
    <w:name w:val="呼正1"/>
    <w:basedOn w:val="1"/>
    <w:qFormat/>
    <w:uiPriority w:val="0"/>
    <w:pPr>
      <w:snapToGrid w:val="0"/>
      <w:spacing w:line="360" w:lineRule="auto"/>
      <w:ind w:firstLine="588" w:firstLineChars="210"/>
    </w:pPr>
    <w:rPr>
      <w:rFonts w:ascii="宋体" w:hAnsi="宋体"/>
      <w:sz w:val="28"/>
      <w:szCs w:val="20"/>
    </w:rPr>
  </w:style>
  <w:style w:type="paragraph" w:customStyle="1" w:styleId="44">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1"/>
    </w:rPr>
  </w:style>
  <w:style w:type="character" w:customStyle="1" w:styleId="45">
    <w:name w:val="批注文字 字符"/>
    <w:link w:val="7"/>
    <w:qFormat/>
    <w:uiPriority w:val="99"/>
    <w:rPr>
      <w:kern w:val="2"/>
      <w:sz w:val="21"/>
      <w:szCs w:val="24"/>
    </w:rPr>
  </w:style>
  <w:style w:type="character" w:customStyle="1" w:styleId="46">
    <w:name w:val="批注主题 字符"/>
    <w:link w:val="23"/>
    <w:qFormat/>
    <w:uiPriority w:val="0"/>
    <w:rPr>
      <w:b/>
      <w:bCs/>
      <w:kern w:val="2"/>
      <w:sz w:val="21"/>
      <w:szCs w:val="24"/>
    </w:rPr>
  </w:style>
  <w:style w:type="character" w:customStyle="1" w:styleId="47">
    <w:name w:val="标题 字符"/>
    <w:link w:val="22"/>
    <w:qFormat/>
    <w:uiPriority w:val="0"/>
    <w:rPr>
      <w:rFonts w:ascii="Calibri Light" w:hAnsi="Calibri Light" w:cs="Times New Roman"/>
      <w:b/>
      <w:bCs/>
      <w:kern w:val="2"/>
      <w:sz w:val="32"/>
      <w:szCs w:val="32"/>
    </w:rPr>
  </w:style>
  <w:style w:type="character" w:customStyle="1" w:styleId="48">
    <w:name w:val="页眉 字符"/>
    <w:link w:val="16"/>
    <w:qFormat/>
    <w:uiPriority w:val="99"/>
    <w:rPr>
      <w:kern w:val="2"/>
      <w:sz w:val="18"/>
      <w:szCs w:val="18"/>
    </w:rPr>
  </w:style>
  <w:style w:type="paragraph" w:customStyle="1" w:styleId="49">
    <w:name w:val="列出段落1"/>
    <w:basedOn w:val="1"/>
    <w:qFormat/>
    <w:uiPriority w:val="99"/>
    <w:pPr>
      <w:ind w:firstLine="420" w:firstLineChars="200"/>
    </w:pPr>
  </w:style>
  <w:style w:type="paragraph" w:customStyle="1" w:styleId="50">
    <w:name w:val="默认段落字体 Para Char Char Char Char Char Char Char"/>
    <w:basedOn w:val="1"/>
    <w:qFormat/>
    <w:uiPriority w:val="0"/>
    <w:pPr>
      <w:adjustRightInd w:val="0"/>
      <w:spacing w:line="360" w:lineRule="auto"/>
      <w:textAlignment w:val="baseline"/>
    </w:pPr>
    <w:rPr>
      <w:rFonts w:eastAsia="仿宋_GB2312"/>
      <w:kern w:val="0"/>
      <w:sz w:val="24"/>
    </w:rPr>
  </w:style>
  <w:style w:type="character" w:customStyle="1" w:styleId="51">
    <w:name w:val="正文缩进 字符"/>
    <w:link w:val="5"/>
    <w:qFormat/>
    <w:uiPriority w:val="0"/>
    <w:rPr>
      <w:kern w:val="2"/>
      <w:sz w:val="21"/>
    </w:rPr>
  </w:style>
  <w:style w:type="character" w:customStyle="1" w:styleId="52">
    <w:name w:val="纯文本 字符"/>
    <w:basedOn w:val="29"/>
    <w:link w:val="12"/>
    <w:qFormat/>
    <w:uiPriority w:val="0"/>
    <w:rPr>
      <w:rFonts w:ascii="宋体" w:hAnsi="Courier New"/>
      <w:kern w:val="2"/>
      <w:sz w:val="21"/>
    </w:rPr>
  </w:style>
  <w:style w:type="character" w:customStyle="1" w:styleId="53">
    <w:name w:val="页码1"/>
    <w:basedOn w:val="29"/>
    <w:qFormat/>
    <w:uiPriority w:val="0"/>
  </w:style>
  <w:style w:type="character" w:customStyle="1" w:styleId="54">
    <w:name w:val="font81"/>
    <w:basedOn w:val="29"/>
    <w:qFormat/>
    <w:uiPriority w:val="0"/>
    <w:rPr>
      <w:rFonts w:ascii="Calibri" w:hAnsi="Calibri" w:cs="Calibri"/>
      <w:color w:val="000000"/>
      <w:sz w:val="21"/>
      <w:szCs w:val="21"/>
      <w:u w:val="none"/>
    </w:rPr>
  </w:style>
  <w:style w:type="character" w:customStyle="1" w:styleId="55">
    <w:name w:val="font61"/>
    <w:basedOn w:val="29"/>
    <w:qFormat/>
    <w:uiPriority w:val="0"/>
    <w:rPr>
      <w:rFonts w:hint="eastAsia" w:ascii="宋体" w:hAnsi="宋体" w:eastAsia="宋体" w:cs="宋体"/>
      <w:color w:val="000000"/>
      <w:sz w:val="21"/>
      <w:szCs w:val="21"/>
      <w:u w:val="none"/>
    </w:rPr>
  </w:style>
  <w:style w:type="character" w:customStyle="1" w:styleId="56">
    <w:name w:val="font21"/>
    <w:basedOn w:val="29"/>
    <w:qFormat/>
    <w:uiPriority w:val="0"/>
    <w:rPr>
      <w:rFonts w:hint="default" w:ascii="Calibri" w:hAnsi="Calibri" w:cs="Calibri"/>
      <w:color w:val="000000"/>
      <w:sz w:val="21"/>
      <w:szCs w:val="21"/>
      <w:u w:val="none"/>
    </w:rPr>
  </w:style>
  <w:style w:type="character" w:customStyle="1" w:styleId="57">
    <w:name w:val="font31"/>
    <w:basedOn w:val="29"/>
    <w:qFormat/>
    <w:uiPriority w:val="0"/>
    <w:rPr>
      <w:rFonts w:hint="default" w:ascii="Arial" w:hAnsi="Arial" w:cs="Arial"/>
      <w:color w:val="000000"/>
      <w:sz w:val="21"/>
      <w:szCs w:val="21"/>
      <w:u w:val="none"/>
    </w:rPr>
  </w:style>
  <w:style w:type="character" w:customStyle="1" w:styleId="58">
    <w:name w:val="font41"/>
    <w:basedOn w:val="29"/>
    <w:qFormat/>
    <w:uiPriority w:val="0"/>
    <w:rPr>
      <w:rFonts w:ascii="微软雅黑" w:hAnsi="微软雅黑" w:eastAsia="微软雅黑" w:cs="微软雅黑"/>
      <w:color w:val="000000"/>
      <w:sz w:val="21"/>
      <w:szCs w:val="21"/>
      <w:u w:val="none"/>
    </w:rPr>
  </w:style>
  <w:style w:type="character" w:customStyle="1" w:styleId="59">
    <w:name w:val="font11"/>
    <w:basedOn w:val="29"/>
    <w:qFormat/>
    <w:uiPriority w:val="0"/>
    <w:rPr>
      <w:rFonts w:hint="eastAsia" w:ascii="宋体" w:hAnsi="宋体" w:eastAsia="宋体" w:cs="宋体"/>
      <w:color w:val="000000"/>
      <w:sz w:val="21"/>
      <w:szCs w:val="21"/>
      <w:u w:val="none"/>
      <w:vertAlign w:val="superscript"/>
    </w:rPr>
  </w:style>
  <w:style w:type="character" w:customStyle="1" w:styleId="60">
    <w:name w:val="font91"/>
    <w:basedOn w:val="29"/>
    <w:qFormat/>
    <w:uiPriority w:val="0"/>
    <w:rPr>
      <w:rFonts w:ascii="微软雅黑" w:hAnsi="微软雅黑" w:eastAsia="微软雅黑" w:cs="微软雅黑"/>
      <w:color w:val="000000"/>
      <w:sz w:val="21"/>
      <w:szCs w:val="21"/>
      <w:u w:val="none"/>
    </w:rPr>
  </w:style>
  <w:style w:type="character" w:customStyle="1" w:styleId="61">
    <w:name w:val="font51"/>
    <w:basedOn w:val="29"/>
    <w:qFormat/>
    <w:uiPriority w:val="0"/>
    <w:rPr>
      <w:rFonts w:hint="eastAsia" w:ascii="宋体" w:hAnsi="宋体" w:eastAsia="宋体" w:cs="宋体"/>
      <w:color w:val="000000"/>
      <w:sz w:val="21"/>
      <w:szCs w:val="21"/>
      <w:u w:val="none"/>
    </w:rPr>
  </w:style>
  <w:style w:type="paragraph" w:styleId="62">
    <w:name w:val="List Paragraph"/>
    <w:basedOn w:val="1"/>
    <w:unhideWhenUsed/>
    <w:qFormat/>
    <w:uiPriority w:val="99"/>
    <w:pPr>
      <w:ind w:firstLine="420" w:firstLineChars="200"/>
    </w:pPr>
  </w:style>
  <w:style w:type="character" w:customStyle="1" w:styleId="63">
    <w:name w:val="正文文本 (2)_"/>
    <w:basedOn w:val="29"/>
    <w:link w:val="64"/>
    <w:qFormat/>
    <w:locked/>
    <w:uiPriority w:val="0"/>
    <w:rPr>
      <w:rFonts w:ascii="MingLiU" w:hAnsi="MingLiU" w:eastAsia="MingLiU" w:cs="MingLiU"/>
      <w:sz w:val="22"/>
      <w:szCs w:val="22"/>
      <w:shd w:val="clear" w:color="auto" w:fill="FFFFFF"/>
    </w:rPr>
  </w:style>
  <w:style w:type="paragraph" w:customStyle="1" w:styleId="64">
    <w:name w:val="正文文本 (2)"/>
    <w:basedOn w:val="1"/>
    <w:link w:val="63"/>
    <w:qFormat/>
    <w:uiPriority w:val="0"/>
    <w:pPr>
      <w:shd w:val="clear" w:color="auto" w:fill="FFFFFF"/>
      <w:spacing w:line="0" w:lineRule="atLeast"/>
      <w:jc w:val="center"/>
    </w:pPr>
    <w:rPr>
      <w:rFonts w:ascii="MingLiU" w:hAnsi="MingLiU" w:eastAsia="MingLiU" w:cs="MingLiU"/>
      <w:kern w:val="0"/>
      <w:sz w:val="22"/>
      <w:szCs w:val="22"/>
    </w:rPr>
  </w:style>
  <w:style w:type="character" w:customStyle="1" w:styleId="65">
    <w:name w:val="正文文本 (2) Exact"/>
    <w:basedOn w:val="29"/>
    <w:qFormat/>
    <w:uiPriority w:val="0"/>
    <w:rPr>
      <w:rFonts w:hint="eastAsia" w:ascii="MingLiU" w:hAnsi="MingLiU" w:eastAsia="MingLiU" w:cs="MingLiU"/>
      <w:sz w:val="22"/>
      <w:szCs w:val="22"/>
      <w:u w:val="none"/>
    </w:rPr>
  </w:style>
  <w:style w:type="character" w:customStyle="1" w:styleId="66">
    <w:name w:val="正文文本 (2) + Georgia Exact"/>
    <w:basedOn w:val="63"/>
    <w:qFormat/>
    <w:uiPriority w:val="0"/>
    <w:rPr>
      <w:rFonts w:hint="default" w:ascii="Georgia" w:hAnsi="Georgia" w:eastAsia="Georgia" w:cs="Georgia"/>
      <w:color w:val="000000"/>
      <w:spacing w:val="0"/>
      <w:w w:val="100"/>
      <w:position w:val="0"/>
      <w:sz w:val="22"/>
      <w:szCs w:val="22"/>
      <w:shd w:val="clear" w:color="auto" w:fill="FFFFFF"/>
      <w:lang w:val="en-US" w:eastAsia="en-US" w:bidi="en-US"/>
    </w:rPr>
  </w:style>
  <w:style w:type="paragraph" w:customStyle="1" w:styleId="67">
    <w:name w:val="标题11"/>
    <w:basedOn w:val="1"/>
    <w:qFormat/>
    <w:uiPriority w:val="0"/>
    <w:pPr>
      <w:snapToGrid w:val="0"/>
    </w:pPr>
    <w:rPr>
      <w:b/>
      <w:bCs/>
      <w:sz w:val="24"/>
    </w:rPr>
  </w:style>
  <w:style w:type="paragraph" w:customStyle="1" w:styleId="6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9">
    <w:name w:val="页脚 字符"/>
    <w:basedOn w:val="29"/>
    <w:link w:val="15"/>
    <w:qFormat/>
    <w:uiPriority w:val="99"/>
    <w:rPr>
      <w:kern w:val="2"/>
      <w:sz w:val="18"/>
      <w:szCs w:val="18"/>
    </w:rPr>
  </w:style>
  <w:style w:type="character" w:customStyle="1" w:styleId="70">
    <w:name w:val="正文文本 字符"/>
    <w:basedOn w:val="29"/>
    <w:link w:val="8"/>
    <w:qFormat/>
    <w:uiPriority w:val="0"/>
    <w:rPr>
      <w:kern w:val="2"/>
      <w:sz w:val="21"/>
      <w:szCs w:val="24"/>
    </w:rPr>
  </w:style>
  <w:style w:type="character" w:customStyle="1" w:styleId="71">
    <w:name w:val="正文首行缩进 Char"/>
    <w:basedOn w:val="70"/>
    <w:qFormat/>
    <w:uiPriority w:val="0"/>
    <w:rPr>
      <w:kern w:val="2"/>
      <w:sz w:val="21"/>
      <w:szCs w:val="24"/>
    </w:rPr>
  </w:style>
  <w:style w:type="character" w:customStyle="1" w:styleId="72">
    <w:name w:val="正文文本首行缩进 字符"/>
    <w:basedOn w:val="70"/>
    <w:link w:val="24"/>
    <w:qFormat/>
    <w:locked/>
    <w:uiPriority w:val="0"/>
    <w:rPr>
      <w:kern w:val="2"/>
      <w:sz w:val="21"/>
      <w:szCs w:val="24"/>
    </w:rPr>
  </w:style>
  <w:style w:type="character" w:customStyle="1" w:styleId="73">
    <w:name w:val="标题 3 字符"/>
    <w:basedOn w:val="29"/>
    <w:link w:val="4"/>
    <w:qFormat/>
    <w:uiPriority w:val="0"/>
    <w:rPr>
      <w:rFonts w:ascii="宋体" w:hAnsi="宋体"/>
      <w:b/>
      <w:bCs/>
      <w:kern w:val="2"/>
      <w:sz w:val="28"/>
      <w:szCs w:val="32"/>
    </w:rPr>
  </w:style>
  <w:style w:type="paragraph" w:customStyle="1" w:styleId="74">
    <w:name w:val="表头"/>
    <w:basedOn w:val="1"/>
    <w:qFormat/>
    <w:uiPriority w:val="0"/>
    <w:pPr>
      <w:adjustRightInd w:val="0"/>
      <w:spacing w:line="320" w:lineRule="atLeast"/>
      <w:jc w:val="center"/>
      <w:textAlignment w:val="baseline"/>
    </w:pPr>
    <w:rPr>
      <w:rFonts w:eastAsia="黑体"/>
      <w:spacing w:val="-10"/>
      <w:kern w:val="0"/>
      <w:szCs w:val="20"/>
    </w:rPr>
  </w:style>
  <w:style w:type="paragraph" w:customStyle="1" w:styleId="75">
    <w:name w:val="普通(网站)1"/>
    <w:basedOn w:val="1"/>
    <w:qFormat/>
    <w:uiPriority w:val="0"/>
    <w:pPr>
      <w:spacing w:before="100" w:beforeAutospacing="1" w:after="100" w:afterAutospacing="1"/>
    </w:pPr>
    <w:rPr>
      <w:rFonts w:ascii="宋体" w:hAnsi="宋体" w:cs="宋体"/>
      <w:sz w:val="24"/>
    </w:rPr>
  </w:style>
  <w:style w:type="paragraph" w:customStyle="1" w:styleId="76">
    <w:name w:val="p0"/>
    <w:basedOn w:val="1"/>
    <w:qFormat/>
    <w:uiPriority w:val="0"/>
    <w:pPr>
      <w:widowControl/>
    </w:pPr>
    <w:rPr>
      <w:kern w:val="0"/>
      <w:szCs w:val="21"/>
    </w:rPr>
  </w:style>
  <w:style w:type="table" w:customStyle="1" w:styleId="77">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78">
    <w:name w:val="标题 2+ 行距: 固定值 24 磅 Char"/>
    <w:basedOn w:val="3"/>
    <w:qFormat/>
    <w:uiPriority w:val="0"/>
    <w:pPr>
      <w:keepLines/>
      <w:snapToGrid/>
      <w:spacing w:before="260" w:after="260" w:line="480" w:lineRule="exact"/>
      <w:jc w:val="both"/>
    </w:pPr>
    <w:rPr>
      <w:rFonts w:ascii="Arial" w:hAnsi="Arial" w:eastAsia="黑体"/>
      <w:b/>
      <w:bCs w:val="0"/>
      <w:position w:val="0"/>
      <w:sz w:val="32"/>
      <w:szCs w:val="20"/>
    </w:rPr>
  </w:style>
  <w:style w:type="paragraph" w:customStyle="1" w:styleId="79">
    <w:name w:val="hhcwt标题3"/>
    <w:basedOn w:val="1"/>
    <w:link w:val="80"/>
    <w:qFormat/>
    <w:uiPriority w:val="0"/>
    <w:pPr>
      <w:keepNext/>
      <w:keepLines/>
      <w:spacing w:line="336" w:lineRule="auto"/>
      <w:outlineLvl w:val="2"/>
    </w:pPr>
    <w:rPr>
      <w:rFonts w:eastAsia="楷体_GB2312" w:cs="宋体"/>
      <w:bCs/>
      <w:sz w:val="28"/>
      <w:szCs w:val="20"/>
    </w:rPr>
  </w:style>
  <w:style w:type="character" w:customStyle="1" w:styleId="80">
    <w:name w:val="hhcwt标题3 Char Char"/>
    <w:link w:val="79"/>
    <w:qFormat/>
    <w:uiPriority w:val="0"/>
    <w:rPr>
      <w:rFonts w:ascii="Times New Roman" w:hAnsi="Times New Roman" w:eastAsia="楷体_GB2312" w:cs="宋体"/>
      <w:bCs/>
      <w:kern w:val="2"/>
      <w:sz w:val="28"/>
    </w:rPr>
  </w:style>
  <w:style w:type="paragraph" w:customStyle="1" w:styleId="81">
    <w:name w:val="reader-word-layer reader-word-s11-10"/>
    <w:basedOn w:val="1"/>
    <w:qFormat/>
    <w:uiPriority w:val="0"/>
    <w:pPr>
      <w:widowControl/>
      <w:spacing w:before="100" w:beforeAutospacing="1" w:after="100" w:afterAutospacing="1"/>
      <w:jc w:val="left"/>
    </w:pPr>
    <w:rPr>
      <w:rFonts w:hint="eastAsia" w:ascii="宋体" w:hAnsi="宋体"/>
      <w:sz w:val="24"/>
      <w:szCs w:val="21"/>
    </w:rPr>
  </w:style>
  <w:style w:type="paragraph" w:customStyle="1" w:styleId="82">
    <w:name w:val="表格"/>
    <w:basedOn w:val="1"/>
    <w:qFormat/>
    <w:uiPriority w:val="0"/>
    <w:pPr>
      <w:jc w:val="center"/>
    </w:pPr>
    <w:rPr>
      <w:sz w:val="24"/>
    </w:rPr>
  </w:style>
  <w:style w:type="character" w:customStyle="1" w:styleId="83">
    <w:name w:val="表格文字 Char"/>
    <w:link w:val="40"/>
    <w:qFormat/>
    <w:locked/>
    <w:uiPriority w:val="0"/>
    <w:rPr>
      <w:rFonts w:ascii="仿宋_GB2312" w:hAnsi="Arial Black" w:eastAsia="仿宋_GB2312"/>
      <w:kern w:val="44"/>
      <w:sz w:val="24"/>
    </w:rPr>
  </w:style>
  <w:style w:type="paragraph" w:customStyle="1" w:styleId="84">
    <w:name w:val="无间隔1"/>
    <w:qFormat/>
    <w:uiPriority w:val="0"/>
    <w:pPr>
      <w:widowControl w:val="0"/>
      <w:jc w:val="center"/>
    </w:pPr>
    <w:rPr>
      <w:rFonts w:ascii="宋体" w:hAnsi="Courier New" w:eastAsia="仿宋_GB2312" w:cs="Times New Roman"/>
      <w:kern w:val="2"/>
      <w:sz w:val="24"/>
      <w:lang w:val="en-US" w:eastAsia="zh-CN" w:bidi="ar-SA"/>
    </w:rPr>
  </w:style>
  <w:style w:type="paragraph" w:customStyle="1" w:styleId="85">
    <w:name w:val="无间隔4"/>
    <w:qFormat/>
    <w:uiPriority w:val="0"/>
    <w:pPr>
      <w:widowControl w:val="0"/>
      <w:jc w:val="center"/>
    </w:pPr>
    <w:rPr>
      <w:rFonts w:ascii="宋体" w:hAnsi="Courier New" w:eastAsia="仿宋_GB2312" w:cs="Times New Roman"/>
      <w:kern w:val="2"/>
      <w:sz w:val="24"/>
      <w:lang w:val="en-US" w:eastAsia="zh-CN" w:bidi="ar-SA"/>
    </w:rPr>
  </w:style>
  <w:style w:type="paragraph" w:customStyle="1" w:styleId="86">
    <w:name w:val="无间隔11"/>
    <w:qFormat/>
    <w:uiPriority w:val="0"/>
    <w:pPr>
      <w:widowControl w:val="0"/>
    </w:pPr>
    <w:rPr>
      <w:rFonts w:ascii="宋体" w:hAnsi="Courier New" w:eastAsia="仿宋_GB2312" w:cs="Times New Roman"/>
      <w:kern w:val="2"/>
      <w:sz w:val="24"/>
      <w:lang w:val="en-US" w:eastAsia="zh-CN" w:bidi="ar-SA"/>
    </w:rPr>
  </w:style>
  <w:style w:type="paragraph" w:customStyle="1" w:styleId="87">
    <w:name w:val="xl23"/>
    <w:basedOn w:val="1"/>
    <w:qFormat/>
    <w:uiPriority w:val="0"/>
    <w:pPr>
      <w:widowControl/>
      <w:spacing w:before="100" w:beforeAutospacing="1" w:after="100" w:afterAutospacing="1"/>
      <w:jc w:val="center"/>
    </w:pPr>
    <w:rPr>
      <w:rFonts w:ascii="Arial Unicode MS" w:hAnsi="Arial Unicode MS"/>
      <w:kern w:val="0"/>
      <w:sz w:val="24"/>
    </w:rPr>
  </w:style>
  <w:style w:type="table" w:customStyle="1" w:styleId="88">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9">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90">
    <w:name w:val="列表 字符"/>
    <w:link w:val="18"/>
    <w:qFormat/>
    <w:locked/>
    <w:uiPriority w:val="0"/>
    <w:rPr>
      <w:rFonts w:ascii="黑体" w:eastAsia="黑体"/>
      <w:kern w:val="2"/>
      <w:sz w:val="24"/>
    </w:rPr>
  </w:style>
  <w:style w:type="paragraph" w:customStyle="1" w:styleId="91">
    <w:name w:val="无间隔3"/>
    <w:qFormat/>
    <w:uiPriority w:val="0"/>
    <w:pPr>
      <w:widowControl w:val="0"/>
      <w:jc w:val="center"/>
    </w:pPr>
    <w:rPr>
      <w:rFonts w:ascii="宋体" w:hAnsi="Courier New" w:eastAsia="Times New Roman" w:cs="Times New Roman"/>
      <w:kern w:val="2"/>
      <w:sz w:val="24"/>
      <w:szCs w:val="22"/>
      <w:lang w:val="en-US" w:eastAsia="zh-CN" w:bidi="ar-SA"/>
    </w:rPr>
  </w:style>
  <w:style w:type="paragraph" w:customStyle="1" w:styleId="9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93">
    <w:name w:val="常用表格样式"/>
    <w:basedOn w:val="1"/>
    <w:next w:val="1"/>
    <w:qFormat/>
    <w:uiPriority w:val="0"/>
    <w:pPr>
      <w:adjustRightInd w:val="0"/>
      <w:jc w:val="center"/>
    </w:pPr>
    <w:rPr>
      <w:rFonts w:ascii="宋体" w:hAnsi="宋体" w:eastAsia="仿宋" w:cs="宋体"/>
      <w:color w:val="000000"/>
      <w:sz w:val="18"/>
      <w:szCs w:val="18"/>
    </w:rPr>
  </w:style>
  <w:style w:type="paragraph" w:customStyle="1" w:styleId="94">
    <w:name w:val="文本框"/>
    <w:basedOn w:val="1"/>
    <w:next w:val="1"/>
    <w:qFormat/>
    <w:uiPriority w:val="0"/>
    <w:pPr>
      <w:spacing w:line="240" w:lineRule="atLeast"/>
      <w:jc w:val="center"/>
    </w:pPr>
    <w:rPr>
      <w:rFonts w:eastAsia="仿宋_GB2312"/>
      <w:spacing w:val="12"/>
      <w:szCs w:val="28"/>
    </w:rPr>
  </w:style>
  <w:style w:type="paragraph" w:customStyle="1" w:styleId="95">
    <w:name w:val="小四宋居中1.0"/>
    <w:basedOn w:val="1"/>
    <w:next w:val="1"/>
    <w:qFormat/>
    <w:uiPriority w:val="0"/>
    <w:pPr>
      <w:snapToGrid w:val="0"/>
      <w:spacing w:line="280" w:lineRule="exact"/>
      <w:jc w:val="center"/>
    </w:pPr>
    <w:rPr>
      <w:rFonts w:ascii="仿宋_GB2312" w:hAnsi="宋体" w:eastAsia="仿宋_GB2312"/>
      <w:sz w:val="24"/>
      <w:szCs w:val="21"/>
    </w:rPr>
  </w:style>
  <w:style w:type="paragraph" w:customStyle="1" w:styleId="96">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97">
    <w:name w:val="表"/>
    <w:basedOn w:val="1"/>
    <w:qFormat/>
    <w:uiPriority w:val="0"/>
    <w:pPr>
      <w:snapToGrid w:val="0"/>
      <w:jc w:val="center"/>
    </w:pPr>
    <w:rPr>
      <w:szCs w:val="20"/>
    </w:rPr>
  </w:style>
  <w:style w:type="paragraph" w:customStyle="1" w:styleId="98">
    <w:name w:val="谏壁正文chen"/>
    <w:basedOn w:val="1"/>
    <w:qFormat/>
    <w:uiPriority w:val="0"/>
    <w:pPr>
      <w:spacing w:line="360" w:lineRule="auto"/>
      <w:ind w:firstLine="200" w:firstLineChars="200"/>
    </w:pPr>
    <w:rPr>
      <w:sz w:val="24"/>
    </w:rPr>
  </w:style>
  <w:style w:type="paragraph" w:customStyle="1" w:styleId="99">
    <w:name w:val="样式 样式 标题4 + (中文) 宋体 + (中文) 宋体 首行缩进:  1.06 厘米"/>
    <w:basedOn w:val="1"/>
    <w:qFormat/>
    <w:uiPriority w:val="0"/>
    <w:pPr>
      <w:keepNext/>
      <w:keepLines/>
      <w:spacing w:line="480" w:lineRule="exact"/>
      <w:outlineLvl w:val="3"/>
    </w:pPr>
    <w:rPr>
      <w:rFonts w:cs="宋体"/>
      <w:b/>
      <w:bCs/>
      <w:sz w:val="30"/>
      <w:szCs w:val="20"/>
    </w:rPr>
  </w:style>
  <w:style w:type="paragraph" w:customStyle="1" w:styleId="100">
    <w:name w:val="0正式"/>
    <w:basedOn w:val="1"/>
    <w:qFormat/>
    <w:uiPriority w:val="0"/>
    <w:pPr>
      <w:pBdr>
        <w:top w:val="none" w:color="auto" w:sz="0" w:space="0"/>
        <w:left w:val="none" w:color="auto" w:sz="0" w:space="0"/>
        <w:bottom w:val="none" w:color="auto" w:sz="0" w:space="0"/>
        <w:right w:val="none" w:color="auto" w:sz="0" w:space="0"/>
        <w:between w:val="none" w:color="auto" w:sz="0" w:space="0"/>
      </w:pBdr>
      <w:spacing w:line="440" w:lineRule="exact"/>
      <w:ind w:firstLine="200" w:firstLineChars="200"/>
    </w:pPr>
    <w:rPr>
      <w:rFonts w:ascii="Times New Roman" w:hAnsi="Times New Roman" w:cs="Times New Roman"/>
      <w:kern w:val="2"/>
      <w:sz w:val="24"/>
      <w:szCs w:val="24"/>
    </w:rPr>
  </w:style>
  <w:style w:type="character" w:customStyle="1" w:styleId="101">
    <w:name w:val="font01"/>
    <w:basedOn w:val="29"/>
    <w:qFormat/>
    <w:uiPriority w:val="0"/>
    <w:rPr>
      <w:rFonts w:hint="default" w:ascii="Times New Roman" w:hAnsi="Times New Roman" w:cs="Times New Roman"/>
      <w:color w:val="000000"/>
      <w:sz w:val="21"/>
      <w:szCs w:val="21"/>
      <w:u w:val="none"/>
    </w:rPr>
  </w:style>
  <w:style w:type="paragraph" w:customStyle="1" w:styleId="102">
    <w:name w:val="表头2"/>
    <w:basedOn w:val="9"/>
    <w:unhideWhenUsed/>
    <w:qFormat/>
    <w:uiPriority w:val="0"/>
    <w:pPr>
      <w:adjustRightInd w:val="0"/>
      <w:snapToGrid w:val="0"/>
      <w:spacing w:beforeLines="0" w:afterLines="0"/>
      <w:ind w:left="0" w:firstLine="0"/>
      <w:jc w:val="center"/>
    </w:pPr>
    <w:rPr>
      <w:rFonts w:hint="default" w:ascii="Times New Roman" w:eastAsia="宋体"/>
      <w:b/>
      <w:sz w:val="24"/>
      <w:szCs w:val="24"/>
    </w:rPr>
  </w:style>
  <w:style w:type="paragraph" w:customStyle="1" w:styleId="103">
    <w:name w:val="表格字体"/>
    <w:basedOn w:val="1"/>
    <w:next w:val="1"/>
    <w:unhideWhenUsed/>
    <w:qFormat/>
    <w:uiPriority w:val="0"/>
    <w:pPr>
      <w:adjustRightInd w:val="0"/>
      <w:snapToGrid w:val="0"/>
      <w:spacing w:before="48" w:beforeLines="20" w:after="48" w:afterLines="20"/>
      <w:jc w:val="center"/>
    </w:pPr>
    <w:rPr>
      <w:rFonts w:hint="default"/>
      <w:snapToGrid w:val="0"/>
      <w:color w:val="FF00FF"/>
      <w:sz w:val="21"/>
      <w:szCs w:val="24"/>
    </w:rPr>
  </w:style>
  <w:style w:type="paragraph" w:customStyle="1" w:styleId="104">
    <w:name w:val="表题"/>
    <w:basedOn w:val="1"/>
    <w:qFormat/>
    <w:uiPriority w:val="0"/>
    <w:pPr>
      <w:tabs>
        <w:tab w:val="left" w:pos="940"/>
      </w:tabs>
      <w:snapToGrid w:val="0"/>
      <w:jc w:val="center"/>
    </w:pPr>
    <w:rPr>
      <w:rFonts w:eastAsia="黑体"/>
      <w:sz w:val="24"/>
      <w:szCs w:val="20"/>
    </w:rPr>
  </w:style>
  <w:style w:type="character" w:customStyle="1" w:styleId="105">
    <w:name w:val="正文 环评 Char"/>
    <w:link w:val="106"/>
    <w:qFormat/>
    <w:uiPriority w:val="0"/>
    <w:rPr>
      <w:bCs/>
      <w:sz w:val="24"/>
    </w:rPr>
  </w:style>
  <w:style w:type="paragraph" w:customStyle="1" w:styleId="106">
    <w:name w:val="正文 环评"/>
    <w:basedOn w:val="1"/>
    <w:link w:val="105"/>
    <w:qFormat/>
    <w:uiPriority w:val="0"/>
    <w:pPr>
      <w:tabs>
        <w:tab w:val="left" w:pos="6379"/>
      </w:tabs>
      <w:overflowPunct w:val="0"/>
      <w:adjustRightInd w:val="0"/>
      <w:snapToGrid w:val="0"/>
      <w:spacing w:before="62" w:beforeLines="20" w:after="62" w:afterLines="20" w:line="360" w:lineRule="auto"/>
      <w:ind w:firstLine="480" w:firstLineChars="200"/>
      <w:jc w:val="left"/>
    </w:pPr>
    <w:rPr>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C02ED-A37C-449B-8D2A-EC3A1B4BA97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102</Pages>
  <Words>22605</Words>
  <Characters>28521</Characters>
  <Lines>227</Lines>
  <Paragraphs>64</Paragraphs>
  <TotalTime>1</TotalTime>
  <ScaleCrop>false</ScaleCrop>
  <LinksUpToDate>false</LinksUpToDate>
  <CharactersWithSpaces>28995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2020-05-05T08:38:00Z</dcterms:created>
  <dc:creator>姜艳</dc:creator>
  <cp:lastModifiedBy>羊好萌</cp:lastModifiedBy>
  <cp:lastPrinted>2022-01-19T09:48:00Z</cp:lastPrinted>
  <dcterms:modified xsi:type="dcterms:W3CDTF">2022-03-15T01:22:05Z</dcterms:modified>
  <dc:title>建设项目环保设施竣工</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C071CC2CD17D4EA1AFB3E15DFFD95728</vt:lpwstr>
  </property>
</Properties>
</file>